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4F66E32F" w:rsidR="007E1FDD" w:rsidRPr="00D464F3"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DB25FB">
              <w:rPr>
                <w:rFonts w:cs="Angsana New"/>
                <w:b/>
                <w:bCs/>
                <w:szCs w:val="30"/>
                <w:lang w:bidi="th-TH"/>
              </w:rPr>
              <w:t>24</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04085119" w:rsidR="007E1FDD" w:rsidRPr="007E1FDD" w:rsidRDefault="00D464F3" w:rsidP="00C73F61">
            <w:pPr>
              <w:spacing w:before="40"/>
              <w:rPr>
                <w:bCs/>
              </w:rPr>
            </w:pPr>
            <w:r>
              <w:rPr>
                <w:bCs/>
              </w:rPr>
              <w:t>06</w:t>
            </w:r>
            <w:r w:rsidR="008624ED">
              <w:rPr>
                <w:bCs/>
              </w:rPr>
              <w:t xml:space="preserve"> </w:t>
            </w:r>
            <w:r>
              <w:rPr>
                <w:bCs/>
              </w:rPr>
              <w:t>April</w:t>
            </w:r>
            <w:r w:rsidR="00EA0BBD">
              <w:rPr>
                <w:bCs/>
              </w:rPr>
              <w:t xml:space="preserve">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6B12E7D5" w:rsidR="00DA7595" w:rsidRPr="00051E1E" w:rsidRDefault="006B4793" w:rsidP="00DA7595">
      <w:pPr>
        <w:jc w:val="center"/>
        <w:rPr>
          <w:lang w:eastAsia="ko-KR"/>
        </w:rPr>
      </w:pPr>
      <w:r>
        <w:rPr>
          <w:lang w:eastAsia="ko-KR"/>
        </w:rPr>
        <w:t>Chairman, DG on AI 9.1.</w:t>
      </w:r>
      <w:r>
        <w:rPr>
          <w:rFonts w:hint="eastAsia"/>
          <w:lang w:eastAsia="ko-KR"/>
        </w:rPr>
        <w:t>b</w:t>
      </w:r>
    </w:p>
    <w:p w14:paraId="49B50650" w14:textId="77777777" w:rsidR="007E7497" w:rsidRPr="00B355DB" w:rsidRDefault="007E7497" w:rsidP="007E7497">
      <w:pPr>
        <w:jc w:val="center"/>
        <w:rPr>
          <w:caps/>
        </w:rPr>
      </w:pPr>
    </w:p>
    <w:p w14:paraId="40C01037" w14:textId="51EF7A91"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r w:rsidR="006B4793">
        <w:rPr>
          <w:b/>
          <w:bCs/>
          <w:caps/>
        </w:rPr>
        <w:t>9.</w:t>
      </w:r>
      <w:r>
        <w:rPr>
          <w:b/>
          <w:bCs/>
          <w:caps/>
        </w:rPr>
        <w:t>1.</w:t>
      </w:r>
      <w:r w:rsidR="006B4793">
        <w:rPr>
          <w:b/>
          <w:bCs/>
          <w:caps/>
        </w:rPr>
        <w:t>b</w:t>
      </w:r>
    </w:p>
    <w:p w14:paraId="233AF010" w14:textId="77777777" w:rsidR="007E7497" w:rsidRPr="005E3896" w:rsidRDefault="007E7497" w:rsidP="007E7497">
      <w:pPr>
        <w:jc w:val="both"/>
        <w:rPr>
          <w:bCs/>
          <w:sz w:val="6"/>
        </w:rPr>
      </w:pPr>
    </w:p>
    <w:p w14:paraId="271866BD" w14:textId="77777777" w:rsidR="00D84CEE" w:rsidRPr="00D84CEE" w:rsidRDefault="00D84CEE" w:rsidP="00DB25FB">
      <w:pPr>
        <w:jc w:val="right"/>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29295D18" w:rsidR="00615999" w:rsidRPr="00441526" w:rsidRDefault="00615999" w:rsidP="00615999">
      <w:pPr>
        <w:spacing w:after="120"/>
        <w:jc w:val="both"/>
        <w:rPr>
          <w:lang w:val="en-NZ"/>
        </w:rPr>
      </w:pPr>
      <w:r w:rsidRPr="00441526">
        <w:rPr>
          <w:b/>
          <w:lang w:val="en-NZ"/>
        </w:rPr>
        <w:t xml:space="preserve">Agenda Item </w:t>
      </w:r>
      <w:r w:rsidR="006B4793">
        <w:rPr>
          <w:b/>
          <w:lang w:val="en-NZ"/>
        </w:rPr>
        <w:t>9.</w:t>
      </w:r>
      <w:r w:rsidRPr="00441526">
        <w:rPr>
          <w:b/>
          <w:lang w:val="en-NZ"/>
        </w:rPr>
        <w:t>1.</w:t>
      </w:r>
      <w:r w:rsidR="006B4793">
        <w:rPr>
          <w:b/>
          <w:lang w:val="en-NZ"/>
        </w:rPr>
        <w:t>B</w:t>
      </w:r>
      <w:r w:rsidRPr="00441526">
        <w:rPr>
          <w:b/>
          <w:lang w:val="en-NZ"/>
        </w:rPr>
        <w:t xml:space="preserve">: </w:t>
      </w:r>
    </w:p>
    <w:p w14:paraId="15DFD310" w14:textId="1BFD6136" w:rsidR="008E026D" w:rsidRPr="00441526" w:rsidRDefault="00B4457D" w:rsidP="008E026D">
      <w:pPr>
        <w:spacing w:after="120"/>
        <w:jc w:val="both"/>
        <w:rPr>
          <w:i/>
          <w:lang w:val="en-NZ"/>
        </w:rPr>
      </w:pPr>
      <w:r w:rsidRPr="00B4457D">
        <w:rPr>
          <w:i/>
          <w:lang w:val="en-NZ"/>
        </w:rPr>
        <w:t>R​</w:t>
      </w:r>
      <w:proofErr w:type="spellStart"/>
      <w:r w:rsidRPr="00B4457D">
        <w:rPr>
          <w:i/>
          <w:lang w:val="en-NZ"/>
        </w:rPr>
        <w:t>eview</w:t>
      </w:r>
      <w:proofErr w:type="spellEnd"/>
      <w:r w:rsidRPr="00B4457D">
        <w:rPr>
          <w:i/>
          <w:lang w:val="en-NZ"/>
        </w:rPr>
        <w:t xml:space="preserve">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Pr="00B4457D">
        <w:rPr>
          <w:b/>
          <w:bCs/>
          <w:i/>
          <w:lang w:val="en-NZ"/>
        </w:rPr>
        <w:t> 774 (WRC-19)</w:t>
      </w:r>
      <w:r w:rsidR="008E026D">
        <w:rPr>
          <w:b/>
          <w:bCs/>
          <w:i/>
          <w:lang w:val="en-NZ"/>
        </w:rPr>
        <w:t xml:space="preserve"> </w:t>
      </w:r>
    </w:p>
    <w:p w14:paraId="13126F81" w14:textId="77777777" w:rsidR="008E026D" w:rsidRDefault="008E026D" w:rsidP="00E5341E">
      <w:pPr>
        <w:spacing w:after="120"/>
        <w:jc w:val="both"/>
        <w:rPr>
          <w:i/>
          <w:lang w:val="en-NZ"/>
        </w:rPr>
      </w:pPr>
    </w:p>
    <w:p w14:paraId="3DA40495" w14:textId="7458F095" w:rsidR="0037421D" w:rsidRPr="00615999" w:rsidRDefault="00615999" w:rsidP="00E5341E">
      <w:pPr>
        <w:spacing w:after="120"/>
        <w:jc w:val="both"/>
        <w:rPr>
          <w:bCs/>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26735897" w14:textId="77777777" w:rsidR="00B4457D" w:rsidRPr="00AB3891" w:rsidRDefault="00B4457D" w:rsidP="00B4457D">
            <w:pPr>
              <w:pStyle w:val="Tabletext"/>
              <w:rPr>
                <w:b/>
                <w:sz w:val="24"/>
                <w:szCs w:val="24"/>
              </w:rPr>
            </w:pPr>
            <w:r w:rsidRPr="00AB3891">
              <w:rPr>
                <w:sz w:val="24"/>
                <w:szCs w:val="24"/>
              </w:rPr>
              <w:t>Resolution 774</w:t>
            </w:r>
            <w:r w:rsidRPr="00AB3891">
              <w:rPr>
                <w:b/>
              </w:rPr>
              <w:t> </w:t>
            </w:r>
            <w:r w:rsidRPr="00AB3891">
              <w:rPr>
                <w:b/>
                <w:sz w:val="24"/>
                <w:szCs w:val="24"/>
              </w:rPr>
              <w:t>(WRC</w:t>
            </w:r>
            <w:r w:rsidRPr="00AB3891">
              <w:rPr>
                <w:b/>
                <w:sz w:val="24"/>
                <w:szCs w:val="24"/>
              </w:rPr>
              <w:noBreakHyphen/>
              <w:t>19)</w:t>
            </w:r>
          </w:p>
          <w:p w14:paraId="17BFA2B7" w14:textId="321A577F" w:rsidR="00B4457D" w:rsidRPr="00D06742" w:rsidRDefault="00B4457D" w:rsidP="00B445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AB3891">
              <w:rPr>
                <w:rFonts w:eastAsia="Batang"/>
                <w:lang w:eastAsia="nl-NL"/>
              </w:rPr>
              <w:t>Studies on technical and operational measures to be applied in the frequency band 1 240-1 300 MHz to ensure the protection of the radionavigation-satellite service (space-to-Earth)</w:t>
            </w:r>
          </w:p>
        </w:tc>
        <w:tc>
          <w:tcPr>
            <w:tcW w:w="6922" w:type="dxa"/>
          </w:tcPr>
          <w:p w14:paraId="65BD51AA" w14:textId="77777777" w:rsidR="00AB3891" w:rsidRPr="00AB3891" w:rsidRDefault="00AB3891" w:rsidP="00AB3891">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AB3891">
              <w:rPr>
                <w:rFonts w:eastAsia="Batang"/>
                <w:i/>
                <w:iCs/>
              </w:rPr>
              <w:t>resolves to invite ITU</w:t>
            </w:r>
            <w:r w:rsidRPr="00AB3891">
              <w:rPr>
                <w:rFonts w:eastAsia="Batang"/>
                <w:i/>
                <w:iCs/>
              </w:rPr>
              <w:noBreakHyphen/>
              <w:t>R</w:t>
            </w:r>
          </w:p>
          <w:p w14:paraId="2AF2DA4D" w14:textId="77777777" w:rsidR="00AB3891" w:rsidRPr="00AB3891" w:rsidRDefault="00AB3891" w:rsidP="00AB38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AB3891">
              <w:rPr>
                <w:rFonts w:eastAsia="???"/>
                <w:lang w:eastAsia="nl-NL"/>
              </w:rPr>
              <w:t>1</w:t>
            </w:r>
            <w:r w:rsidRPr="00AB3891">
              <w:rPr>
                <w:rFonts w:eastAsia="???"/>
                <w:lang w:eastAsia="nl-NL"/>
              </w:rPr>
              <w:tab/>
              <w:t>to perform the detailed review of the different systems and applications used in the amateur service and amateur-satellite service allocations within the frequency band 1 240</w:t>
            </w:r>
            <w:r w:rsidRPr="00AB3891">
              <w:rPr>
                <w:rFonts w:eastAsia="???"/>
                <w:lang w:eastAsia="nl-NL"/>
              </w:rPr>
              <w:noBreakHyphen/>
              <w:t>1 300 MHz;</w:t>
            </w:r>
          </w:p>
          <w:p w14:paraId="52647F64" w14:textId="6A75F081" w:rsidR="00B4457D" w:rsidRPr="00AB3891" w:rsidRDefault="00AB3891" w:rsidP="00AB38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AB3891">
              <w:rPr>
                <w:rFonts w:eastAsia="???"/>
                <w:lang w:eastAsia="nl-NL"/>
              </w:rPr>
              <w:t>2</w:t>
            </w:r>
            <w:r w:rsidRPr="00AB3891">
              <w:rPr>
                <w:rFonts w:eastAsia="???"/>
                <w:lang w:eastAsia="nl-NL"/>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02BB9C3B" w14:textId="77777777" w:rsidR="00B4457D" w:rsidRPr="00AB3891" w:rsidRDefault="00B4457D" w:rsidP="00AB3891">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AB3891">
              <w:rPr>
                <w:rFonts w:eastAsia="Batang"/>
                <w:i/>
                <w:iCs/>
              </w:rPr>
              <w:t>instructs the Director of the Radiocommunication Bureau</w:t>
            </w:r>
          </w:p>
          <w:p w14:paraId="23E60363" w14:textId="726530B0" w:rsidR="00B4457D" w:rsidRPr="00D06742" w:rsidRDefault="00B4457D" w:rsidP="00B445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t>to include the results of these studies in his Report to WRC</w:t>
            </w:r>
            <w:r>
              <w:noBreakHyphen/>
              <w:t xml:space="preserve">23 for the purpose of considering appropriate actions in response to </w:t>
            </w:r>
            <w:r>
              <w:rPr>
                <w:i/>
              </w:rPr>
              <w:t>resolves to invite ITU</w:t>
            </w:r>
            <w:r>
              <w:rPr>
                <w:i/>
              </w:rPr>
              <w:noBreakHyphen/>
              <w:t xml:space="preserve">R </w:t>
            </w:r>
            <w:r>
              <w:t>above.</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AB3891" w:rsidRDefault="00615999" w:rsidP="00395A72">
            <w:r w:rsidRPr="00AB3891">
              <w:rPr>
                <w:rFonts w:eastAsia="Batang"/>
                <w:b/>
              </w:rPr>
              <w:t>Responsible group</w:t>
            </w:r>
          </w:p>
        </w:tc>
        <w:tc>
          <w:tcPr>
            <w:tcW w:w="3908" w:type="dxa"/>
          </w:tcPr>
          <w:p w14:paraId="1B86DE8A" w14:textId="77777777" w:rsidR="00615999" w:rsidRPr="00AB3891" w:rsidRDefault="00615999" w:rsidP="00395A72">
            <w:r w:rsidRPr="00AB3891">
              <w:rPr>
                <w:rFonts w:eastAsia="Batang"/>
                <w:b/>
              </w:rPr>
              <w:t>Contributing group</w:t>
            </w:r>
          </w:p>
        </w:tc>
      </w:tr>
      <w:tr w:rsidR="00D06742" w:rsidRPr="00D06742" w14:paraId="62627DE7" w14:textId="77777777" w:rsidTr="00395A72">
        <w:tc>
          <w:tcPr>
            <w:tcW w:w="5113" w:type="dxa"/>
          </w:tcPr>
          <w:p w14:paraId="2FF0C3D0" w14:textId="2EB9577F" w:rsidR="00615999" w:rsidRPr="00D06742" w:rsidRDefault="00B4457D" w:rsidP="00AB38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Pr>
                <w:b/>
                <w:bCs/>
              </w:rPr>
              <w:t>WP 5A</w:t>
            </w:r>
          </w:p>
        </w:tc>
        <w:tc>
          <w:tcPr>
            <w:tcW w:w="3908" w:type="dxa"/>
          </w:tcPr>
          <w:p w14:paraId="4294D2A9" w14:textId="7A3CE322" w:rsidR="00B4457D" w:rsidRPr="00D06742" w:rsidRDefault="00B4457D"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Pr>
                <w:b/>
                <w:bCs/>
              </w:rPr>
              <w:t xml:space="preserve">WP 3M, WP 4C </w:t>
            </w:r>
            <w:r>
              <w:t xml:space="preserve">(responsible for developing studies on </w:t>
            </w:r>
            <w:r>
              <w:rPr>
                <w:i/>
                <w:iCs/>
              </w:rPr>
              <w:t>resolves to invite ITU R 2</w:t>
            </w:r>
            <w:r>
              <w:t xml:space="preserve"> and sending this to WP 5A)</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E696CE6" w14:textId="79422754" w:rsidR="005263C8" w:rsidRDefault="00D06742" w:rsidP="005263C8">
      <w:pPr>
        <w:pStyle w:val="ListParagraph"/>
        <w:widowControl w:val="0"/>
        <w:numPr>
          <w:ilvl w:val="0"/>
          <w:numId w:val="22"/>
        </w:numPr>
        <w:wordWrap w:val="0"/>
        <w:autoSpaceDE w:val="0"/>
        <w:autoSpaceDN w:val="0"/>
        <w:jc w:val="both"/>
      </w:pPr>
      <w:r w:rsidRPr="00D06742">
        <w:t>Which regional organization initiated this Agenda Item</w:t>
      </w:r>
      <w:r w:rsidR="000618D1">
        <w:t xml:space="preserve">: </w:t>
      </w:r>
      <w:r w:rsidR="007C7BC0">
        <w:t xml:space="preserve">This agenda item was proposed by </w:t>
      </w:r>
      <w:r w:rsidR="000618D1">
        <w:rPr>
          <w:lang w:eastAsia="ko-KR"/>
        </w:rPr>
        <w:t>CEPT</w:t>
      </w:r>
      <w:r w:rsidR="007C7BC0">
        <w:rPr>
          <w:lang w:eastAsia="ko-KR"/>
        </w:rPr>
        <w:t>.</w:t>
      </w:r>
    </w:p>
    <w:p w14:paraId="15A601DD" w14:textId="77777777" w:rsidR="00B11EAF" w:rsidRDefault="00B11EAF" w:rsidP="00B11EAF">
      <w:pPr>
        <w:pStyle w:val="ListParagraph"/>
        <w:widowControl w:val="0"/>
        <w:wordWrap w:val="0"/>
        <w:autoSpaceDE w:val="0"/>
        <w:autoSpaceDN w:val="0"/>
        <w:jc w:val="both"/>
      </w:pPr>
    </w:p>
    <w:p w14:paraId="06AC1559" w14:textId="6697A59D" w:rsidR="005263C8" w:rsidRDefault="00D06742" w:rsidP="005263C8">
      <w:pPr>
        <w:pStyle w:val="ListParagraph"/>
        <w:widowControl w:val="0"/>
        <w:numPr>
          <w:ilvl w:val="0"/>
          <w:numId w:val="22"/>
        </w:numPr>
        <w:wordWrap w:val="0"/>
        <w:autoSpaceDE w:val="0"/>
        <w:autoSpaceDN w:val="0"/>
        <w:jc w:val="both"/>
      </w:pPr>
      <w:r w:rsidRPr="00D06742">
        <w:t>Other relevant information for understanding of the Agenda Item</w:t>
      </w:r>
    </w:p>
    <w:p w14:paraId="4BE26AA3" w14:textId="63B751AE" w:rsidR="00B11EAF" w:rsidRDefault="00B11EAF" w:rsidP="00B11EAF">
      <w:pPr>
        <w:pStyle w:val="ListParagraph"/>
      </w:pPr>
    </w:p>
    <w:p w14:paraId="735E6B6D" w14:textId="2B3C988D" w:rsidR="0082373B" w:rsidRPr="0082373B" w:rsidRDefault="0082373B" w:rsidP="0082373B">
      <w:pPr>
        <w:pStyle w:val="ListParagraph"/>
        <w:widowControl w:val="0"/>
        <w:numPr>
          <w:ilvl w:val="0"/>
          <w:numId w:val="21"/>
        </w:numPr>
        <w:autoSpaceDE w:val="0"/>
        <w:autoSpaceDN w:val="0"/>
        <w:adjustRightInd w:val="0"/>
        <w:spacing w:after="120"/>
        <w:jc w:val="both"/>
        <w:rPr>
          <w:rFonts w:eastAsia="Batang"/>
          <w:szCs w:val="20"/>
          <w:lang w:eastAsia="ja-JP"/>
        </w:rPr>
      </w:pPr>
      <w:r>
        <w:rPr>
          <w:rFonts w:eastAsia="Batang" w:hint="eastAsia"/>
          <w:szCs w:val="20"/>
          <w:lang w:eastAsia="ko-KR"/>
        </w:rPr>
        <w:t xml:space="preserve">Introduction </w:t>
      </w:r>
      <w:r>
        <w:rPr>
          <w:rFonts w:eastAsia="Batang"/>
          <w:szCs w:val="20"/>
          <w:lang w:eastAsia="ko-KR"/>
        </w:rPr>
        <w:t xml:space="preserve">(Source: Working document towards </w:t>
      </w:r>
      <w:r>
        <w:t>A preliminary draft new Report ITU-R M.[AMATEUR.CHARACTERISTICS])</w:t>
      </w:r>
    </w:p>
    <w:p w14:paraId="3C9A3341" w14:textId="463827DF" w:rsidR="0082373B" w:rsidRPr="0082373B" w:rsidRDefault="0082373B" w:rsidP="0082373B">
      <w:pPr>
        <w:widowControl w:val="0"/>
        <w:autoSpaceDE w:val="0"/>
        <w:autoSpaceDN w:val="0"/>
        <w:adjustRightInd w:val="0"/>
        <w:spacing w:after="120"/>
        <w:ind w:left="720"/>
        <w:jc w:val="both"/>
        <w:rPr>
          <w:rFonts w:eastAsia="Batang"/>
          <w:szCs w:val="20"/>
          <w:lang w:eastAsia="ja-JP"/>
        </w:rPr>
      </w:pPr>
      <w:r>
        <w:rPr>
          <w:lang w:eastAsia="ja-JP"/>
        </w:rPr>
        <w:t xml:space="preserve">The frequency band </w:t>
      </w:r>
      <w:r>
        <w:t>1 </w:t>
      </w:r>
      <w:r>
        <w:rPr>
          <w:lang w:eastAsia="ja-JP"/>
        </w:rPr>
        <w:t>240</w:t>
      </w:r>
      <w:r>
        <w:t>-</w:t>
      </w:r>
      <w:r>
        <w:rPr>
          <w:lang w:eastAsia="ja-JP"/>
        </w:rPr>
        <w:t>1</w:t>
      </w:r>
      <w:r>
        <w:t> </w:t>
      </w:r>
      <w:r>
        <w:rPr>
          <w:lang w:eastAsia="ja-JP"/>
        </w:rPr>
        <w:t>300</w:t>
      </w:r>
      <w:r>
        <w:t> MHz</w:t>
      </w:r>
      <w:r>
        <w:rPr>
          <w:lang w:eastAsia="ja-JP"/>
        </w:rPr>
        <w:t xml:space="preserve"> is allocated worldwide to the amateur service on a secondary basis and has been used for a range of applications. The amateur-satellite service (Earth</w:t>
      </w:r>
      <w:r>
        <w:rPr>
          <w:lang w:eastAsia="ja-JP"/>
        </w:rPr>
        <w:noBreakHyphen/>
        <w:t xml:space="preserve">to-space) may operate in the frequency band </w:t>
      </w:r>
      <w:r>
        <w:t>1 </w:t>
      </w:r>
      <w:r>
        <w:rPr>
          <w:lang w:eastAsia="ja-JP"/>
        </w:rPr>
        <w:t>260</w:t>
      </w:r>
      <w:r>
        <w:t>-</w:t>
      </w:r>
      <w:r>
        <w:rPr>
          <w:lang w:eastAsia="ja-JP"/>
        </w:rPr>
        <w:t>1</w:t>
      </w:r>
      <w:r>
        <w:t> </w:t>
      </w:r>
      <w:r>
        <w:rPr>
          <w:lang w:eastAsia="ja-JP"/>
        </w:rPr>
        <w:t>270</w:t>
      </w:r>
      <w:r>
        <w:t> MHz</w:t>
      </w:r>
      <w:r>
        <w:rPr>
          <w:lang w:eastAsia="ja-JP"/>
        </w:rPr>
        <w:t xml:space="preserve"> under No. </w:t>
      </w:r>
      <w:r w:rsidRPr="0082373B">
        <w:rPr>
          <w:b/>
          <w:lang w:eastAsia="ja-JP"/>
        </w:rPr>
        <w:t>5.282</w:t>
      </w:r>
      <w:r>
        <w:rPr>
          <w:lang w:eastAsia="ja-JP"/>
        </w:rPr>
        <w:t xml:space="preserve"> of the Radio Regulations.</w:t>
      </w:r>
    </w:p>
    <w:p w14:paraId="02AD09B4" w14:textId="2C2B9405" w:rsidR="0082373B" w:rsidRDefault="0082373B" w:rsidP="0082373B">
      <w:pPr>
        <w:pStyle w:val="ListParagraph"/>
        <w:overflowPunct w:val="0"/>
        <w:autoSpaceDE w:val="0"/>
        <w:autoSpaceDN w:val="0"/>
        <w:snapToGrid w:val="0"/>
        <w:ind w:left="714"/>
        <w:jc w:val="both"/>
      </w:pPr>
      <w:r>
        <w:t>The frequency band 1 240-1 300 MHz is also allocated worldwide to the radionavigation-satellite service (RNSS) in the space-to-Earth direction on a primary basis. Many RNSS systems are operational and various types of RNSS receivers are being in use. Report ITU-R M.2458 summarizes the RNSS applications in this frequency band.</w:t>
      </w:r>
    </w:p>
    <w:p w14:paraId="1EDA47EE" w14:textId="77777777" w:rsidR="00D610A3" w:rsidRDefault="00D610A3" w:rsidP="0082373B">
      <w:pPr>
        <w:pStyle w:val="ListParagraph"/>
        <w:overflowPunct w:val="0"/>
        <w:autoSpaceDE w:val="0"/>
        <w:autoSpaceDN w:val="0"/>
        <w:snapToGrid w:val="0"/>
        <w:ind w:left="714"/>
        <w:jc w:val="both"/>
      </w:pPr>
    </w:p>
    <w:p w14:paraId="4359F4A4" w14:textId="2581D2EC" w:rsidR="0082373B" w:rsidRDefault="0082373B" w:rsidP="0082373B">
      <w:pPr>
        <w:pStyle w:val="ListParagraph"/>
        <w:overflowPunct w:val="0"/>
        <w:autoSpaceDE w:val="0"/>
        <w:autoSpaceDN w:val="0"/>
        <w:snapToGrid w:val="0"/>
        <w:ind w:left="714"/>
        <w:jc w:val="both"/>
      </w:pPr>
      <w:r>
        <w:t xml:space="preserve">Some cases of harmful interference caused by emissions from the stations in the amateur service into RNSS (space-to-Earth) receivers have been observed. Furthermore, number of similar interference cases may be increased, unless proper guidelines to protect RNSS (space-to-Earth) from the amateur and amateur-satellite services are implemented. Thus, this </w:t>
      </w:r>
      <w:r w:rsidRPr="0082373B">
        <w:t>potential interference issues need to be studied</w:t>
      </w:r>
      <w:r>
        <w:t>.</w:t>
      </w:r>
    </w:p>
    <w:p w14:paraId="008560C2" w14:textId="77777777" w:rsidR="00D610A3" w:rsidRPr="0082373B" w:rsidRDefault="00D610A3" w:rsidP="0082373B">
      <w:pPr>
        <w:pStyle w:val="ListParagraph"/>
        <w:overflowPunct w:val="0"/>
        <w:autoSpaceDE w:val="0"/>
        <w:autoSpaceDN w:val="0"/>
        <w:snapToGrid w:val="0"/>
        <w:ind w:left="714"/>
        <w:jc w:val="both"/>
      </w:pPr>
    </w:p>
    <w:p w14:paraId="0AC57BC5" w14:textId="6D0AFE89" w:rsidR="0082373B" w:rsidRDefault="0082373B" w:rsidP="0082373B">
      <w:pPr>
        <w:pStyle w:val="ListParagraph"/>
        <w:overflowPunct w:val="0"/>
        <w:autoSpaceDE w:val="0"/>
        <w:autoSpaceDN w:val="0"/>
        <w:snapToGrid w:val="0"/>
        <w:ind w:left="714"/>
        <w:jc w:val="both"/>
      </w:pPr>
      <w:r w:rsidRPr="0082373B">
        <w:t xml:space="preserve">In this regard, </w:t>
      </w:r>
      <w:r>
        <w:t xml:space="preserve">Resolution </w:t>
      </w:r>
      <w:r w:rsidRPr="0082373B">
        <w:t>774 (WRC-19)</w:t>
      </w:r>
      <w:r>
        <w:t xml:space="preserve"> invites ITU-R to study possible technical and operational measures to ensure the protection of RNSS (space-to-Earth) receivers from the amateur and amateur-satellite services in the frequency band 1 240-1 300 MHz, without considering the removal of these amateur and amateur-satellite service allocations.</w:t>
      </w:r>
    </w:p>
    <w:p w14:paraId="35235F21" w14:textId="77777777" w:rsidR="0082373B" w:rsidRDefault="0082373B" w:rsidP="00B11EAF">
      <w:pPr>
        <w:pStyle w:val="ListParagraph"/>
      </w:pPr>
    </w:p>
    <w:p w14:paraId="5C76A7F7" w14:textId="5DCE0BB9" w:rsidR="00F462F5" w:rsidRPr="00F462F5" w:rsidRDefault="00F462F5" w:rsidP="00BA00B1">
      <w:pPr>
        <w:pStyle w:val="ListParagraph"/>
        <w:widowControl w:val="0"/>
        <w:numPr>
          <w:ilvl w:val="0"/>
          <w:numId w:val="21"/>
        </w:numPr>
        <w:autoSpaceDE w:val="0"/>
        <w:autoSpaceDN w:val="0"/>
        <w:adjustRightInd w:val="0"/>
        <w:spacing w:after="120"/>
        <w:jc w:val="both"/>
        <w:rPr>
          <w:bCs/>
          <w:lang w:val="en-NZ" w:eastAsia="ko-KR"/>
        </w:rPr>
      </w:pPr>
      <w:r w:rsidRPr="00F462F5">
        <w:rPr>
          <w:bCs/>
          <w:lang w:val="en-NZ" w:eastAsia="ko-KR"/>
        </w:rPr>
        <w:t>History of the allocations to the amateur and amateur-satellite services</w:t>
      </w:r>
    </w:p>
    <w:p w14:paraId="4CCC8731" w14:textId="2A06394D" w:rsidR="00F462F5" w:rsidRDefault="00F462F5" w:rsidP="00024EBC">
      <w:pPr>
        <w:pStyle w:val="ListParagraph"/>
        <w:overflowPunct w:val="0"/>
        <w:autoSpaceDE w:val="0"/>
        <w:autoSpaceDN w:val="0"/>
        <w:snapToGrid w:val="0"/>
        <w:ind w:left="714"/>
        <w:jc w:val="both"/>
      </w:pPr>
      <w:r w:rsidRPr="00F462F5">
        <w:t>An amateur service allocation of 1 215-1 300 MHz was made on a primary, exclusive basis at</w:t>
      </w:r>
      <w:r>
        <w:t xml:space="preserve"> </w:t>
      </w:r>
      <w:r w:rsidRPr="00F462F5">
        <w:t>the 1947 International Radio Conference in Atlantic City. At the World Administrative Radio</w:t>
      </w:r>
      <w:r>
        <w:t xml:space="preserve"> </w:t>
      </w:r>
      <w:r w:rsidRPr="00F462F5">
        <w:t>Conference (WARC), Geneva, 1959, the allocation was changed to radiolocation primary and</w:t>
      </w:r>
      <w:r>
        <w:t xml:space="preserve"> </w:t>
      </w:r>
      <w:r w:rsidRPr="00F462F5">
        <w:t xml:space="preserve">amateur secondary. narrowed to 1 240-1 300 </w:t>
      </w:r>
      <w:proofErr w:type="spellStart"/>
      <w:r w:rsidRPr="00F462F5">
        <w:t>MHz.</w:t>
      </w:r>
      <w:proofErr w:type="spellEnd"/>
      <w:r w:rsidRPr="00F462F5">
        <w:t xml:space="preserve"> At the 1979 WARC radionavigation</w:t>
      </w:r>
      <w:r w:rsidR="00C44438">
        <w:t>-</w:t>
      </w:r>
      <w:r w:rsidRPr="00F462F5">
        <w:t xml:space="preserve">satellite(space-to-Earth) was added to 1 240-1 260 MHz as a primary service and an amateur-satellite allocation (Earth-to-space) was added at 1 260-1 270 </w:t>
      </w:r>
      <w:proofErr w:type="spellStart"/>
      <w:r w:rsidRPr="00F462F5">
        <w:t>MHz.</w:t>
      </w:r>
      <w:proofErr w:type="spellEnd"/>
      <w:r w:rsidRPr="00F462F5">
        <w:t xml:space="preserve"> The radionavigation-satellite service was added to 1 260-1 300 MHz at the World Radiocommunication Conference, Istanbul, 2000. Also in 2000 the earth-exploration satellite service and space research service were added to 1 215-1 300 MHz as primary services but with certain constraints to protect other primary services including the radionavigation service, which is allocated by footnote in a very large number of countries</w:t>
      </w:r>
      <w:r w:rsidR="00423771">
        <w:t xml:space="preserve"> </w:t>
      </w:r>
      <w:r w:rsidR="00390362">
        <w:t>(Source: IARU R1)</w:t>
      </w:r>
      <w:r w:rsidR="00C44C33">
        <w:t>.</w:t>
      </w:r>
    </w:p>
    <w:p w14:paraId="14CE69EC" w14:textId="454740A7" w:rsidR="00F462F5" w:rsidRDefault="00F462F5" w:rsidP="00B11EAF">
      <w:pPr>
        <w:pStyle w:val="ListParagraph"/>
      </w:pPr>
    </w:p>
    <w:p w14:paraId="62B973D1" w14:textId="3A5CB933" w:rsidR="00B11EAF" w:rsidRDefault="00F462F5" w:rsidP="00E937A6">
      <w:pPr>
        <w:pStyle w:val="ListParagraph"/>
        <w:widowControl w:val="0"/>
        <w:numPr>
          <w:ilvl w:val="0"/>
          <w:numId w:val="21"/>
        </w:numPr>
        <w:wordWrap w:val="0"/>
        <w:autoSpaceDE w:val="0"/>
        <w:autoSpaceDN w:val="0"/>
        <w:adjustRightInd w:val="0"/>
        <w:spacing w:after="120"/>
        <w:jc w:val="both"/>
        <w:rPr>
          <w:lang w:eastAsia="ko-KR"/>
        </w:rPr>
      </w:pPr>
      <w:r w:rsidRPr="00715E9E">
        <w:rPr>
          <w:bCs/>
          <w:lang w:val="en-NZ" w:eastAsia="ko-KR"/>
        </w:rPr>
        <w:t xml:space="preserve">Current status of </w:t>
      </w:r>
      <w:r w:rsidR="00B11EAF">
        <w:rPr>
          <w:rFonts w:hint="eastAsia"/>
          <w:lang w:eastAsia="ko-KR"/>
        </w:rPr>
        <w:t>the table of frequency allocations related to this agenda item in Radio Regulation.</w:t>
      </w:r>
    </w:p>
    <w:p w14:paraId="28F9F938" w14:textId="77777777" w:rsidR="00AA12B1" w:rsidRDefault="00AA12B1" w:rsidP="00AA12B1">
      <w:pPr>
        <w:widowControl w:val="0"/>
        <w:tabs>
          <w:tab w:val="left" w:pos="3844"/>
        </w:tabs>
        <w:wordWrap w:val="0"/>
        <w:autoSpaceDE w:val="0"/>
        <w:autoSpaceDN w:val="0"/>
        <w:jc w:val="both"/>
        <w:rPr>
          <w:lang w:eastAsia="ko-KR"/>
        </w:rPr>
      </w:pPr>
      <w:r>
        <w:rPr>
          <w:lang w:eastAsia="ko-KR"/>
        </w:rPr>
        <w:tab/>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A12B1" w:rsidRPr="00D41CE2" w14:paraId="145EBA32" w14:textId="77777777" w:rsidTr="00962F2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8DA93A4" w14:textId="77777777" w:rsidR="00AA12B1" w:rsidRPr="00D41CE2" w:rsidRDefault="00AA12B1" w:rsidP="00962F2B">
            <w:pPr>
              <w:pStyle w:val="Tablehead"/>
            </w:pPr>
            <w:r w:rsidRPr="00D41CE2">
              <w:lastRenderedPageBreak/>
              <w:t>Allocation to services</w:t>
            </w:r>
          </w:p>
        </w:tc>
      </w:tr>
      <w:tr w:rsidR="00AA12B1" w:rsidRPr="00D41CE2" w14:paraId="243053E8" w14:textId="77777777" w:rsidTr="00962F2B">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1119CBCF" w14:textId="77777777" w:rsidR="00AA12B1" w:rsidRPr="00D41CE2" w:rsidRDefault="00AA12B1" w:rsidP="00962F2B">
            <w:pPr>
              <w:pStyle w:val="Tablehead"/>
            </w:pPr>
            <w:r w:rsidRPr="00D41CE2">
              <w:t>Region 1</w:t>
            </w:r>
          </w:p>
        </w:tc>
        <w:tc>
          <w:tcPr>
            <w:tcW w:w="3100" w:type="dxa"/>
            <w:tcBorders>
              <w:top w:val="single" w:sz="4" w:space="0" w:color="auto"/>
              <w:left w:val="single" w:sz="6" w:space="0" w:color="auto"/>
              <w:bottom w:val="single" w:sz="6" w:space="0" w:color="auto"/>
              <w:right w:val="single" w:sz="6" w:space="0" w:color="auto"/>
            </w:tcBorders>
            <w:hideMark/>
          </w:tcPr>
          <w:p w14:paraId="25AC8E28" w14:textId="77777777" w:rsidR="00AA12B1" w:rsidRPr="00D41CE2" w:rsidRDefault="00AA12B1" w:rsidP="00962F2B">
            <w:pPr>
              <w:pStyle w:val="Tablehead"/>
            </w:pPr>
            <w:r w:rsidRPr="00D41CE2">
              <w:t>Region 2</w:t>
            </w:r>
          </w:p>
        </w:tc>
        <w:tc>
          <w:tcPr>
            <w:tcW w:w="3100" w:type="dxa"/>
            <w:tcBorders>
              <w:top w:val="single" w:sz="4" w:space="0" w:color="auto"/>
              <w:left w:val="single" w:sz="6" w:space="0" w:color="auto"/>
              <w:bottom w:val="single" w:sz="6" w:space="0" w:color="auto"/>
              <w:right w:val="single" w:sz="6" w:space="0" w:color="auto"/>
            </w:tcBorders>
            <w:hideMark/>
          </w:tcPr>
          <w:p w14:paraId="67D652B8" w14:textId="77777777" w:rsidR="00AA12B1" w:rsidRPr="00D41CE2" w:rsidRDefault="00AA12B1" w:rsidP="00962F2B">
            <w:pPr>
              <w:pStyle w:val="Tablehead"/>
            </w:pPr>
            <w:r w:rsidRPr="00D41CE2">
              <w:t>Region 3</w:t>
            </w:r>
          </w:p>
        </w:tc>
      </w:tr>
      <w:tr w:rsidR="00AA12B1" w14:paraId="03F20746" w14:textId="77777777" w:rsidTr="00962F2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73E818E" w14:textId="77777777" w:rsidR="00AA12B1" w:rsidRDefault="00AA12B1" w:rsidP="00962F2B">
            <w:pPr>
              <w:pStyle w:val="TableTextS5"/>
              <w:rPr>
                <w:color w:val="000000"/>
                <w:lang w:val="en-AU"/>
              </w:rPr>
            </w:pPr>
            <w:r w:rsidRPr="005279B9">
              <w:rPr>
                <w:rStyle w:val="Tablefreq"/>
              </w:rPr>
              <w:t>1 240-1 300</w:t>
            </w:r>
            <w:r>
              <w:rPr>
                <w:color w:val="000000"/>
                <w:lang w:val="en-AU"/>
              </w:rPr>
              <w:tab/>
              <w:t>EARTH EXPLORATION-SATELLITE (active)</w:t>
            </w:r>
          </w:p>
          <w:p w14:paraId="53FCDD4E" w14:textId="77777777" w:rsidR="00AA12B1" w:rsidRDefault="00AA12B1" w:rsidP="00962F2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14:paraId="26C2E66F" w14:textId="77777777" w:rsidR="00AA12B1" w:rsidRDefault="00AA12B1" w:rsidP="00962F2B">
            <w:pPr>
              <w:pStyle w:val="TableTextS5"/>
              <w:jc w:val="left"/>
              <w:rPr>
                <w:color w:val="000000"/>
                <w:lang w:val="en-US"/>
              </w:rPr>
            </w:pPr>
            <w:r>
              <w:rPr>
                <w:color w:val="000000"/>
                <w:lang w:val="en-US"/>
              </w:rPr>
              <w:tab/>
            </w:r>
            <w:r>
              <w:rPr>
                <w:color w:val="000000"/>
                <w:lang w:val="en-US"/>
              </w:rPr>
              <w:tab/>
            </w:r>
            <w:r>
              <w:rPr>
                <w:color w:val="000000"/>
                <w:lang w:val="en-US"/>
              </w:rPr>
              <w:tab/>
            </w:r>
            <w:r>
              <w:rPr>
                <w:color w:val="000000"/>
                <w:lang w:val="en-US"/>
              </w:rPr>
              <w:tab/>
              <w:t xml:space="preserve">RADIONAVIGATION-SATELLITE  (space-to-Earth) (space-to-space)  </w:t>
            </w:r>
            <w:r>
              <w:rPr>
                <w:color w:val="000000"/>
                <w:lang w:val="en-US"/>
              </w:rPr>
              <w:tab/>
            </w:r>
            <w:r>
              <w:rPr>
                <w:color w:val="000000"/>
                <w:lang w:val="en-US"/>
              </w:rPr>
              <w:tab/>
            </w:r>
            <w:r>
              <w:rPr>
                <w:color w:val="000000"/>
                <w:lang w:val="en-US"/>
              </w:rPr>
              <w:tab/>
            </w:r>
            <w:r>
              <w:rPr>
                <w:color w:val="000000"/>
                <w:lang w:val="en-US"/>
              </w:rPr>
              <w:tab/>
            </w:r>
            <w:r>
              <w:rPr>
                <w:rStyle w:val="Artref"/>
                <w:color w:val="000000"/>
              </w:rPr>
              <w:t>5.328B</w:t>
            </w:r>
            <w:r>
              <w:rPr>
                <w:color w:val="000000"/>
                <w:lang w:val="en-US"/>
              </w:rPr>
              <w:t xml:space="preserve">  </w:t>
            </w:r>
            <w:r>
              <w:rPr>
                <w:rStyle w:val="Artref"/>
                <w:color w:val="000000"/>
                <w:lang w:val="en-US"/>
              </w:rPr>
              <w:t>5.329</w:t>
            </w:r>
            <w:r>
              <w:rPr>
                <w:color w:val="000000"/>
              </w:rPr>
              <w:t xml:space="preserve">  </w:t>
            </w:r>
            <w:r>
              <w:rPr>
                <w:rStyle w:val="Artref"/>
                <w:color w:val="000000"/>
                <w:lang w:val="en-US"/>
              </w:rPr>
              <w:t>5.329A</w:t>
            </w:r>
          </w:p>
          <w:p w14:paraId="1E0EF5C9" w14:textId="77777777" w:rsidR="00AA12B1" w:rsidRDefault="00AA12B1" w:rsidP="00962F2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14:paraId="3EF7E21B" w14:textId="77777777" w:rsidR="00AA12B1" w:rsidRDefault="00AA12B1" w:rsidP="00962F2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Amateur</w:t>
            </w:r>
          </w:p>
          <w:p w14:paraId="46AA0797" w14:textId="77777777" w:rsidR="00AA12B1" w:rsidRDefault="00AA12B1" w:rsidP="00962F2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5.282</w:t>
            </w:r>
            <w:r>
              <w:rPr>
                <w:color w:val="000000"/>
              </w:rPr>
              <w:t xml:space="preserve">  </w:t>
            </w:r>
            <w:r>
              <w:rPr>
                <w:rStyle w:val="Artref"/>
                <w:color w:val="000000"/>
              </w:rPr>
              <w:t>5.330</w:t>
            </w:r>
            <w:r>
              <w:rPr>
                <w:color w:val="000000"/>
              </w:rPr>
              <w:t xml:space="preserve">  </w:t>
            </w:r>
            <w:r>
              <w:rPr>
                <w:rStyle w:val="Artref"/>
                <w:color w:val="000000"/>
              </w:rPr>
              <w:t>5.331</w:t>
            </w:r>
            <w:r>
              <w:rPr>
                <w:color w:val="000000"/>
              </w:rPr>
              <w:t xml:space="preserve">  </w:t>
            </w:r>
            <w:r>
              <w:rPr>
                <w:rStyle w:val="Artref"/>
                <w:color w:val="000000"/>
              </w:rPr>
              <w:t>5.332</w:t>
            </w:r>
            <w:r>
              <w:rPr>
                <w:color w:val="000000"/>
              </w:rPr>
              <w:t xml:space="preserve">  </w:t>
            </w:r>
            <w:r>
              <w:rPr>
                <w:rStyle w:val="Artref"/>
                <w:color w:val="000000"/>
              </w:rPr>
              <w:t>5.335</w:t>
            </w:r>
            <w:r>
              <w:rPr>
                <w:color w:val="000000"/>
              </w:rPr>
              <w:t xml:space="preserve">  </w:t>
            </w:r>
            <w:r>
              <w:rPr>
                <w:rStyle w:val="Artref"/>
                <w:color w:val="000000"/>
              </w:rPr>
              <w:t>5.335A</w:t>
            </w:r>
          </w:p>
        </w:tc>
      </w:tr>
    </w:tbl>
    <w:p w14:paraId="03619CF3" w14:textId="721FD470" w:rsidR="00582D88" w:rsidRDefault="009A514E" w:rsidP="009A514E">
      <w:pPr>
        <w:widowControl w:val="0"/>
        <w:tabs>
          <w:tab w:val="left" w:pos="2317"/>
        </w:tabs>
        <w:wordWrap w:val="0"/>
        <w:autoSpaceDE w:val="0"/>
        <w:autoSpaceDN w:val="0"/>
        <w:jc w:val="both"/>
        <w:rPr>
          <w:lang w:val="en-AU" w:eastAsia="ko-KR"/>
        </w:rPr>
      </w:pPr>
      <w:r>
        <w:rPr>
          <w:lang w:val="en-AU" w:eastAsia="ko-KR"/>
        </w:rPr>
        <w:tab/>
      </w:r>
    </w:p>
    <w:p w14:paraId="2EA1D957" w14:textId="77777777" w:rsidR="009A514E" w:rsidRDefault="009A514E" w:rsidP="009A514E">
      <w:pPr>
        <w:pStyle w:val="Note"/>
        <w:rPr>
          <w:lang w:val="en-AU"/>
        </w:rPr>
      </w:pPr>
      <w:r w:rsidRPr="00841936">
        <w:rPr>
          <w:rStyle w:val="Artdef"/>
        </w:rPr>
        <w:t>5.282</w:t>
      </w:r>
      <w:r w:rsidRPr="00841936">
        <w:rPr>
          <w:rStyle w:val="Artdef"/>
        </w:rPr>
        <w:tab/>
      </w:r>
      <w:r>
        <w:rPr>
          <w:lang w:val="en-AU"/>
        </w:rPr>
        <w:t>In the bands 435-438 MHz, 1</w:t>
      </w:r>
      <w:r w:rsidRPr="007162B5">
        <w:t> </w:t>
      </w:r>
      <w:r>
        <w:rPr>
          <w:lang w:val="en-AU"/>
        </w:rPr>
        <w:t>260-1</w:t>
      </w:r>
      <w:r w:rsidRPr="007162B5">
        <w:t> </w:t>
      </w:r>
      <w:r>
        <w:rPr>
          <w:lang w:val="en-AU"/>
        </w:rPr>
        <w:t>270 MHz, 2</w:t>
      </w:r>
      <w:r w:rsidRPr="007162B5">
        <w:t> </w:t>
      </w:r>
      <w:r>
        <w:rPr>
          <w:lang w:val="en-AU"/>
        </w:rPr>
        <w:t>400-2</w:t>
      </w:r>
      <w:r w:rsidRPr="007162B5">
        <w:t> </w:t>
      </w:r>
      <w:r>
        <w:rPr>
          <w:lang w:val="en-AU"/>
        </w:rPr>
        <w:t>450 MHz, 3</w:t>
      </w:r>
      <w:r w:rsidRPr="007162B5">
        <w:t> </w:t>
      </w:r>
      <w:r>
        <w:rPr>
          <w:lang w:val="en-AU"/>
        </w:rPr>
        <w:t>400-3</w:t>
      </w:r>
      <w:r w:rsidRPr="007162B5">
        <w:t> </w:t>
      </w:r>
      <w:r>
        <w:rPr>
          <w:lang w:val="en-AU"/>
        </w:rPr>
        <w:t>410 MHz (in Regions 2 and 3 only) and 5</w:t>
      </w:r>
      <w:r w:rsidRPr="007162B5">
        <w:t> </w:t>
      </w:r>
      <w:r>
        <w:rPr>
          <w:lang w:val="en-AU"/>
        </w:rPr>
        <w:t>650-5</w:t>
      </w:r>
      <w:r w:rsidRPr="007162B5">
        <w:t> </w:t>
      </w:r>
      <w:r>
        <w:rPr>
          <w:lang w:val="en-AU"/>
        </w:rPr>
        <w:t xml:space="preserve">670 MHz, the amateur-satellite service may operate subject to not causing </w:t>
      </w:r>
      <w:r w:rsidRPr="00815816">
        <w:t>harmful</w:t>
      </w:r>
      <w:r>
        <w:rPr>
          <w:lang w:val="en-AU"/>
        </w:rPr>
        <w:t xml:space="preserve"> interference to other services operating in accordance with the Table (see No.</w:t>
      </w:r>
      <w:r>
        <w:t> </w:t>
      </w:r>
      <w:r w:rsidRPr="002813BA">
        <w:rPr>
          <w:rStyle w:val="Artref"/>
          <w:b/>
          <w:bCs/>
        </w:rPr>
        <w:t>5.43</w:t>
      </w:r>
      <w:r>
        <w:rPr>
          <w:lang w:val="en-AU"/>
        </w:rPr>
        <w:t>). Administrations authorizing such use shall ensure that any harmful interference caused by emissions from a station in the amateur-satellite service is immediately eliminated in accordance with the provisions of No. </w:t>
      </w:r>
      <w:r w:rsidRPr="002813BA">
        <w:rPr>
          <w:rStyle w:val="Artref"/>
          <w:b/>
          <w:bCs/>
        </w:rPr>
        <w:t>25.11</w:t>
      </w:r>
      <w:r>
        <w:rPr>
          <w:lang w:val="en-AU"/>
        </w:rPr>
        <w:t>. The use of the bands 1</w:t>
      </w:r>
      <w:r w:rsidRPr="007162B5">
        <w:t> </w:t>
      </w:r>
      <w:r>
        <w:rPr>
          <w:lang w:val="en-AU"/>
        </w:rPr>
        <w:t>260-1</w:t>
      </w:r>
      <w:r w:rsidRPr="007162B5">
        <w:t> </w:t>
      </w:r>
      <w:r>
        <w:rPr>
          <w:lang w:val="en-AU"/>
        </w:rPr>
        <w:t>270 MHz and 5</w:t>
      </w:r>
      <w:r w:rsidRPr="007162B5">
        <w:t> </w:t>
      </w:r>
      <w:r>
        <w:rPr>
          <w:lang w:val="en-AU"/>
        </w:rPr>
        <w:t>650-5</w:t>
      </w:r>
      <w:r w:rsidRPr="007162B5">
        <w:t> </w:t>
      </w:r>
      <w:r>
        <w:rPr>
          <w:lang w:val="en-AU"/>
        </w:rPr>
        <w:t>670 MHz by the amateur-satellite service is limited to the Earth-to-space direction.</w:t>
      </w:r>
    </w:p>
    <w:p w14:paraId="4A25C7A5" w14:textId="15531C76" w:rsidR="009A514E" w:rsidRDefault="009A514E" w:rsidP="009A514E">
      <w:pPr>
        <w:widowControl w:val="0"/>
        <w:tabs>
          <w:tab w:val="left" w:pos="2317"/>
        </w:tabs>
        <w:wordWrap w:val="0"/>
        <w:autoSpaceDE w:val="0"/>
        <w:autoSpaceDN w:val="0"/>
        <w:jc w:val="both"/>
        <w:rPr>
          <w:lang w:val="en-AU" w:eastAsia="ko-KR"/>
        </w:rPr>
      </w:pPr>
    </w:p>
    <w:p w14:paraId="76204831" w14:textId="77777777" w:rsidR="009A514E" w:rsidRPr="00EB1F40" w:rsidRDefault="009A514E" w:rsidP="009A514E">
      <w:pPr>
        <w:pStyle w:val="Note"/>
      </w:pPr>
      <w:r w:rsidRPr="00961EF1">
        <w:rPr>
          <w:rStyle w:val="Artdef"/>
        </w:rPr>
        <w:t>5.328B</w:t>
      </w:r>
      <w:r w:rsidRPr="00961EF1">
        <w:rPr>
          <w:rStyle w:val="Artdef"/>
        </w:rPr>
        <w:tab/>
      </w:r>
      <w:r>
        <w:t>The use of the bands 1</w:t>
      </w:r>
      <w:r w:rsidRPr="007162B5">
        <w:t> </w:t>
      </w:r>
      <w:r>
        <w:t>164-1</w:t>
      </w:r>
      <w:r w:rsidRPr="007162B5">
        <w:t> </w:t>
      </w:r>
      <w:r>
        <w:t>300 MHz, 1</w:t>
      </w:r>
      <w:r w:rsidRPr="007162B5">
        <w:t> </w:t>
      </w:r>
      <w:r>
        <w:t>559-1</w:t>
      </w:r>
      <w:r w:rsidRPr="007162B5">
        <w:t> </w:t>
      </w:r>
      <w:r>
        <w:t>610 MHz and 5</w:t>
      </w:r>
      <w:r w:rsidRPr="007162B5">
        <w:t> </w:t>
      </w:r>
      <w:r>
        <w:t>010-5</w:t>
      </w:r>
      <w:r w:rsidRPr="007162B5">
        <w:t> </w:t>
      </w:r>
      <w:r>
        <w:t>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C11011">
        <w:rPr>
          <w:rStyle w:val="ArtrefBold"/>
        </w:rPr>
        <w:t>9.12</w:t>
      </w:r>
      <w:r>
        <w:t xml:space="preserve">, </w:t>
      </w:r>
      <w:r w:rsidRPr="00C11011">
        <w:rPr>
          <w:rStyle w:val="ArtrefBold"/>
        </w:rPr>
        <w:t>9.12A</w:t>
      </w:r>
      <w:r>
        <w:t xml:space="preserve"> and </w:t>
      </w:r>
      <w:r w:rsidRPr="00C11011">
        <w:rPr>
          <w:rStyle w:val="ArtrefBold"/>
        </w:rPr>
        <w:t>9.13</w:t>
      </w:r>
      <w:r>
        <w:t>. Resolution </w:t>
      </w:r>
      <w:r w:rsidRPr="00C11011">
        <w:rPr>
          <w:rStyle w:val="ArtrefBold"/>
        </w:rPr>
        <w:t>610</w:t>
      </w:r>
      <w:r>
        <w:t xml:space="preserve"> </w:t>
      </w:r>
      <w:r>
        <w:rPr>
          <w:b/>
          <w:bCs/>
        </w:rPr>
        <w:t>(WRC</w:t>
      </w:r>
      <w:r>
        <w:rPr>
          <w:b/>
          <w:bCs/>
        </w:rPr>
        <w:noBreakHyphen/>
        <w:t>03)</w:t>
      </w:r>
      <w:r w:rsidRPr="00835A36">
        <w:rPr>
          <w:rStyle w:val="FootnoteReference"/>
        </w:rPr>
        <w:footnoteReference w:customMarkFollows="1" w:id="1"/>
        <w:t>*</w:t>
      </w:r>
      <w:r>
        <w:t xml:space="preserve"> shall also apply; however, in the case of radionavigation-satellite service (space-to-space) networks and systems, Resolution </w:t>
      </w:r>
      <w:r w:rsidRPr="001D392E">
        <w:rPr>
          <w:b/>
          <w:bCs/>
        </w:rPr>
        <w:t>610 (WRC-03)</w:t>
      </w:r>
      <w:r w:rsidRPr="00952192">
        <w:rPr>
          <w:rStyle w:val="FootnoteReference"/>
        </w:rPr>
        <w:t>*</w:t>
      </w:r>
      <w:r>
        <w:t xml:space="preserve"> shall only apply to transmitting space stations. In accordance with No. </w:t>
      </w:r>
      <w:r w:rsidRPr="00D70F9E">
        <w:rPr>
          <w:b/>
          <w:bCs/>
        </w:rPr>
        <w:t>5.329A</w:t>
      </w:r>
      <w:r>
        <w:t>, for systems and networks in the radionavigation-satellite service (space-to-space) in the bands 1</w:t>
      </w:r>
      <w:r w:rsidRPr="007162B5">
        <w:t> </w:t>
      </w:r>
      <w:r>
        <w:t>215</w:t>
      </w:r>
      <w:r>
        <w:noBreakHyphen/>
        <w:t>1</w:t>
      </w:r>
      <w:r w:rsidRPr="007162B5">
        <w:t> </w:t>
      </w:r>
      <w:r>
        <w:t>300 MHz and 1</w:t>
      </w:r>
      <w:r w:rsidRPr="007162B5">
        <w:t> </w:t>
      </w:r>
      <w:r>
        <w:t>559-1</w:t>
      </w:r>
      <w:r w:rsidRPr="007162B5">
        <w:t> </w:t>
      </w:r>
      <w:r>
        <w:t xml:space="preserve">610 MHz, the provisions of Nos. </w:t>
      </w:r>
      <w:r w:rsidRPr="00926110">
        <w:rPr>
          <w:b/>
          <w:bCs/>
        </w:rPr>
        <w:t>9.7</w:t>
      </w:r>
      <w:r>
        <w:t xml:space="preserve">, </w:t>
      </w:r>
      <w:r>
        <w:rPr>
          <w:b/>
          <w:bCs/>
        </w:rPr>
        <w:t>9.12</w:t>
      </w:r>
      <w:r w:rsidRPr="00B1211B">
        <w:t xml:space="preserve">, </w:t>
      </w:r>
      <w:r>
        <w:rPr>
          <w:b/>
          <w:bCs/>
        </w:rPr>
        <w:t>9.12A</w:t>
      </w:r>
      <w:r>
        <w:t xml:space="preserve"> and </w:t>
      </w:r>
      <w:r>
        <w:rPr>
          <w:b/>
          <w:bCs/>
        </w:rPr>
        <w:t>9.13</w:t>
      </w:r>
      <w:r>
        <w:t xml:space="preserve"> shall only apply with respect to other systems and networks in the radionavigation-satellite service (space-to-space).</w:t>
      </w:r>
      <w:r w:rsidRPr="00F43816">
        <w:rPr>
          <w:sz w:val="16"/>
        </w:rPr>
        <w:t>     (WRC-07)</w:t>
      </w:r>
    </w:p>
    <w:p w14:paraId="4F7E81CD" w14:textId="77777777" w:rsidR="009A514E" w:rsidRDefault="009A514E" w:rsidP="009A514E">
      <w:pPr>
        <w:pStyle w:val="Note"/>
      </w:pPr>
      <w:r>
        <w:rPr>
          <w:rStyle w:val="Artdef"/>
        </w:rPr>
        <w:t>5.329</w:t>
      </w:r>
      <w:r>
        <w:rPr>
          <w:rStyle w:val="Artdef"/>
        </w:rPr>
        <w:tab/>
      </w:r>
      <w:r>
        <w:t>Use of the radionavigation-satellite service in the frequency band 1 215-1 300 MHz shall be subject to the condition that no harmful interference is caused to, and no protection is claimed from, the radionavigation service authorized under No. </w:t>
      </w:r>
      <w:r>
        <w:rPr>
          <w:rStyle w:val="ArtrefBold"/>
        </w:rPr>
        <w:t>5.331</w:t>
      </w:r>
      <w:r>
        <w:t>. Furthermore, the use of the radionavigation-satellite service in the frequency band 1 215-1 300 MHz shall be subject to the condition that no harmful interference is caused to the radiolocation service. No. </w:t>
      </w:r>
      <w:r>
        <w:rPr>
          <w:rStyle w:val="ArtrefBold"/>
        </w:rPr>
        <w:t>5.43</w:t>
      </w:r>
      <w:r>
        <w:t xml:space="preserve"> shall not apply in respect of the radiolocation service. Resolution </w:t>
      </w:r>
      <w:r>
        <w:rPr>
          <w:b/>
          <w:bCs/>
        </w:rPr>
        <w:t>608 (Rev.WRC</w:t>
      </w:r>
      <w:r>
        <w:rPr>
          <w:b/>
          <w:bCs/>
        </w:rPr>
        <w:noBreakHyphen/>
        <w:t>19)</w:t>
      </w:r>
      <w:r>
        <w:t xml:space="preserve"> shall apply.</w:t>
      </w:r>
      <w:r>
        <w:rPr>
          <w:sz w:val="16"/>
        </w:rPr>
        <w:t>     (WRC</w:t>
      </w:r>
      <w:r>
        <w:rPr>
          <w:sz w:val="16"/>
        </w:rPr>
        <w:noBreakHyphen/>
        <w:t>19)</w:t>
      </w:r>
    </w:p>
    <w:p w14:paraId="43467502" w14:textId="77777777" w:rsidR="009A514E" w:rsidRPr="004B4B39" w:rsidRDefault="009A514E" w:rsidP="009A514E">
      <w:pPr>
        <w:pStyle w:val="Note"/>
      </w:pPr>
      <w:r w:rsidRPr="00961EF1">
        <w:rPr>
          <w:rStyle w:val="Artdef"/>
        </w:rPr>
        <w:t>5.329A</w:t>
      </w:r>
      <w:r w:rsidRPr="00961EF1">
        <w:rPr>
          <w:rStyle w:val="Artdef"/>
        </w:rPr>
        <w:tab/>
      </w:r>
      <w:r>
        <w:t>Use of systems in the radionavigation-satellite service (space-to-space) operating in the bands 1</w:t>
      </w:r>
      <w:r w:rsidRPr="007162B5">
        <w:t> </w:t>
      </w:r>
      <w:r>
        <w:t>215</w:t>
      </w:r>
      <w:r>
        <w:noBreakHyphen/>
        <w:t>1</w:t>
      </w:r>
      <w:r w:rsidRPr="007162B5">
        <w:t> </w:t>
      </w:r>
      <w:r>
        <w:t>300 MHz and 1</w:t>
      </w:r>
      <w:r w:rsidRPr="007162B5">
        <w:t> </w:t>
      </w:r>
      <w:r>
        <w:t>559-1</w:t>
      </w:r>
      <w:r w:rsidRPr="007162B5">
        <w:t> </w:t>
      </w:r>
      <w:r>
        <w:t>610 MHz is not intended to provide safety service applications, and shall not impose any additional constraints on radionavigation-satellite service (space-to-Earth) systems or on other services operating in accordance with the Table of Frequency Allocations.</w:t>
      </w:r>
      <w:r>
        <w:rPr>
          <w:sz w:val="16"/>
        </w:rPr>
        <w:t>     (WRC</w:t>
      </w:r>
      <w:r>
        <w:rPr>
          <w:sz w:val="16"/>
        </w:rPr>
        <w:noBreakHyphen/>
        <w:t>07)</w:t>
      </w:r>
    </w:p>
    <w:p w14:paraId="01E77261" w14:textId="6FE15AA3" w:rsidR="009A514E" w:rsidRDefault="009A514E" w:rsidP="00F462F5">
      <w:pPr>
        <w:pStyle w:val="Note"/>
      </w:pPr>
      <w:r w:rsidRPr="004046E7">
        <w:rPr>
          <w:rStyle w:val="Artdef"/>
        </w:rPr>
        <w:t>5.330</w:t>
      </w:r>
      <w:r w:rsidRPr="004046E7">
        <w:rPr>
          <w:rStyle w:val="Artdef"/>
        </w:rPr>
        <w:tab/>
      </w:r>
      <w:r w:rsidRPr="004046E7">
        <w:rPr>
          <w:i/>
        </w:rPr>
        <w:t>Additional allocation:  </w:t>
      </w:r>
      <w:r w:rsidRPr="004046E7">
        <w:t xml:space="preserve">in Angola, Saudi Arabia, Bahrain, Bangladesh, Cameroon, China, Djibouti, Egypt, the United Arab Emirates, Eritrea, Ethiopia, Guyana, India, Indonesia, Iran (Islamic Republic of), </w:t>
      </w:r>
      <w:r>
        <w:t>Iraq</w:t>
      </w:r>
      <w:r w:rsidRPr="004046E7">
        <w:t>, Israel, Japan, Jordan, Kuwait, Nepal, Oman, Pakistan, the Philippines, Qatar, the Syrian Arab Republic, Somalia, Sudan, South Sudan, Chad, Togo and Yemen, the band 1 215-1 300</w:t>
      </w:r>
      <w:r>
        <w:t> MHz</w:t>
      </w:r>
      <w:r w:rsidRPr="004046E7">
        <w:t xml:space="preserve"> is also allocated to the fixed and mobile services on a primary basis.</w:t>
      </w:r>
      <w:r>
        <w:rPr>
          <w:sz w:val="16"/>
        </w:rPr>
        <w:t>  </w:t>
      </w:r>
      <w:r w:rsidRPr="004046E7">
        <w:rPr>
          <w:sz w:val="16"/>
        </w:rPr>
        <w:t>  (</w:t>
      </w:r>
      <w:r>
        <w:rPr>
          <w:sz w:val="16"/>
        </w:rPr>
        <w:t>WRC</w:t>
      </w:r>
      <w:r>
        <w:rPr>
          <w:sz w:val="16"/>
        </w:rPr>
        <w:noBreakHyphen/>
      </w:r>
      <w:r w:rsidRPr="004046E7">
        <w:rPr>
          <w:sz w:val="16"/>
        </w:rPr>
        <w:t>12)</w:t>
      </w:r>
    </w:p>
    <w:p w14:paraId="271BB793" w14:textId="77777777" w:rsidR="009A514E" w:rsidRDefault="009A514E" w:rsidP="009A514E">
      <w:pPr>
        <w:pStyle w:val="Note"/>
      </w:pPr>
      <w:r>
        <w:rPr>
          <w:rStyle w:val="Artdef"/>
        </w:rPr>
        <w:t>5.331</w:t>
      </w:r>
      <w:r>
        <w:rPr>
          <w:rStyle w:val="Artdef"/>
        </w:rPr>
        <w:tab/>
      </w:r>
      <w:r>
        <w:rPr>
          <w:i/>
          <w:iCs/>
        </w:rPr>
        <w:t>Additional allocation: </w:t>
      </w:r>
      <w:r>
        <w:t>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Lesotho, Latvia, Lebanon, Liechtenstein, Lithuania, Luxembourg, North Macedonia, Madagascar, Mali, Mauritania, Montenegro, Nigeria, Norway, Oman, Pakistan, the Kingdom of the Netherlands, Poland, Portugal, Qatar, the Syrian Arab Republic, Dem. People’s Rep. of Korea, Slovakia, the United Kingdom, Serbia, Slovenia, Somalia, Sudan, South Sudan, Sri Lanka, South Africa, Sweden, Switzerland, Thailand, Togo, Turkey, Venezuela and Viet Nam, the frequency band 1 215</w:t>
      </w:r>
      <w:r>
        <w:noBreakHyphen/>
        <w:t xml:space="preserve">1 300 MHz is also allocated to the radionavigation service on a primary basis. In Canada and the United States, the frequency band 1 240-1 300 MHz is also allocated </w:t>
      </w:r>
      <w:r>
        <w:lastRenderedPageBreak/>
        <w:t>to the radionavigation service, and use of the radionavigation service shall be limited to the aeronautical radionavigation service.</w:t>
      </w:r>
      <w:r>
        <w:rPr>
          <w:sz w:val="16"/>
        </w:rPr>
        <w:t>    (WRC</w:t>
      </w:r>
      <w:r>
        <w:rPr>
          <w:sz w:val="16"/>
        </w:rPr>
        <w:noBreakHyphen/>
        <w:t>19)</w:t>
      </w:r>
    </w:p>
    <w:p w14:paraId="6D5E5A8D" w14:textId="77777777" w:rsidR="009A514E" w:rsidRPr="00EB1F40" w:rsidRDefault="009A514E" w:rsidP="009A514E">
      <w:pPr>
        <w:pStyle w:val="Note"/>
      </w:pPr>
      <w:r w:rsidRPr="00961EF1">
        <w:rPr>
          <w:rStyle w:val="Artdef"/>
        </w:rPr>
        <w:t>5.332</w:t>
      </w:r>
      <w:r w:rsidRPr="00961EF1">
        <w:rPr>
          <w:rStyle w:val="Artdef"/>
        </w:rPr>
        <w:tab/>
      </w:r>
      <w:r>
        <w:t>In the band 1</w:t>
      </w:r>
      <w:r w:rsidRPr="007162B5">
        <w:t> </w:t>
      </w:r>
      <w:r>
        <w:t>215</w:t>
      </w:r>
      <w:r>
        <w:rPr>
          <w:b/>
          <w:bCs/>
        </w:rPr>
        <w:t>-</w:t>
      </w:r>
      <w:r>
        <w:t>1</w:t>
      </w:r>
      <w:r w:rsidRPr="007162B5">
        <w:t> </w:t>
      </w:r>
      <w:r>
        <w:t>260 MHz, active spaceborne sensors in the Earth exploration-satellite and space research services shall not cause harmful interference to, claim protection from, or otherwise impose constraints on operation or development of the radiolocation service, the radionavigation</w:t>
      </w:r>
      <w:r>
        <w:noBreakHyphen/>
        <w:t>satellite service and other services allocated on a primary basis.</w:t>
      </w:r>
      <w:r w:rsidRPr="00F43816">
        <w:rPr>
          <w:sz w:val="16"/>
        </w:rPr>
        <w:t>     (WRC</w:t>
      </w:r>
      <w:r w:rsidRPr="00F43816">
        <w:rPr>
          <w:sz w:val="16"/>
        </w:rPr>
        <w:noBreakHyphen/>
        <w:t>2000)</w:t>
      </w:r>
    </w:p>
    <w:p w14:paraId="578DBF9F" w14:textId="77777777" w:rsidR="009A514E" w:rsidRPr="00EB1F40" w:rsidRDefault="009A514E" w:rsidP="009A514E">
      <w:pPr>
        <w:pStyle w:val="Note"/>
      </w:pPr>
      <w:r w:rsidRPr="00961EF1">
        <w:rPr>
          <w:rStyle w:val="Artdef"/>
        </w:rPr>
        <w:t>5.335</w:t>
      </w:r>
      <w:r w:rsidRPr="00961EF1">
        <w:rPr>
          <w:rStyle w:val="Artdef"/>
        </w:rPr>
        <w:tab/>
      </w:r>
      <w:r>
        <w:rPr>
          <w:lang w:val="en-AU"/>
        </w:rPr>
        <w:t>In Canada and the United States in the band 1</w:t>
      </w:r>
      <w:r w:rsidRPr="00EB1F40">
        <w:t> </w:t>
      </w:r>
      <w:r>
        <w:rPr>
          <w:lang w:val="en-AU"/>
        </w:rPr>
        <w:t>240-1</w:t>
      </w:r>
      <w:r w:rsidRPr="00EB1F40">
        <w:t> </w:t>
      </w:r>
      <w:r>
        <w:rPr>
          <w:lang w:val="en-AU"/>
        </w:rPr>
        <w:t xml:space="preserve">300 MHz, active spaceborne sensors in the </w:t>
      </w:r>
      <w:r w:rsidRPr="001A58CE">
        <w:t>Earth</w:t>
      </w:r>
      <w:r>
        <w:rPr>
          <w:lang w:val="en-AU"/>
        </w:rPr>
        <w:t xml:space="preserve"> exploration-satellite and space research services shall not cause interference to, claim protection from, or otherwise impose </w:t>
      </w:r>
      <w:r w:rsidRPr="002A1CFA">
        <w:t>constraints</w:t>
      </w:r>
      <w:r>
        <w:rPr>
          <w:lang w:val="en-AU"/>
        </w:rPr>
        <w:t xml:space="preserve"> on operation or development of the aeronautical radionavigation service.</w:t>
      </w:r>
      <w:r w:rsidRPr="00F43816">
        <w:rPr>
          <w:sz w:val="16"/>
        </w:rPr>
        <w:t>     (WRC-97)</w:t>
      </w:r>
    </w:p>
    <w:p w14:paraId="73FD1219" w14:textId="77777777" w:rsidR="009A514E" w:rsidRDefault="009A514E" w:rsidP="009A514E">
      <w:pPr>
        <w:pStyle w:val="Note"/>
        <w:rPr>
          <w:sz w:val="16"/>
        </w:rPr>
      </w:pPr>
      <w:r w:rsidRPr="00961EF1">
        <w:rPr>
          <w:rStyle w:val="Artdef"/>
        </w:rPr>
        <w:t>5.335A</w:t>
      </w:r>
      <w:r w:rsidRPr="00961EF1">
        <w:rPr>
          <w:rStyle w:val="Artdef"/>
        </w:rPr>
        <w:tab/>
      </w:r>
      <w:r>
        <w:t>In the band 1</w:t>
      </w:r>
      <w:r w:rsidRPr="007162B5">
        <w:t> </w:t>
      </w:r>
      <w:r>
        <w:t>260-1</w:t>
      </w:r>
      <w:r w:rsidRPr="007162B5">
        <w:t> </w:t>
      </w:r>
      <w:r>
        <w:t xml:space="preserve">300 MHz, active spaceborne sensors in the Earth exploration-satellite and space research services shall not cause harmful interference to, claim protection from, or otherwise </w:t>
      </w:r>
      <w:r w:rsidRPr="001A58CE">
        <w:t>impose</w:t>
      </w:r>
      <w:r>
        <w:t xml:space="preserve"> constraints on operation or development of the radiolocation service and other services allocated by footnotes on a primary basis.</w:t>
      </w:r>
      <w:r w:rsidRPr="00F43816">
        <w:rPr>
          <w:sz w:val="16"/>
        </w:rPr>
        <w:t> </w:t>
      </w:r>
      <w:r>
        <w:rPr>
          <w:sz w:val="16"/>
        </w:rPr>
        <w:t> </w:t>
      </w:r>
      <w:r w:rsidRPr="00F43816">
        <w:rPr>
          <w:sz w:val="16"/>
        </w:rPr>
        <w:t>  (WRC</w:t>
      </w:r>
      <w:r w:rsidRPr="00F43816">
        <w:rPr>
          <w:sz w:val="16"/>
        </w:rPr>
        <w:noBreakHyphen/>
        <w:t>2000)</w:t>
      </w:r>
    </w:p>
    <w:p w14:paraId="30778727" w14:textId="77777777" w:rsidR="009A514E" w:rsidRPr="009A514E" w:rsidRDefault="009A514E" w:rsidP="009A514E">
      <w:pPr>
        <w:widowControl w:val="0"/>
        <w:tabs>
          <w:tab w:val="left" w:pos="2317"/>
        </w:tabs>
        <w:wordWrap w:val="0"/>
        <w:autoSpaceDE w:val="0"/>
        <w:autoSpaceDN w:val="0"/>
        <w:jc w:val="both"/>
        <w:rPr>
          <w:lang w:val="en-AU" w:eastAsia="ko-KR"/>
        </w:rPr>
      </w:pPr>
    </w:p>
    <w:p w14:paraId="3C959C16" w14:textId="3954C467" w:rsidR="009A514E" w:rsidRDefault="009A514E" w:rsidP="009A514E">
      <w:pPr>
        <w:widowControl w:val="0"/>
        <w:tabs>
          <w:tab w:val="left" w:pos="2317"/>
        </w:tabs>
        <w:wordWrap w:val="0"/>
        <w:autoSpaceDE w:val="0"/>
        <w:autoSpaceDN w:val="0"/>
        <w:jc w:val="both"/>
        <w:rPr>
          <w:lang w:val="en-AU" w:eastAsia="ko-KR"/>
        </w:rPr>
      </w:pPr>
    </w:p>
    <w:p w14:paraId="03FF692E" w14:textId="77777777" w:rsidR="006F556E" w:rsidRDefault="006F556E" w:rsidP="009A514E">
      <w:pPr>
        <w:widowControl w:val="0"/>
        <w:tabs>
          <w:tab w:val="left" w:pos="2317"/>
        </w:tabs>
        <w:wordWrap w:val="0"/>
        <w:autoSpaceDE w:val="0"/>
        <w:autoSpaceDN w:val="0"/>
        <w:jc w:val="both"/>
        <w:rPr>
          <w:lang w:val="en-AU" w:eastAsia="ko-KR"/>
        </w:rPr>
      </w:pPr>
    </w:p>
    <w:p w14:paraId="69B46A79" w14:textId="79F08506" w:rsidR="00C34832" w:rsidRPr="00F462F5" w:rsidRDefault="004622F2" w:rsidP="000D5F68">
      <w:pPr>
        <w:pStyle w:val="ListParagraph"/>
        <w:widowControl w:val="0"/>
        <w:numPr>
          <w:ilvl w:val="0"/>
          <w:numId w:val="21"/>
        </w:numPr>
        <w:overflowPunct w:val="0"/>
        <w:autoSpaceDE w:val="0"/>
        <w:autoSpaceDN w:val="0"/>
        <w:adjustRightInd w:val="0"/>
        <w:spacing w:after="120"/>
        <w:ind w:left="1077" w:hanging="357"/>
        <w:jc w:val="both"/>
        <w:rPr>
          <w:bCs/>
          <w:lang w:val="en-NZ" w:eastAsia="ko-KR"/>
        </w:rPr>
      </w:pPr>
      <w:r>
        <w:rPr>
          <w:rFonts w:hint="eastAsia"/>
          <w:bCs/>
          <w:lang w:val="en-NZ" w:eastAsia="ko-KR"/>
        </w:rPr>
        <w:t xml:space="preserve">Frequency </w:t>
      </w:r>
      <w:r w:rsidR="00C34832">
        <w:rPr>
          <w:bCs/>
          <w:lang w:val="en-NZ" w:eastAsia="ko-KR"/>
        </w:rPr>
        <w:t xml:space="preserve">Usage status </w:t>
      </w:r>
      <w:r w:rsidR="006B327C">
        <w:rPr>
          <w:bCs/>
          <w:lang w:val="en-NZ" w:eastAsia="ko-KR"/>
        </w:rPr>
        <w:t>of R</w:t>
      </w:r>
      <w:r>
        <w:rPr>
          <w:bCs/>
          <w:lang w:val="en-NZ" w:eastAsia="ko-KR"/>
        </w:rPr>
        <w:t>NSS</w:t>
      </w:r>
    </w:p>
    <w:p w14:paraId="7E8FBEA9" w14:textId="77777777" w:rsidR="009A514E" w:rsidRPr="00D52D35" w:rsidRDefault="009A514E" w:rsidP="009A514E">
      <w:pPr>
        <w:widowControl w:val="0"/>
        <w:tabs>
          <w:tab w:val="left" w:pos="2317"/>
        </w:tabs>
        <w:wordWrap w:val="0"/>
        <w:autoSpaceDE w:val="0"/>
        <w:autoSpaceDN w:val="0"/>
        <w:jc w:val="both"/>
        <w:rPr>
          <w:lang w:eastAsia="ko-KR"/>
        </w:rPr>
      </w:pPr>
    </w:p>
    <w:p w14:paraId="4EA264CA" w14:textId="56A23E93" w:rsidR="00582D88" w:rsidRDefault="00582D88" w:rsidP="008F2D1E">
      <w:pPr>
        <w:widowControl w:val="0"/>
        <w:wordWrap w:val="0"/>
        <w:autoSpaceDE w:val="0"/>
        <w:autoSpaceDN w:val="0"/>
        <w:jc w:val="center"/>
        <w:rPr>
          <w:lang w:eastAsia="ko-KR"/>
        </w:rPr>
      </w:pPr>
      <w:r>
        <w:rPr>
          <w:rFonts w:hint="eastAsia"/>
          <w:lang w:eastAsia="ko-KR"/>
        </w:rPr>
        <w:t xml:space="preserve">Figure 1. </w:t>
      </w:r>
      <w:r w:rsidR="00BE04B7">
        <w:rPr>
          <w:lang w:eastAsia="ko-KR"/>
        </w:rPr>
        <w:t>GPS, GLONASS and Galileo navigational frequency bands</w:t>
      </w:r>
    </w:p>
    <w:p w14:paraId="05E75309" w14:textId="77777777" w:rsidR="00582D88" w:rsidRDefault="00582D88" w:rsidP="00EA6BCE">
      <w:pPr>
        <w:widowControl w:val="0"/>
        <w:wordWrap w:val="0"/>
        <w:autoSpaceDE w:val="0"/>
        <w:autoSpaceDN w:val="0"/>
        <w:jc w:val="both"/>
        <w:rPr>
          <w:lang w:eastAsia="ko-KR"/>
        </w:rPr>
      </w:pPr>
    </w:p>
    <w:p w14:paraId="10E92BD9" w14:textId="6DFFDFB2" w:rsidR="00687B38" w:rsidRDefault="00687B38" w:rsidP="00EA6BCE">
      <w:pPr>
        <w:widowControl w:val="0"/>
        <w:wordWrap w:val="0"/>
        <w:autoSpaceDE w:val="0"/>
        <w:autoSpaceDN w:val="0"/>
        <w:jc w:val="both"/>
      </w:pPr>
      <w:r>
        <w:rPr>
          <w:noProof/>
          <w:color w:val="0000FF"/>
          <w:lang w:eastAsia="ko-KR"/>
        </w:rPr>
        <w:drawing>
          <wp:inline distT="0" distB="0" distL="0" distR="0" wp14:anchorId="7FDAAAF1" wp14:editId="56571A6A">
            <wp:extent cx="5824855" cy="3343275"/>
            <wp:effectExtent l="0" t="0" r="4445" b="9525"/>
            <wp:docPr id="4" name="그림 4" descr="GNSS navigational frequency ban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S navigational frequency ban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855" cy="3343275"/>
                    </a:xfrm>
                    <a:prstGeom prst="rect">
                      <a:avLst/>
                    </a:prstGeom>
                    <a:noFill/>
                    <a:ln>
                      <a:noFill/>
                    </a:ln>
                  </pic:spPr>
                </pic:pic>
              </a:graphicData>
            </a:graphic>
          </wp:inline>
        </w:drawing>
      </w:r>
    </w:p>
    <w:p w14:paraId="0C35AD66" w14:textId="07ECE2CB" w:rsidR="00687B38" w:rsidRPr="008F2D1E" w:rsidRDefault="00687B38" w:rsidP="00EA6BCE">
      <w:pPr>
        <w:widowControl w:val="0"/>
        <w:wordWrap w:val="0"/>
        <w:autoSpaceDE w:val="0"/>
        <w:autoSpaceDN w:val="0"/>
        <w:jc w:val="both"/>
        <w:rPr>
          <w:sz w:val="20"/>
          <w:szCs w:val="20"/>
          <w:lang w:eastAsia="ko-KR"/>
        </w:rPr>
      </w:pPr>
      <w:r w:rsidRPr="008F2D1E">
        <w:rPr>
          <w:rFonts w:hint="eastAsia"/>
          <w:sz w:val="20"/>
          <w:szCs w:val="20"/>
          <w:lang w:eastAsia="ko-KR"/>
        </w:rPr>
        <w:t xml:space="preserve">Source : </w:t>
      </w:r>
      <w:r w:rsidRPr="008F2D1E">
        <w:rPr>
          <w:sz w:val="20"/>
          <w:szCs w:val="20"/>
          <w:lang w:eastAsia="ko-KR"/>
        </w:rPr>
        <w:t>https://gssc.esa.int/navipedia/index.php/GNSS_signal</w:t>
      </w:r>
    </w:p>
    <w:p w14:paraId="3DF17B31" w14:textId="4A1C7822" w:rsidR="00687B38" w:rsidRDefault="00687B38" w:rsidP="00EA6BCE">
      <w:pPr>
        <w:widowControl w:val="0"/>
        <w:wordWrap w:val="0"/>
        <w:autoSpaceDE w:val="0"/>
        <w:autoSpaceDN w:val="0"/>
        <w:jc w:val="both"/>
      </w:pPr>
    </w:p>
    <w:p w14:paraId="31EA88BD" w14:textId="77777777" w:rsidR="005010F8" w:rsidRDefault="005010F8" w:rsidP="008F2D1E">
      <w:pPr>
        <w:widowControl w:val="0"/>
        <w:wordWrap w:val="0"/>
        <w:autoSpaceDE w:val="0"/>
        <w:autoSpaceDN w:val="0"/>
        <w:jc w:val="center"/>
        <w:rPr>
          <w:lang w:eastAsia="ko-KR"/>
        </w:rPr>
      </w:pPr>
    </w:p>
    <w:p w14:paraId="53B64644" w14:textId="77777777" w:rsidR="006F556E" w:rsidRDefault="006F556E" w:rsidP="008F2D1E">
      <w:pPr>
        <w:widowControl w:val="0"/>
        <w:wordWrap w:val="0"/>
        <w:autoSpaceDE w:val="0"/>
        <w:autoSpaceDN w:val="0"/>
        <w:jc w:val="center"/>
        <w:rPr>
          <w:lang w:eastAsia="ko-KR"/>
        </w:rPr>
      </w:pPr>
    </w:p>
    <w:p w14:paraId="571276E1" w14:textId="77777777" w:rsidR="006F556E" w:rsidRDefault="006F556E" w:rsidP="008F2D1E">
      <w:pPr>
        <w:widowControl w:val="0"/>
        <w:wordWrap w:val="0"/>
        <w:autoSpaceDE w:val="0"/>
        <w:autoSpaceDN w:val="0"/>
        <w:jc w:val="center"/>
        <w:rPr>
          <w:lang w:eastAsia="ko-KR"/>
        </w:rPr>
      </w:pPr>
    </w:p>
    <w:p w14:paraId="5BE5449E" w14:textId="77777777" w:rsidR="006F556E" w:rsidRDefault="006F556E" w:rsidP="008F2D1E">
      <w:pPr>
        <w:widowControl w:val="0"/>
        <w:wordWrap w:val="0"/>
        <w:autoSpaceDE w:val="0"/>
        <w:autoSpaceDN w:val="0"/>
        <w:jc w:val="center"/>
        <w:rPr>
          <w:lang w:eastAsia="ko-KR"/>
        </w:rPr>
      </w:pPr>
    </w:p>
    <w:p w14:paraId="510B595F" w14:textId="77777777" w:rsidR="006F556E" w:rsidRDefault="006F556E" w:rsidP="008F2D1E">
      <w:pPr>
        <w:widowControl w:val="0"/>
        <w:wordWrap w:val="0"/>
        <w:autoSpaceDE w:val="0"/>
        <w:autoSpaceDN w:val="0"/>
        <w:jc w:val="center"/>
        <w:rPr>
          <w:lang w:eastAsia="ko-KR"/>
        </w:rPr>
      </w:pPr>
    </w:p>
    <w:p w14:paraId="3E4CA964" w14:textId="77777777" w:rsidR="006F556E" w:rsidRDefault="006F556E" w:rsidP="008F2D1E">
      <w:pPr>
        <w:widowControl w:val="0"/>
        <w:wordWrap w:val="0"/>
        <w:autoSpaceDE w:val="0"/>
        <w:autoSpaceDN w:val="0"/>
        <w:jc w:val="center"/>
        <w:rPr>
          <w:lang w:eastAsia="ko-KR"/>
        </w:rPr>
      </w:pPr>
    </w:p>
    <w:p w14:paraId="01CE45DC" w14:textId="77777777" w:rsidR="006F556E" w:rsidRDefault="006F556E" w:rsidP="008F2D1E">
      <w:pPr>
        <w:widowControl w:val="0"/>
        <w:wordWrap w:val="0"/>
        <w:autoSpaceDE w:val="0"/>
        <w:autoSpaceDN w:val="0"/>
        <w:jc w:val="center"/>
        <w:rPr>
          <w:lang w:eastAsia="ko-KR"/>
        </w:rPr>
      </w:pPr>
    </w:p>
    <w:p w14:paraId="383555FE" w14:textId="77777777" w:rsidR="006F556E" w:rsidRDefault="006F556E" w:rsidP="008F2D1E">
      <w:pPr>
        <w:widowControl w:val="0"/>
        <w:wordWrap w:val="0"/>
        <w:autoSpaceDE w:val="0"/>
        <w:autoSpaceDN w:val="0"/>
        <w:jc w:val="center"/>
        <w:rPr>
          <w:lang w:eastAsia="ko-KR"/>
        </w:rPr>
      </w:pPr>
    </w:p>
    <w:p w14:paraId="7E074AD6" w14:textId="77777777" w:rsidR="006F556E" w:rsidRDefault="006F556E" w:rsidP="008F2D1E">
      <w:pPr>
        <w:widowControl w:val="0"/>
        <w:wordWrap w:val="0"/>
        <w:autoSpaceDE w:val="0"/>
        <w:autoSpaceDN w:val="0"/>
        <w:jc w:val="center"/>
        <w:rPr>
          <w:lang w:eastAsia="ko-KR"/>
        </w:rPr>
      </w:pPr>
    </w:p>
    <w:p w14:paraId="35A6576C" w14:textId="77777777" w:rsidR="006F556E" w:rsidRDefault="006F556E" w:rsidP="008F2D1E">
      <w:pPr>
        <w:widowControl w:val="0"/>
        <w:wordWrap w:val="0"/>
        <w:autoSpaceDE w:val="0"/>
        <w:autoSpaceDN w:val="0"/>
        <w:jc w:val="center"/>
        <w:rPr>
          <w:lang w:eastAsia="ko-KR"/>
        </w:rPr>
      </w:pPr>
    </w:p>
    <w:p w14:paraId="5F81ECFB" w14:textId="71CD5F73" w:rsidR="008F2D1E" w:rsidRDefault="008F2D1E" w:rsidP="008F2D1E">
      <w:pPr>
        <w:widowControl w:val="0"/>
        <w:wordWrap w:val="0"/>
        <w:autoSpaceDE w:val="0"/>
        <w:autoSpaceDN w:val="0"/>
        <w:jc w:val="center"/>
        <w:rPr>
          <w:lang w:eastAsia="ko-KR"/>
        </w:rPr>
      </w:pPr>
      <w:r>
        <w:rPr>
          <w:rFonts w:hint="eastAsia"/>
          <w:lang w:eastAsia="ko-KR"/>
        </w:rPr>
        <w:lastRenderedPageBreak/>
        <w:t xml:space="preserve">Figure </w:t>
      </w:r>
      <w:r>
        <w:rPr>
          <w:lang w:eastAsia="ko-KR"/>
        </w:rPr>
        <w:t>2</w:t>
      </w:r>
      <w:r>
        <w:rPr>
          <w:rFonts w:hint="eastAsia"/>
          <w:lang w:eastAsia="ko-KR"/>
        </w:rPr>
        <w:t>. G</w:t>
      </w:r>
      <w:r w:rsidR="00CD2045">
        <w:rPr>
          <w:rFonts w:hint="eastAsia"/>
          <w:lang w:eastAsia="ko-KR"/>
        </w:rPr>
        <w:t>NSS</w:t>
      </w:r>
      <w:r>
        <w:rPr>
          <w:rFonts w:hint="eastAsia"/>
          <w:lang w:eastAsia="ko-KR"/>
        </w:rPr>
        <w:t xml:space="preserve"> Frequency </w:t>
      </w:r>
      <w:r w:rsidR="005010F8">
        <w:rPr>
          <w:lang w:eastAsia="ko-KR"/>
        </w:rPr>
        <w:t>bands</w:t>
      </w:r>
    </w:p>
    <w:p w14:paraId="6ED3A31B" w14:textId="77777777" w:rsidR="00D52D35" w:rsidRDefault="00D52D35" w:rsidP="008F2D1E">
      <w:pPr>
        <w:widowControl w:val="0"/>
        <w:wordWrap w:val="0"/>
        <w:autoSpaceDE w:val="0"/>
        <w:autoSpaceDN w:val="0"/>
        <w:jc w:val="center"/>
        <w:rPr>
          <w:lang w:eastAsia="ko-KR"/>
        </w:rPr>
      </w:pPr>
    </w:p>
    <w:p w14:paraId="21EAA83C" w14:textId="77777777" w:rsidR="00D52D35" w:rsidRDefault="00D52D35" w:rsidP="00D52D35">
      <w:pPr>
        <w:rPr>
          <w:rFonts w:eastAsia="Batang"/>
          <w:szCs w:val="20"/>
        </w:rPr>
      </w:pPr>
      <w:r>
        <w:rPr>
          <w:spacing w:val="-2"/>
        </w:rPr>
        <w:t>The band 1240-1260 MHz is currently used by the Russian Federation GLONASS system, while the band 1 250-1280 MHz is used by the Chinese COMPASS system and the band 1 260-1 300 MHz</w:t>
      </w:r>
      <w:r>
        <w:t xml:space="preserve"> is used by the European Galileo system as well as the Japanese QZSS system. The same band is also planned to be used by the Korean KPS.</w:t>
      </w:r>
    </w:p>
    <w:p w14:paraId="4139870B" w14:textId="77777777" w:rsidR="008F2D1E" w:rsidRDefault="008F2D1E" w:rsidP="00EA6BCE">
      <w:pPr>
        <w:widowControl w:val="0"/>
        <w:wordWrap w:val="0"/>
        <w:autoSpaceDE w:val="0"/>
        <w:autoSpaceDN w:val="0"/>
        <w:jc w:val="both"/>
      </w:pPr>
    </w:p>
    <w:p w14:paraId="047405DD" w14:textId="4D09AA99" w:rsidR="00BE04B7" w:rsidRDefault="00FE0853" w:rsidP="00EA6BCE">
      <w:pPr>
        <w:widowControl w:val="0"/>
        <w:wordWrap w:val="0"/>
        <w:autoSpaceDE w:val="0"/>
        <w:autoSpaceDN w:val="0"/>
        <w:jc w:val="both"/>
      </w:pPr>
      <w:r>
        <w:rPr>
          <w:noProof/>
          <w:color w:val="0000FF"/>
          <w:lang w:eastAsia="ko-KR"/>
        </w:rPr>
        <w:drawing>
          <wp:inline distT="0" distB="0" distL="0" distR="0" wp14:anchorId="201FE99B" wp14:editId="5996B65F">
            <wp:extent cx="5772150" cy="6471468"/>
            <wp:effectExtent l="0" t="0" r="0" b="5715"/>
            <wp:docPr id="5" name="그림 5" descr="GNSS frequency ban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SS frequency band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929" cy="6472341"/>
                    </a:xfrm>
                    <a:prstGeom prst="rect">
                      <a:avLst/>
                    </a:prstGeom>
                    <a:noFill/>
                    <a:ln>
                      <a:noFill/>
                    </a:ln>
                  </pic:spPr>
                </pic:pic>
              </a:graphicData>
            </a:graphic>
          </wp:inline>
        </w:drawing>
      </w:r>
    </w:p>
    <w:p w14:paraId="79DCA235" w14:textId="6227F366" w:rsidR="005010F8" w:rsidRPr="008F2D1E" w:rsidRDefault="005010F8" w:rsidP="005010F8">
      <w:pPr>
        <w:widowControl w:val="0"/>
        <w:wordWrap w:val="0"/>
        <w:autoSpaceDE w:val="0"/>
        <w:autoSpaceDN w:val="0"/>
        <w:jc w:val="both"/>
        <w:rPr>
          <w:sz w:val="20"/>
          <w:szCs w:val="20"/>
          <w:lang w:eastAsia="ko-KR"/>
        </w:rPr>
      </w:pPr>
      <w:r w:rsidRPr="008F2D1E">
        <w:rPr>
          <w:rFonts w:hint="eastAsia"/>
          <w:sz w:val="20"/>
          <w:szCs w:val="20"/>
          <w:lang w:eastAsia="ko-KR"/>
        </w:rPr>
        <w:t xml:space="preserve">Source : </w:t>
      </w:r>
      <w:r>
        <w:rPr>
          <w:sz w:val="20"/>
          <w:szCs w:val="20"/>
          <w:lang w:eastAsia="ko-KR"/>
        </w:rPr>
        <w:t xml:space="preserve">Stefan </w:t>
      </w:r>
      <w:proofErr w:type="spellStart"/>
      <w:r>
        <w:rPr>
          <w:sz w:val="20"/>
          <w:szCs w:val="20"/>
          <w:lang w:eastAsia="ko-KR"/>
        </w:rPr>
        <w:t>Wallner</w:t>
      </w:r>
      <w:proofErr w:type="spellEnd"/>
    </w:p>
    <w:p w14:paraId="06E27EDC" w14:textId="397D2645" w:rsidR="00FE0853" w:rsidRDefault="00FE0853" w:rsidP="00EA6BCE">
      <w:pPr>
        <w:widowControl w:val="0"/>
        <w:wordWrap w:val="0"/>
        <w:autoSpaceDE w:val="0"/>
        <w:autoSpaceDN w:val="0"/>
        <w:jc w:val="both"/>
      </w:pPr>
    </w:p>
    <w:p w14:paraId="35764DC0" w14:textId="2523B1A9" w:rsidR="00582D88" w:rsidRDefault="00582D88" w:rsidP="00EA6BCE">
      <w:pPr>
        <w:widowControl w:val="0"/>
        <w:wordWrap w:val="0"/>
        <w:autoSpaceDE w:val="0"/>
        <w:autoSpaceDN w:val="0"/>
        <w:jc w:val="both"/>
        <w:rPr>
          <w:lang w:eastAsia="ko-KR"/>
        </w:rPr>
      </w:pPr>
    </w:p>
    <w:p w14:paraId="1659EAD6" w14:textId="1958A2B9" w:rsidR="00096A75" w:rsidRPr="0016577F" w:rsidRDefault="00096A75" w:rsidP="00015E6C">
      <w:pPr>
        <w:jc w:val="both"/>
        <w:rPr>
          <w:lang w:eastAsia="zh-CN"/>
        </w:rPr>
      </w:pPr>
      <w:r w:rsidRPr="0016577F">
        <w:rPr>
          <w:lang w:eastAsia="zh-CN"/>
        </w:rPr>
        <w:t xml:space="preserve">According to recent information one of  Galileo’s next </w:t>
      </w:r>
      <w:r w:rsidR="006F556E">
        <w:rPr>
          <w:lang w:eastAsia="zh-CN"/>
        </w:rPr>
        <w:t>major steps is the active utiliz</w:t>
      </w:r>
      <w:r w:rsidRPr="0016577F">
        <w:rPr>
          <w:lang w:eastAsia="zh-CN"/>
        </w:rPr>
        <w:t xml:space="preserve">ation of the GALILEO E6B/C signal offering dual-frequency accuracies (E1/E6) and a commercial service in the frequency range  1 260-1 300 </w:t>
      </w:r>
      <w:proofErr w:type="spellStart"/>
      <w:r w:rsidRPr="0016577F">
        <w:rPr>
          <w:lang w:eastAsia="zh-CN"/>
        </w:rPr>
        <w:t>MHz.</w:t>
      </w:r>
      <w:proofErr w:type="spellEnd"/>
      <w:r w:rsidRPr="0016577F">
        <w:rPr>
          <w:lang w:eastAsia="zh-CN"/>
        </w:rPr>
        <w:t xml:space="preserve"> </w:t>
      </w:r>
    </w:p>
    <w:p w14:paraId="65636A6C" w14:textId="77777777" w:rsidR="00582D88" w:rsidRPr="00015E6C" w:rsidRDefault="00582D88" w:rsidP="00015E6C">
      <w:pPr>
        <w:jc w:val="both"/>
        <w:rPr>
          <w:lang w:eastAsia="zh-CN"/>
        </w:rPr>
      </w:pPr>
    </w:p>
    <w:p w14:paraId="0EC5D6B4" w14:textId="650941A1" w:rsidR="00937907" w:rsidRPr="00015E6C" w:rsidRDefault="006B327C" w:rsidP="00EA6BCE">
      <w:pPr>
        <w:pStyle w:val="ListParagraph"/>
        <w:widowControl w:val="0"/>
        <w:numPr>
          <w:ilvl w:val="0"/>
          <w:numId w:val="22"/>
        </w:numPr>
        <w:wordWrap w:val="0"/>
        <w:autoSpaceDE w:val="0"/>
        <w:autoSpaceDN w:val="0"/>
        <w:jc w:val="both"/>
        <w:rPr>
          <w:lang w:val="en-NZ"/>
        </w:rPr>
      </w:pPr>
      <w:r>
        <w:rPr>
          <w:lang w:val="en-NZ"/>
        </w:rPr>
        <w:lastRenderedPageBreak/>
        <w:t xml:space="preserve">RNSS related </w:t>
      </w:r>
      <w:r w:rsidR="00937907" w:rsidRPr="00937907">
        <w:rPr>
          <w:rFonts w:hint="eastAsia"/>
          <w:lang w:val="en-NZ"/>
        </w:rPr>
        <w:t>Reference</w:t>
      </w:r>
      <w:r>
        <w:rPr>
          <w:lang w:val="en-NZ"/>
        </w:rPr>
        <w:t xml:space="preserve"> links</w:t>
      </w:r>
    </w:p>
    <w:p w14:paraId="39E341A8" w14:textId="027E86EC" w:rsidR="00937907" w:rsidRDefault="00937907" w:rsidP="000D5F68">
      <w:pPr>
        <w:numPr>
          <w:ilvl w:val="0"/>
          <w:numId w:val="26"/>
        </w:numPr>
        <w:spacing w:before="100" w:beforeAutospacing="1" w:after="100" w:afterAutospacing="1"/>
        <w:ind w:left="1077" w:hanging="357"/>
        <w:rPr>
          <w:bCs/>
          <w:lang w:val="en-NZ" w:eastAsia="ko-KR"/>
        </w:rPr>
      </w:pPr>
      <w:r w:rsidRPr="00937907">
        <w:rPr>
          <w:bCs/>
          <w:lang w:val="en-NZ" w:eastAsia="ko-KR"/>
        </w:rPr>
        <w:t>GPS</w:t>
      </w:r>
      <w:r w:rsidRPr="000D5F68">
        <w:rPr>
          <w:bCs/>
          <w:lang w:val="en-NZ" w:eastAsia="ko-KR"/>
        </w:rPr>
        <w:t xml:space="preserve">: </w:t>
      </w:r>
      <w:hyperlink r:id="rId13" w:tgtFrame="_blank" w:history="1">
        <w:r w:rsidRPr="000D5F68">
          <w:rPr>
            <w:bCs/>
            <w:lang w:val="en-NZ" w:eastAsia="ko-KR"/>
          </w:rPr>
          <w:t>https://www.gps.gov/systems/gps/space/#orbits</w:t>
        </w:r>
      </w:hyperlink>
    </w:p>
    <w:p w14:paraId="5E5AA3B8" w14:textId="6B66FBA2" w:rsidR="00937907" w:rsidRPr="000D5F68" w:rsidRDefault="00937907" w:rsidP="000D5F68">
      <w:pPr>
        <w:numPr>
          <w:ilvl w:val="0"/>
          <w:numId w:val="26"/>
        </w:numPr>
        <w:spacing w:before="100" w:beforeAutospacing="1" w:after="100" w:afterAutospacing="1"/>
        <w:ind w:left="1077" w:hanging="357"/>
        <w:rPr>
          <w:bCs/>
          <w:lang w:val="en-NZ" w:eastAsia="ko-KR"/>
        </w:rPr>
      </w:pPr>
      <w:r w:rsidRPr="000D5F68">
        <w:rPr>
          <w:bCs/>
          <w:lang w:val="en-NZ" w:eastAsia="ko-KR"/>
        </w:rPr>
        <w:t xml:space="preserve">GLONASS: </w:t>
      </w:r>
      <w:hyperlink r:id="rId14" w:tgtFrame="_blank" w:history="1">
        <w:r w:rsidRPr="000D5F68">
          <w:rPr>
            <w:bCs/>
            <w:lang w:val="en-NZ" w:eastAsia="ko-KR"/>
          </w:rPr>
          <w:t>https://www.glonass-iac.ru/en/GLONASS/</w:t>
        </w:r>
      </w:hyperlink>
    </w:p>
    <w:p w14:paraId="5647B3F1" w14:textId="396E02B1" w:rsidR="00937907" w:rsidRPr="000D5F68" w:rsidRDefault="00937907" w:rsidP="000D5F68">
      <w:pPr>
        <w:numPr>
          <w:ilvl w:val="0"/>
          <w:numId w:val="26"/>
        </w:numPr>
        <w:spacing w:before="100" w:beforeAutospacing="1" w:after="100" w:afterAutospacing="1"/>
        <w:ind w:left="1077" w:hanging="357"/>
        <w:rPr>
          <w:bCs/>
          <w:lang w:val="en-NZ" w:eastAsia="ko-KR"/>
        </w:rPr>
      </w:pPr>
      <w:r w:rsidRPr="000D5F68">
        <w:rPr>
          <w:bCs/>
          <w:lang w:val="en-NZ" w:eastAsia="ko-KR"/>
        </w:rPr>
        <w:t xml:space="preserve">Galileo: </w:t>
      </w:r>
      <w:hyperlink r:id="rId15" w:tgtFrame="_blank" w:history="1">
        <w:r w:rsidRPr="000D5F68">
          <w:rPr>
            <w:bCs/>
            <w:lang w:val="en-NZ" w:eastAsia="ko-KR"/>
          </w:rPr>
          <w:t>https://ec.europa.eu/growth/sectors/space/galileo/launches_en</w:t>
        </w:r>
      </w:hyperlink>
    </w:p>
    <w:p w14:paraId="17CF062F" w14:textId="7CDAADAD" w:rsidR="00937907" w:rsidRPr="000D5F68" w:rsidRDefault="00937907" w:rsidP="000D5F68">
      <w:pPr>
        <w:numPr>
          <w:ilvl w:val="0"/>
          <w:numId w:val="26"/>
        </w:numPr>
        <w:spacing w:before="100" w:beforeAutospacing="1" w:after="100" w:afterAutospacing="1"/>
        <w:ind w:left="1077" w:hanging="357"/>
        <w:rPr>
          <w:bCs/>
          <w:lang w:val="en-NZ" w:eastAsia="ko-KR"/>
        </w:rPr>
      </w:pPr>
      <w:proofErr w:type="spellStart"/>
      <w:r w:rsidRPr="000D5F68">
        <w:rPr>
          <w:bCs/>
          <w:lang w:val="en-NZ" w:eastAsia="ko-KR"/>
        </w:rPr>
        <w:t>Beidou</w:t>
      </w:r>
      <w:proofErr w:type="spellEnd"/>
      <w:r w:rsidRPr="000D5F68">
        <w:rPr>
          <w:bCs/>
          <w:lang w:val="en-NZ" w:eastAsia="ko-KR"/>
        </w:rPr>
        <w:t xml:space="preserve">: </w:t>
      </w:r>
      <w:hyperlink r:id="rId16" w:tgtFrame="_blank" w:history="1">
        <w:r w:rsidRPr="000D5F68">
          <w:rPr>
            <w:bCs/>
            <w:lang w:val="en-NZ" w:eastAsia="ko-KR"/>
          </w:rPr>
          <w:t>http://en.beidou.gov.cn/</w:t>
        </w:r>
      </w:hyperlink>
    </w:p>
    <w:p w14:paraId="7C2D068C" w14:textId="1D79934B" w:rsidR="00937907" w:rsidRPr="000D5F68" w:rsidRDefault="00937907" w:rsidP="000D5F68">
      <w:pPr>
        <w:numPr>
          <w:ilvl w:val="0"/>
          <w:numId w:val="26"/>
        </w:numPr>
        <w:spacing w:before="100" w:beforeAutospacing="1" w:after="100" w:afterAutospacing="1"/>
        <w:ind w:left="1077" w:hanging="357"/>
        <w:rPr>
          <w:bCs/>
          <w:lang w:val="en-NZ" w:eastAsia="ko-KR"/>
        </w:rPr>
      </w:pPr>
      <w:r w:rsidRPr="000D5F68">
        <w:rPr>
          <w:bCs/>
          <w:lang w:val="en-NZ" w:eastAsia="ko-KR"/>
        </w:rPr>
        <w:t xml:space="preserve">QZSS: </w:t>
      </w:r>
      <w:hyperlink r:id="rId17" w:tgtFrame="_blank" w:history="1">
        <w:r w:rsidRPr="000D5F68">
          <w:rPr>
            <w:bCs/>
            <w:lang w:val="en-NZ" w:eastAsia="ko-KR"/>
          </w:rPr>
          <w:t>https://qzss.go.jp/en/</w:t>
        </w:r>
      </w:hyperlink>
    </w:p>
    <w:p w14:paraId="38372AED" w14:textId="143B7861" w:rsidR="00937907" w:rsidRPr="00F210EB" w:rsidRDefault="00937907" w:rsidP="00F210EB">
      <w:pPr>
        <w:widowControl w:val="0"/>
        <w:numPr>
          <w:ilvl w:val="0"/>
          <w:numId w:val="26"/>
        </w:numPr>
        <w:overflowPunct w:val="0"/>
        <w:autoSpaceDE w:val="0"/>
        <w:autoSpaceDN w:val="0"/>
        <w:adjustRightInd w:val="0"/>
        <w:snapToGrid w:val="0"/>
        <w:spacing w:before="100" w:beforeAutospacing="1" w:after="100" w:afterAutospacing="1"/>
        <w:ind w:left="1077" w:hanging="357"/>
        <w:rPr>
          <w:bCs/>
          <w:spacing w:val="-10"/>
          <w:lang w:val="en-NZ" w:eastAsia="ko-KR"/>
        </w:rPr>
      </w:pPr>
      <w:r w:rsidRPr="000D5F68">
        <w:rPr>
          <w:bCs/>
          <w:lang w:val="en-NZ" w:eastAsia="ko-KR"/>
        </w:rPr>
        <w:t xml:space="preserve">NAVIC: </w:t>
      </w:r>
      <w:hyperlink r:id="rId18" w:tgtFrame="_blank" w:history="1">
        <w:r w:rsidRPr="000D5F68">
          <w:rPr>
            <w:bCs/>
            <w:spacing w:val="-10"/>
            <w:lang w:val="en-NZ" w:eastAsia="ko-KR"/>
          </w:rPr>
          <w:t>https://en.wikipedia.org/wiki/Indian_Regional_Navigation_Satellite_System</w:t>
        </w:r>
      </w:hyperlink>
    </w:p>
    <w:p w14:paraId="07A2074E" w14:textId="77777777" w:rsidR="00962443" w:rsidRDefault="00962443" w:rsidP="00EA6BCE">
      <w:pPr>
        <w:widowControl w:val="0"/>
        <w:wordWrap w:val="0"/>
        <w:autoSpaceDE w:val="0"/>
        <w:autoSpaceDN w:val="0"/>
        <w:jc w:val="both"/>
      </w:pPr>
    </w:p>
    <w:p w14:paraId="59D13A87" w14:textId="006E970C" w:rsidR="003D10F2" w:rsidRPr="00D06742" w:rsidRDefault="00E41BE2" w:rsidP="00F210EB">
      <w:pPr>
        <w:pStyle w:val="ListParagraph"/>
        <w:widowControl w:val="0"/>
        <w:numPr>
          <w:ilvl w:val="0"/>
          <w:numId w:val="22"/>
        </w:numPr>
        <w:wordWrap w:val="0"/>
        <w:autoSpaceDE w:val="0"/>
        <w:autoSpaceDN w:val="0"/>
        <w:jc w:val="both"/>
      </w:pPr>
      <w:r w:rsidRPr="005263C8">
        <w:rPr>
          <w:lang w:val="en-NZ"/>
        </w:rPr>
        <w:t>List of relevant ITU-R Reports/Recommendations, APT Reports/Recommendations and ongoing studies, e.g. working documents from ITU-R and/or AWG</w:t>
      </w:r>
      <w:r w:rsidR="00CA2E77">
        <w:rPr>
          <w:lang w:val="en-NZ"/>
        </w:rPr>
        <w:t>:</w:t>
      </w:r>
    </w:p>
    <w:p w14:paraId="0CB09AC8" w14:textId="6C9B7DF7" w:rsidR="00DC2588"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w:t>
      </w:r>
      <w:r w:rsidRPr="00DC2588">
        <w:rPr>
          <w:snapToGrid w:val="0"/>
        </w:rPr>
        <w:t>ITU-R</w:t>
      </w:r>
      <w:r w:rsidRPr="00DC2588">
        <w:rPr>
          <w:rStyle w:val="Hyperlink"/>
          <w:snapToGrid w:val="0"/>
        </w:rPr>
        <w:t xml:space="preserve"> </w:t>
      </w:r>
      <w:hyperlink r:id="rId19" w:history="1">
        <w:r w:rsidRPr="00DC2588">
          <w:rPr>
            <w:rStyle w:val="Hyperlink"/>
            <w:snapToGrid w:val="0"/>
          </w:rPr>
          <w:t>M.1732</w:t>
        </w:r>
      </w:hyperlink>
      <w:r w:rsidRPr="00DC2588">
        <w:rPr>
          <w:snapToGrid w:val="0"/>
          <w:lang w:eastAsia="ja-JP"/>
        </w:rPr>
        <w:t xml:space="preserve"> – Characteristics of systems operating in the amateur and amateur-satellite services for use in sharing studies</w:t>
      </w:r>
    </w:p>
    <w:p w14:paraId="391F57A9"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20" w:history="1">
        <w:r w:rsidRPr="00DC2588">
          <w:rPr>
            <w:rStyle w:val="Hyperlink"/>
            <w:snapToGrid w:val="0"/>
            <w:lang w:eastAsia="ja-JP"/>
          </w:rPr>
          <w:t>M.1787</w:t>
        </w:r>
      </w:hyperlink>
      <w:r w:rsidRPr="00DC2588">
        <w:rPr>
          <w:snapToGrid w:val="0"/>
          <w:lang w:eastAsia="ja-JP"/>
        </w:rPr>
        <w:t xml:space="preserve"> – Description of systems and networks in the radio-navigation-satellite service (space-to-Earth and space-to-space) and technical characteristics of transmitting space stations operating in the bands 1 164-1 215 MHz, 1 215-1 300 MHz and 1 559-1 610 MHz</w:t>
      </w:r>
    </w:p>
    <w:p w14:paraId="0272CD08" w14:textId="20D07239"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21" w:history="1">
        <w:r w:rsidRPr="00DC2588">
          <w:rPr>
            <w:rStyle w:val="Hyperlink"/>
            <w:lang w:eastAsia="ja-JP"/>
          </w:rPr>
          <w:t>M.2030</w:t>
        </w:r>
      </w:hyperlink>
      <w:r w:rsidRPr="00DC2588">
        <w:rPr>
          <w:snapToGrid w:val="0"/>
          <w:lang w:eastAsia="ja-JP"/>
        </w:rPr>
        <w:t xml:space="preserve"> – Evaluation method for pulsed interference from relevant radio sources other than in the Radionavigation-satellite service to the Radionavigation-satellite service systems and networks operating in the 1 164-1 215 MHz,</w:t>
      </w:r>
      <w:r w:rsidR="00DC2588">
        <w:rPr>
          <w:snapToGrid w:val="0"/>
          <w:lang w:eastAsia="ja-JP"/>
        </w:rPr>
        <w:t xml:space="preserve"> </w:t>
      </w:r>
      <w:r w:rsidRPr="00DC2588">
        <w:rPr>
          <w:snapToGrid w:val="0"/>
          <w:lang w:eastAsia="ja-JP"/>
        </w:rPr>
        <w:t>1 215-1 300 MHz and 1 559-1 610 MHz frequency bands</w:t>
      </w:r>
    </w:p>
    <w:p w14:paraId="09306F32" w14:textId="7F5D5845"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Report ITU-R </w:t>
      </w:r>
      <w:hyperlink r:id="rId22" w:history="1">
        <w:r w:rsidRPr="00DC2588">
          <w:rPr>
            <w:rStyle w:val="Hyperlink"/>
            <w:lang w:eastAsia="ja-JP"/>
          </w:rPr>
          <w:t>M.2458</w:t>
        </w:r>
      </w:hyperlink>
      <w:r w:rsidRPr="00DC2588">
        <w:rPr>
          <w:snapToGrid w:val="0"/>
          <w:lang w:eastAsia="ja-JP"/>
        </w:rPr>
        <w:t xml:space="preserve"> – Radionavigation-satellite service applications in the 1 164-1 215 MHz, 1 215-1 300 MHz and 1 559-1 610 MHz frequency bands</w:t>
      </w:r>
    </w:p>
    <w:p w14:paraId="222688FD"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Study Question ITU-R </w:t>
      </w:r>
      <w:hyperlink r:id="rId23" w:history="1">
        <w:r w:rsidRPr="00DC2588">
          <w:rPr>
            <w:rStyle w:val="Hyperlink"/>
            <w:lang w:eastAsia="ja-JP"/>
          </w:rPr>
          <w:t>288/4</w:t>
        </w:r>
      </w:hyperlink>
      <w:r w:rsidRPr="00DC2588">
        <w:rPr>
          <w:snapToGrid w:val="0"/>
          <w:lang w:eastAsia="ja-JP"/>
        </w:rPr>
        <w:t xml:space="preserve"> – Related results of the WP 4C work on the Study Question on characteristics and operational requirements of radionavigation-satellite systems</w:t>
      </w:r>
    </w:p>
    <w:p w14:paraId="3B6228BE"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Study Question ITU-R </w:t>
      </w:r>
      <w:hyperlink r:id="rId24" w:history="1">
        <w:r w:rsidRPr="00DC2588">
          <w:rPr>
            <w:rStyle w:val="Hyperlink"/>
            <w:lang w:eastAsia="ja-JP"/>
          </w:rPr>
          <w:t>48-7/5</w:t>
        </w:r>
      </w:hyperlink>
      <w:r w:rsidRPr="00DC2588">
        <w:rPr>
          <w:snapToGrid w:val="0"/>
          <w:lang w:eastAsia="ja-JP"/>
        </w:rPr>
        <w:t xml:space="preserve"> – Related results of the WP 5A work on the Study Question on techniques and frequency usage in the amateur service and amateur-satellite service</w:t>
      </w:r>
    </w:p>
    <w:p w14:paraId="3FC1DF9F"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Handbook </w:t>
      </w:r>
      <w:hyperlink r:id="rId25" w:history="1">
        <w:r w:rsidRPr="00DC2588">
          <w:rPr>
            <w:rStyle w:val="Hyperlink"/>
            <w:lang w:eastAsia="ja-JP"/>
          </w:rPr>
          <w:t>ITU-R 52</w:t>
        </w:r>
      </w:hyperlink>
      <w:r w:rsidRPr="00DC2588">
        <w:rPr>
          <w:snapToGrid w:val="0"/>
          <w:lang w:eastAsia="ja-JP"/>
        </w:rPr>
        <w:t xml:space="preserve"> – Amateur and amateur-satellite services</w:t>
      </w:r>
    </w:p>
    <w:p w14:paraId="0BACA9C9" w14:textId="77777777" w:rsidR="006D6F81" w:rsidRPr="00DC2588" w:rsidRDefault="006D6F81" w:rsidP="00DC2588">
      <w:pPr>
        <w:numPr>
          <w:ilvl w:val="0"/>
          <w:numId w:val="26"/>
        </w:numPr>
        <w:overflowPunct w:val="0"/>
        <w:autoSpaceDE w:val="0"/>
        <w:autoSpaceDN w:val="0"/>
        <w:spacing w:before="100" w:beforeAutospacing="1" w:after="100" w:afterAutospacing="1" w:line="240" w:lineRule="atLeast"/>
        <w:ind w:left="1077" w:hanging="357"/>
        <w:contextualSpacing/>
        <w:jc w:val="both"/>
        <w:rPr>
          <w:snapToGrid w:val="0"/>
          <w:lang w:eastAsia="ja-JP"/>
        </w:rPr>
      </w:pPr>
      <w:r w:rsidRPr="00DC2588">
        <w:rPr>
          <w:snapToGrid w:val="0"/>
          <w:lang w:eastAsia="ja-JP"/>
        </w:rPr>
        <w:t xml:space="preserve">IARU R1 band plan for the band 1 240-1 300 MHz </w:t>
      </w:r>
    </w:p>
    <w:p w14:paraId="79FA4162" w14:textId="77777777" w:rsidR="006D6F81" w:rsidRPr="00DC2588" w:rsidRDefault="00570DA6" w:rsidP="00DC2588">
      <w:pPr>
        <w:overflowPunct w:val="0"/>
        <w:autoSpaceDE w:val="0"/>
        <w:autoSpaceDN w:val="0"/>
        <w:spacing w:before="100" w:beforeAutospacing="1" w:after="100" w:afterAutospacing="1" w:line="240" w:lineRule="atLeast"/>
        <w:ind w:left="1077"/>
        <w:contextualSpacing/>
        <w:jc w:val="both"/>
        <w:rPr>
          <w:snapToGrid w:val="0"/>
          <w:lang w:eastAsia="ja-JP"/>
        </w:rPr>
      </w:pPr>
      <w:hyperlink r:id="rId26" w:history="1">
        <w:r w:rsidR="006D6F81" w:rsidRPr="00DC2588">
          <w:rPr>
            <w:rStyle w:val="Hyperlink"/>
            <w:lang w:eastAsia="ja-JP"/>
          </w:rPr>
          <w:t>http://iaru-r1.org/index.php/spectrum-and-band-plans/uhf/23-centimeter</w:t>
        </w:r>
      </w:hyperlink>
      <w:r w:rsidR="006D6F81" w:rsidRPr="00DC2588">
        <w:rPr>
          <w:snapToGrid w:val="0"/>
          <w:lang w:eastAsia="ja-JP"/>
        </w:rPr>
        <w:t xml:space="preserve"> </w:t>
      </w:r>
    </w:p>
    <w:p w14:paraId="10AB43BE"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27" w:history="1">
        <w:r w:rsidRPr="00DC2588">
          <w:rPr>
            <w:rStyle w:val="Hyperlink"/>
            <w:lang w:eastAsia="ja-JP"/>
          </w:rPr>
          <w:t>S.465</w:t>
        </w:r>
      </w:hyperlink>
      <w:r w:rsidRPr="00DC2588">
        <w:rPr>
          <w:snapToGrid w:val="0"/>
          <w:lang w:eastAsia="ja-JP"/>
        </w:rPr>
        <w:t xml:space="preserve"> – Reference radiation pattern of earth station antennas in the fixed-satellite service for use in coordination and interference assessment in the frequency range from 2 to 31 GHz</w:t>
      </w:r>
    </w:p>
    <w:p w14:paraId="15527C4F"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28" w:history="1">
        <w:r w:rsidRPr="00DC2588">
          <w:rPr>
            <w:rStyle w:val="Hyperlink"/>
            <w:lang w:eastAsia="ja-JP"/>
          </w:rPr>
          <w:t>RS.2311</w:t>
        </w:r>
      </w:hyperlink>
      <w:r w:rsidRPr="00DC2588">
        <w:rPr>
          <w:snapToGrid w:val="0"/>
          <w:lang w:eastAsia="ja-JP"/>
        </w:rPr>
        <w:t xml:space="preserve"> – Pulsed radio frequency signal impact measurements and possible mitigation techniques between Earth exploration-satellite service (active) systems and RNSS systems and networks in the band 1 215-1 300 MHz</w:t>
      </w:r>
    </w:p>
    <w:p w14:paraId="1877A397"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29" w:history="1">
        <w:r w:rsidRPr="00DC2588">
          <w:rPr>
            <w:rStyle w:val="Hyperlink"/>
            <w:lang w:eastAsia="ja-JP"/>
          </w:rPr>
          <w:t>M.2305</w:t>
        </w:r>
      </w:hyperlink>
      <w:r w:rsidRPr="00DC2588">
        <w:rPr>
          <w:snapToGrid w:val="0"/>
          <w:lang w:eastAsia="ja-JP"/>
        </w:rPr>
        <w:t xml:space="preserve"> – Consideration of aggregate radio frequency interference event potentials from multiple Earth exploration-satellite service systems on radionavigation-satellite service receivers operating in the 1 215-1 300 MHz frequency band</w:t>
      </w:r>
    </w:p>
    <w:p w14:paraId="40CB96DF"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30" w:history="1">
        <w:r w:rsidRPr="00DC2588">
          <w:rPr>
            <w:rStyle w:val="Hyperlink"/>
            <w:lang w:eastAsia="ja-JP"/>
          </w:rPr>
          <w:t>M.2284</w:t>
        </w:r>
      </w:hyperlink>
      <w:r w:rsidRPr="00DC2588">
        <w:rPr>
          <w:snapToGrid w:val="0"/>
          <w:lang w:eastAsia="ja-JP"/>
        </w:rPr>
        <w:t xml:space="preserve"> – Compatibility of radio-navigation satellite service (space-to-Earth) systems and radars operating in the frequency band 1 215-1 300 MHz</w:t>
      </w:r>
    </w:p>
    <w:p w14:paraId="5D67B9A2"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31" w:history="1">
        <w:r w:rsidRPr="00DC2588">
          <w:rPr>
            <w:rStyle w:val="Hyperlink"/>
            <w:lang w:eastAsia="ja-JP"/>
          </w:rPr>
          <w:t>M.1902</w:t>
        </w:r>
      </w:hyperlink>
      <w:r w:rsidRPr="00DC2588">
        <w:rPr>
          <w:snapToGrid w:val="0"/>
          <w:lang w:eastAsia="ja-JP"/>
        </w:rPr>
        <w:t xml:space="preserve"> – Characteristics and protection criteria for receiving earth stations in the radionavigation-satellite service (space-to-Earth) operating in the band 1 215-1 300 MHz</w:t>
      </w:r>
    </w:p>
    <w:p w14:paraId="6F4966C6"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lastRenderedPageBreak/>
        <w:t xml:space="preserve">Recommendation ITU-R </w:t>
      </w:r>
      <w:hyperlink r:id="rId32" w:history="1">
        <w:r w:rsidRPr="00DC2588">
          <w:rPr>
            <w:rStyle w:val="Hyperlink"/>
            <w:lang w:eastAsia="ja-JP"/>
          </w:rPr>
          <w:t>M.2220</w:t>
        </w:r>
      </w:hyperlink>
      <w:r w:rsidRPr="00DC2588">
        <w:rPr>
          <w:snapToGrid w:val="0"/>
          <w:lang w:eastAsia="ja-JP"/>
        </w:rPr>
        <w:t xml:space="preserve"> – Calculation method to determine aggregate interference parameters of pulsed RF systems operating in and near the bands 1 164-1 215 MHz and 1 215-1 300 MHz that may impact radionavigation-satellite service airborne and ground-based receivers operating in those frequency bands</w:t>
      </w:r>
    </w:p>
    <w:p w14:paraId="6DF89B7C" w14:textId="77777777" w:rsidR="006D6F81" w:rsidRPr="00DC2588" w:rsidRDefault="006D6F81" w:rsidP="00DC2588">
      <w:pPr>
        <w:numPr>
          <w:ilvl w:val="0"/>
          <w:numId w:val="26"/>
        </w:numPr>
        <w:overflowPunct w:val="0"/>
        <w:autoSpaceDE w:val="0"/>
        <w:autoSpaceDN w:val="0"/>
        <w:spacing w:before="100" w:beforeAutospacing="1" w:after="100" w:afterAutospacing="1"/>
        <w:ind w:left="1077" w:hanging="357"/>
        <w:jc w:val="both"/>
        <w:rPr>
          <w:snapToGrid w:val="0"/>
          <w:lang w:eastAsia="ja-JP"/>
        </w:rPr>
      </w:pPr>
      <w:r w:rsidRPr="00DC2588">
        <w:rPr>
          <w:snapToGrid w:val="0"/>
          <w:lang w:eastAsia="ja-JP"/>
        </w:rPr>
        <w:t xml:space="preserve">Recommendation ITU-R </w:t>
      </w:r>
      <w:hyperlink r:id="rId33" w:history="1">
        <w:r w:rsidRPr="00DC2588">
          <w:rPr>
            <w:rStyle w:val="Hyperlink"/>
            <w:lang w:eastAsia="ja-JP"/>
          </w:rPr>
          <w:t>P.1546</w:t>
        </w:r>
      </w:hyperlink>
      <w:r w:rsidRPr="00DC2588">
        <w:rPr>
          <w:rStyle w:val="Hyperlink"/>
          <w:lang w:eastAsia="ja-JP"/>
        </w:rPr>
        <w:t>-6</w:t>
      </w:r>
      <w:r w:rsidRPr="00DC2588">
        <w:rPr>
          <w:snapToGrid w:val="0"/>
          <w:lang w:eastAsia="ja-JP"/>
        </w:rPr>
        <w:t xml:space="preserve"> – Method for point-to-area predictions for terrestrial services in the frequency range 30 MHz to 4 000 MHz </w:t>
      </w:r>
    </w:p>
    <w:p w14:paraId="2CE987FD" w14:textId="77777777" w:rsidR="00CA2E77" w:rsidRDefault="00CA2E77"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ACE9BD1" w14:textId="198131A1" w:rsidR="005263C8" w:rsidRDefault="00E41BE2" w:rsidP="00024EBC">
      <w:pPr>
        <w:pStyle w:val="ListParagraph"/>
        <w:numPr>
          <w:ilvl w:val="0"/>
          <w:numId w:val="23"/>
        </w:numPr>
        <w:overflowPunct w:val="0"/>
        <w:autoSpaceDE w:val="0"/>
        <w:autoSpaceDN w:val="0"/>
        <w:ind w:left="714" w:hanging="357"/>
        <w:jc w:val="both"/>
      </w:pPr>
      <w:r w:rsidRPr="00E41BE2">
        <w:t>What document</w:t>
      </w:r>
      <w:r w:rsidR="005E6C90">
        <w:t>s</w:t>
      </w:r>
      <w:r w:rsidRPr="00E41BE2">
        <w:t xml:space="preserve"> </w:t>
      </w:r>
      <w:r w:rsidR="005E6C90">
        <w:t>are</w:t>
      </w:r>
      <w:r w:rsidRPr="00E41BE2">
        <w:t xml:space="preserve"> being developed by the responsible group: Revising the existing ITU-R Report(s), ITU-R Recommendation(s) or developing a PDNR or a working document</w:t>
      </w:r>
    </w:p>
    <w:p w14:paraId="0C59AE3B" w14:textId="3F9BBA51" w:rsidR="003D10F2" w:rsidRDefault="003D10F2" w:rsidP="003D10F2">
      <w:pPr>
        <w:pStyle w:val="ListParagraph"/>
        <w:overflowPunct w:val="0"/>
        <w:autoSpaceDE w:val="0"/>
        <w:autoSpaceDN w:val="0"/>
        <w:ind w:left="714"/>
        <w:jc w:val="both"/>
      </w:pPr>
    </w:p>
    <w:p w14:paraId="63997929" w14:textId="1D64F268" w:rsidR="00D82880" w:rsidRPr="00D267C2" w:rsidRDefault="00D82880" w:rsidP="00DB50DF">
      <w:pPr>
        <w:pStyle w:val="ListParagraph"/>
        <w:numPr>
          <w:ilvl w:val="0"/>
          <w:numId w:val="23"/>
        </w:numPr>
        <w:overflowPunct w:val="0"/>
        <w:autoSpaceDE w:val="0"/>
        <w:autoSpaceDN w:val="0"/>
        <w:ind w:left="714" w:hanging="357"/>
        <w:jc w:val="both"/>
      </w:pPr>
      <w:r w:rsidRPr="00DB50DF">
        <w:rPr>
          <w:rFonts w:hint="eastAsia"/>
          <w:b/>
          <w:lang w:eastAsia="ko-KR"/>
        </w:rPr>
        <w:t>ITU-R WP5A</w:t>
      </w:r>
      <w:r w:rsidR="009C4C70">
        <w:rPr>
          <w:lang w:eastAsia="ko-KR"/>
        </w:rPr>
        <w:t>:</w:t>
      </w:r>
      <w:r>
        <w:rPr>
          <w:rFonts w:hint="eastAsia"/>
          <w:lang w:eastAsia="ko-KR"/>
        </w:rPr>
        <w:t xml:space="preserve"> </w:t>
      </w:r>
      <w:r w:rsidRPr="00D267C2">
        <w:t xml:space="preserve">Continued the work on the draft </w:t>
      </w:r>
      <w:hyperlink r:id="rId34" w:history="1">
        <w:r w:rsidRPr="00831A47">
          <w:rPr>
            <w:rStyle w:val="Hyperlink"/>
          </w:rPr>
          <w:t>work plan</w:t>
        </w:r>
      </w:hyperlink>
      <w:r w:rsidRPr="00D267C2">
        <w:t xml:space="preserve"> for activities covering WRC-23 agenda item 9.1 topic b). Updated the elements of a working document towards a preliminary draft new Report ITU-R M.[AMATEUR.CHARACTERISTICS] (</w:t>
      </w:r>
      <w:hyperlink r:id="rId35" w:history="1">
        <w:r w:rsidRPr="00D267C2">
          <w:rPr>
            <w:rStyle w:val="Hyperlink"/>
          </w:rPr>
          <w:t>Annex 10</w:t>
        </w:r>
      </w:hyperlink>
      <w:r w:rsidRPr="00D267C2">
        <w:t xml:space="preserve"> to </w:t>
      </w:r>
      <w:hyperlink r:id="rId36" w:history="1">
        <w:r w:rsidRPr="00D267C2">
          <w:t>Doc. </w:t>
        </w:r>
        <w:r w:rsidRPr="00D267C2">
          <w:rPr>
            <w:rStyle w:val="Hyperlink"/>
          </w:rPr>
          <w:t>5A/221</w:t>
        </w:r>
      </w:hyperlink>
      <w:r w:rsidRPr="00D267C2">
        <w:t>). Generated two liaison statements on topic 9.1 b) to other ITU-R groups. Updated editorial revisions to the information document “</w:t>
      </w:r>
      <w:hyperlink r:id="rId37" w:history="1">
        <w:r w:rsidRPr="00D267C2">
          <w:rPr>
            <w:rStyle w:val="Hyperlink"/>
          </w:rPr>
          <w:t>Guide to the use of ITU-R texts relating to the amateur and amateur-satellite services</w:t>
        </w:r>
      </w:hyperlink>
      <w:r w:rsidRPr="00D267C2">
        <w:t>” which can be found on the WP 5A webpage.</w:t>
      </w:r>
    </w:p>
    <w:p w14:paraId="04FED479" w14:textId="0234C3DD" w:rsidR="00D82880" w:rsidRDefault="00D82880" w:rsidP="00B737C0">
      <w:pPr>
        <w:overflowPunct w:val="0"/>
        <w:autoSpaceDE w:val="0"/>
        <w:autoSpaceDN w:val="0"/>
        <w:jc w:val="both"/>
      </w:pPr>
    </w:p>
    <w:p w14:paraId="51CCB32B" w14:textId="6E0697CB" w:rsidR="00FB5BC5" w:rsidRDefault="00570DA6" w:rsidP="00432E35">
      <w:pPr>
        <w:pStyle w:val="ListParagraph"/>
        <w:numPr>
          <w:ilvl w:val="0"/>
          <w:numId w:val="21"/>
        </w:numPr>
        <w:overflowPunct w:val="0"/>
        <w:autoSpaceDE w:val="0"/>
        <w:autoSpaceDN w:val="0"/>
        <w:jc w:val="both"/>
        <w:rPr>
          <w:color w:val="000000"/>
        </w:rPr>
      </w:pPr>
      <w:hyperlink r:id="rId38" w:history="1">
        <w:r w:rsidR="00432E35" w:rsidRPr="00432E35">
          <w:rPr>
            <w:rStyle w:val="Hyperlink"/>
          </w:rPr>
          <w:t xml:space="preserve">WORKING DOCUMENT TOWARDS Preliminary draft CPM text </w:t>
        </w:r>
        <w:r w:rsidR="00432E35" w:rsidRPr="00432E35">
          <w:rPr>
            <w:rStyle w:val="Hyperlink"/>
          </w:rPr>
          <w:br/>
          <w:t>for WRC-23 Agenda Item 9.1 TOPIC B):</w:t>
        </w:r>
      </w:hyperlink>
      <w:r w:rsidR="00432E35">
        <w:rPr>
          <w:color w:val="000000"/>
        </w:rPr>
        <w:t xml:space="preserve"> </w:t>
      </w:r>
      <w:r w:rsidR="00FB5BC5">
        <w:rPr>
          <w:color w:val="000000"/>
        </w:rPr>
        <w:t xml:space="preserve">CPM23-1 in its report </w:t>
      </w:r>
      <w:hyperlink r:id="rId39" w:history="1">
        <w:r w:rsidR="00FB5BC5" w:rsidRPr="00A84CF6">
          <w:rPr>
            <w:rStyle w:val="Hyperlink"/>
          </w:rPr>
          <w:t>CA/251</w:t>
        </w:r>
      </w:hyperlink>
      <w:r w:rsidR="00FB5BC5">
        <w:rPr>
          <w:color w:val="000000"/>
        </w:rPr>
        <w:t>, split the work on agenda item 9.1b between WP 4C and WP 5A with WP 5A being the responsible group. WP 4C was responsible for the detailed interference analysis required by</w:t>
      </w:r>
      <w:r w:rsidR="00FB5BC5" w:rsidRPr="006045FC">
        <w:rPr>
          <w:sz w:val="20"/>
        </w:rPr>
        <w:t xml:space="preserve"> </w:t>
      </w:r>
      <w:r w:rsidR="00FB5BC5" w:rsidRPr="00C15A66">
        <w:rPr>
          <w:i/>
          <w:iCs/>
        </w:rPr>
        <w:t>resolves to invite ITU-R 2</w:t>
      </w:r>
      <w:r w:rsidR="00FB5BC5" w:rsidRPr="00C15A66">
        <w:t xml:space="preserve"> of Resolution </w:t>
      </w:r>
      <w:r w:rsidR="00FB5BC5" w:rsidRPr="00C15A66">
        <w:rPr>
          <w:b/>
          <w:bCs/>
        </w:rPr>
        <w:t>774 (WRC-19)</w:t>
      </w:r>
      <w:r w:rsidR="00FB5BC5" w:rsidRPr="00745CC3">
        <w:rPr>
          <w:sz w:val="20"/>
        </w:rPr>
        <w:t xml:space="preserve"> </w:t>
      </w:r>
      <w:r w:rsidR="00FB5BC5">
        <w:rPr>
          <w:color w:val="000000"/>
        </w:rPr>
        <w:t>between stations of the amateur service and receivers of the radionavigation-satellite service. The results of the studies undertaken by WP 4C were sent to WP 5A so that it could draft the CPM text for WRC-23 and produce a final ITU-R report on the agenda item. WP 5A was also responsible for the review amateur service applications and development of appropriate and relevant parameters of amateur service stations for the studies undertaken by WP 4C.</w:t>
      </w:r>
    </w:p>
    <w:p w14:paraId="1655CC61" w14:textId="1ABF1471" w:rsidR="00FB5BC5" w:rsidRDefault="00FB5BC5" w:rsidP="00FB5BC5">
      <w:pPr>
        <w:pStyle w:val="ListParagraph"/>
        <w:overflowPunct w:val="0"/>
        <w:autoSpaceDE w:val="0"/>
        <w:autoSpaceDN w:val="0"/>
        <w:ind w:left="714"/>
        <w:jc w:val="both"/>
        <w:rPr>
          <w:color w:val="000000"/>
        </w:rPr>
      </w:pPr>
    </w:p>
    <w:p w14:paraId="2F7FF058" w14:textId="560AFAE0" w:rsidR="00FB5BC5" w:rsidRPr="00FB5BC5" w:rsidRDefault="00570DA6" w:rsidP="00432E35">
      <w:pPr>
        <w:pStyle w:val="ListParagraph"/>
        <w:numPr>
          <w:ilvl w:val="0"/>
          <w:numId w:val="21"/>
        </w:numPr>
        <w:overflowPunct w:val="0"/>
        <w:autoSpaceDE w:val="0"/>
        <w:autoSpaceDN w:val="0"/>
        <w:jc w:val="both"/>
        <w:rPr>
          <w:color w:val="000000"/>
        </w:rPr>
      </w:pPr>
      <w:hyperlink r:id="rId40" w:history="1">
        <w:r w:rsidR="00432E35" w:rsidRPr="00432E35">
          <w:rPr>
            <w:rStyle w:val="Hyperlink"/>
          </w:rPr>
          <w:t>ELEMENTS OF A WORKING DOCUMENT TOWARDS A Preliminary Draft New Report ITU-R M.[</w:t>
        </w:r>
        <w:r w:rsidR="00432E35" w:rsidRPr="00432E35">
          <w:rPr>
            <w:rStyle w:val="Hyperlink"/>
            <w:lang w:eastAsia="ja-JP"/>
          </w:rPr>
          <w:t>AMATEUR.CHARACTERISTICS</w:t>
        </w:r>
        <w:r w:rsidR="00432E35" w:rsidRPr="00432E35">
          <w:rPr>
            <w:rStyle w:val="Hyperlink"/>
          </w:rPr>
          <w:t>]:</w:t>
        </w:r>
      </w:hyperlink>
      <w:r w:rsidR="00432E35">
        <w:t xml:space="preserve"> A preliminary draft new Report ITU-R M.[AMATEUR.CHARACTERISTICS] is in preparation in ITU-R Working Party 5A. The current version of the working document is Annex 10 to Document 5A/221-E (Chairman’s Report) dated 23 November 2020. The document provides a comprehensive illustration of how the band is used by amateurs.</w:t>
      </w:r>
    </w:p>
    <w:p w14:paraId="34C25F37" w14:textId="0D564DFA" w:rsidR="00DB50DF" w:rsidRDefault="00DB50DF" w:rsidP="001B58AB">
      <w:pPr>
        <w:jc w:val="both"/>
        <w:rPr>
          <w:rFonts w:eastAsia="SimSun"/>
          <w:lang w:eastAsia="zh-CN"/>
        </w:rPr>
      </w:pPr>
    </w:p>
    <w:p w14:paraId="72EEC654" w14:textId="3579E1F5" w:rsidR="00D82880" w:rsidRPr="00DB50DF" w:rsidRDefault="00DB50DF" w:rsidP="003527E9">
      <w:pPr>
        <w:pStyle w:val="ListParagraph"/>
        <w:numPr>
          <w:ilvl w:val="0"/>
          <w:numId w:val="23"/>
        </w:numPr>
        <w:overflowPunct w:val="0"/>
        <w:autoSpaceDE w:val="0"/>
        <w:autoSpaceDN w:val="0"/>
        <w:ind w:left="714" w:hanging="357"/>
        <w:jc w:val="both"/>
        <w:rPr>
          <w:rFonts w:eastAsia="MS Mincho"/>
          <w:b/>
          <w:bCs/>
          <w:i/>
          <w:iCs/>
          <w:szCs w:val="20"/>
        </w:rPr>
      </w:pPr>
      <w:r w:rsidRPr="00DB50DF">
        <w:rPr>
          <w:rFonts w:hint="eastAsia"/>
          <w:b/>
          <w:lang w:eastAsia="ko-KR"/>
        </w:rPr>
        <w:t>ITU-R WP</w:t>
      </w:r>
      <w:r w:rsidRPr="00DB50DF">
        <w:rPr>
          <w:b/>
          <w:lang w:eastAsia="ko-KR"/>
        </w:rPr>
        <w:t>4C</w:t>
      </w:r>
      <w:r>
        <w:rPr>
          <w:lang w:eastAsia="ko-KR"/>
        </w:rPr>
        <w:t xml:space="preserve">: </w:t>
      </w:r>
      <w:r w:rsidR="00D82880">
        <w:t xml:space="preserve">In support of WP 4C’s responsibility for developing studies on </w:t>
      </w:r>
      <w:r w:rsidR="00D82880" w:rsidRPr="00DB50DF">
        <w:rPr>
          <w:i/>
          <w:iCs/>
        </w:rPr>
        <w:t xml:space="preserve">resolves to invite the ITU Radiocommunication Sector </w:t>
      </w:r>
      <w:r w:rsidR="00D82880">
        <w:t xml:space="preserve">2 of Resolution </w:t>
      </w:r>
      <w:r w:rsidR="00D82880" w:rsidRPr="00DB50DF">
        <w:rPr>
          <w:b/>
          <w:bCs/>
        </w:rPr>
        <w:t>774 (WRC-19)</w:t>
      </w:r>
      <w:r w:rsidR="00D82880">
        <w:t xml:space="preserve"> associated with</w:t>
      </w:r>
      <w:r w:rsidR="00D82880" w:rsidRPr="00DB50DF">
        <w:rPr>
          <w:sz w:val="32"/>
        </w:rPr>
        <w:t xml:space="preserve"> </w:t>
      </w:r>
      <w:r w:rsidR="00D82880">
        <w:t xml:space="preserve">WRC-23 agenda item 9.1, topic b), WP 4C produced three output documents. </w:t>
      </w:r>
      <w:r w:rsidR="00D82880">
        <w:rPr>
          <w:lang w:eastAsia="ja-JP"/>
        </w:rPr>
        <w:t xml:space="preserve">The meeting developed an updated Work Plan for addressing this topic based on the Work Plan in Document </w:t>
      </w:r>
      <w:hyperlink r:id="rId41" w:history="1">
        <w:r w:rsidR="00D82880">
          <w:rPr>
            <w:rStyle w:val="Hyperlink"/>
            <w:lang w:eastAsia="ja-JP"/>
          </w:rPr>
          <w:t>4C/109</w:t>
        </w:r>
      </w:hyperlink>
      <w:r w:rsidR="00D82880">
        <w:rPr>
          <w:lang w:eastAsia="ja-JP"/>
        </w:rPr>
        <w:t xml:space="preserve">, Annex 14. In response to two liaison statements from WP 5A (Docs </w:t>
      </w:r>
      <w:hyperlink r:id="rId42" w:history="1">
        <w:r w:rsidR="00D82880">
          <w:rPr>
            <w:rStyle w:val="Hyperlink"/>
            <w:lang w:eastAsia="ja-JP"/>
          </w:rPr>
          <w:t>4C/119</w:t>
        </w:r>
      </w:hyperlink>
      <w:r w:rsidR="00D82880">
        <w:rPr>
          <w:lang w:eastAsia="ja-JP"/>
        </w:rPr>
        <w:t xml:space="preserve"> and </w:t>
      </w:r>
      <w:hyperlink r:id="rId43" w:history="1">
        <w:r w:rsidR="00D82880">
          <w:rPr>
            <w:rStyle w:val="Hyperlink"/>
            <w:lang w:eastAsia="ja-JP"/>
          </w:rPr>
          <w:t>4C/120</w:t>
        </w:r>
      </w:hyperlink>
      <w:r w:rsidR="00D82880">
        <w:rPr>
          <w:lang w:eastAsia="ja-JP"/>
        </w:rPr>
        <w:t xml:space="preserve">), the meeting developed a reply liaison statement and sent it to WP 5A with copy to WP 3M for information. Finally, based on </w:t>
      </w:r>
      <w:r w:rsidR="00D82880">
        <w:t xml:space="preserve">received input documents (Docs 4C/119 (WP 5A), </w:t>
      </w:r>
      <w:hyperlink r:id="rId44" w:history="1">
        <w:r w:rsidR="00D82880">
          <w:rPr>
            <w:rStyle w:val="Hyperlink"/>
          </w:rPr>
          <w:t>4C/140</w:t>
        </w:r>
      </w:hyperlink>
      <w:r w:rsidR="00D82880">
        <w:t xml:space="preserve"> (F, I), </w:t>
      </w:r>
      <w:hyperlink r:id="rId45" w:history="1">
        <w:r w:rsidR="00D82880">
          <w:rPr>
            <w:rStyle w:val="Hyperlink"/>
          </w:rPr>
          <w:t>4C/147</w:t>
        </w:r>
      </w:hyperlink>
      <w:r w:rsidR="00D82880">
        <w:t xml:space="preserve"> (D) and </w:t>
      </w:r>
      <w:hyperlink r:id="rId46" w:history="1">
        <w:r w:rsidR="00D82880">
          <w:rPr>
            <w:rStyle w:val="Hyperlink"/>
          </w:rPr>
          <w:t>4C/148</w:t>
        </w:r>
      </w:hyperlink>
      <w:r w:rsidR="00D82880">
        <w:t xml:space="preserve"> (D)), </w:t>
      </w:r>
      <w:bookmarkStart w:id="0" w:name="_Hlk55303062"/>
      <w:r w:rsidR="00D82880">
        <w:rPr>
          <w:lang w:eastAsia="ja-JP"/>
        </w:rPr>
        <w:t>WP 4C</w:t>
      </w:r>
      <w:r w:rsidR="00D82880">
        <w:t xml:space="preserve"> produced a</w:t>
      </w:r>
      <w:r w:rsidR="00D82880" w:rsidRPr="00DB50DF">
        <w:rPr>
          <w:i/>
          <w:iCs/>
        </w:rPr>
        <w:t xml:space="preserve"> </w:t>
      </w:r>
      <w:r w:rsidR="00D82880">
        <w:t xml:space="preserve">working document towards a preliminary draft new Report ITU-R M.[Amateur-RNSS] to document its work on the studies for WRC-23 agenda item 9.1, </w:t>
      </w:r>
      <w:r w:rsidR="00D82880">
        <w:lastRenderedPageBreak/>
        <w:t>topic b).</w:t>
      </w:r>
      <w:r w:rsidR="00D82880">
        <w:rPr>
          <w:lang w:eastAsia="ja-JP"/>
        </w:rPr>
        <w:t xml:space="preserve"> </w:t>
      </w:r>
      <w:bookmarkEnd w:id="0"/>
      <w:r w:rsidR="00D82880">
        <w:rPr>
          <w:lang w:eastAsia="zh-CN"/>
        </w:rPr>
        <w:t>This document will eventually include complete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once completed.</w:t>
      </w:r>
      <w:r w:rsidR="00D82880">
        <w:rPr>
          <w:lang w:eastAsia="ja-JP"/>
        </w:rPr>
        <w:t xml:space="preserve"> </w:t>
      </w:r>
    </w:p>
    <w:p w14:paraId="5CC02E6C" w14:textId="77777777" w:rsidR="00D82880" w:rsidRPr="00D82880" w:rsidRDefault="00D82880" w:rsidP="001B58AB">
      <w:pPr>
        <w:jc w:val="both"/>
        <w:rPr>
          <w:rFonts w:eastAsia="SimSun"/>
          <w:lang w:eastAsia="zh-CN"/>
        </w:rPr>
      </w:pPr>
    </w:p>
    <w:bookmarkStart w:id="1" w:name="_Hlk55210409"/>
    <w:p w14:paraId="4BAF3C09" w14:textId="2F287B11" w:rsidR="00A83EA4" w:rsidRPr="00622E72" w:rsidRDefault="00330389" w:rsidP="00300F93">
      <w:pPr>
        <w:pStyle w:val="ListParagraph"/>
        <w:numPr>
          <w:ilvl w:val="0"/>
          <w:numId w:val="29"/>
        </w:numPr>
        <w:jc w:val="both"/>
      </w:pPr>
      <w:r w:rsidRPr="004763CC">
        <w:fldChar w:fldCharType="begin"/>
      </w:r>
      <w:r w:rsidRPr="004763CC">
        <w:instrText xml:space="preserve"> HYPERLINK "https://www.itu.int/md/R19-WP4C-C-0162/en" </w:instrText>
      </w:r>
      <w:r w:rsidRPr="004763CC">
        <w:fldChar w:fldCharType="separate"/>
      </w:r>
      <w:r w:rsidRPr="004763CC">
        <w:rPr>
          <w:rStyle w:val="Hyperlink"/>
        </w:rPr>
        <w:t>WORKING DOCUMENT TOWARDS A PRELIMINARY DRAFT NEW</w:t>
      </w:r>
      <w:r w:rsidRPr="004763CC">
        <w:rPr>
          <w:rStyle w:val="Hyperlink"/>
        </w:rPr>
        <w:br/>
        <w:t>REPORT ITU-R M.[</w:t>
      </w:r>
      <w:r w:rsidRPr="004763CC">
        <w:rPr>
          <w:rStyle w:val="Hyperlink"/>
          <w:lang w:eastAsia="zh-CN"/>
        </w:rPr>
        <w:t>AMATEUR</w:t>
      </w:r>
      <w:r w:rsidRPr="004763CC">
        <w:rPr>
          <w:rStyle w:val="Hyperlink"/>
        </w:rPr>
        <w:t>-RNSS]</w:t>
      </w:r>
      <w:bookmarkEnd w:id="1"/>
      <w:r w:rsidRPr="004763CC">
        <w:rPr>
          <w:rStyle w:val="Hyperlink"/>
        </w:rPr>
        <w:t>:</w:t>
      </w:r>
      <w:r w:rsidRPr="004763CC">
        <w:fldChar w:fldCharType="end"/>
      </w:r>
      <w:r w:rsidRPr="00330389">
        <w:rPr>
          <w:sz w:val="28"/>
        </w:rPr>
        <w:t xml:space="preserve"> </w:t>
      </w:r>
      <w:r w:rsidR="00A83EA4" w:rsidRPr="00622E72">
        <w:rPr>
          <w:lang w:eastAsia="zh-CN"/>
        </w:rPr>
        <w:t>WP 4C has developed possible elements for a working document towards a preliminary draft new Report (WD-</w:t>
      </w:r>
      <w:proofErr w:type="spellStart"/>
      <w:r w:rsidR="00A83EA4" w:rsidRPr="00622E72">
        <w:rPr>
          <w:lang w:eastAsia="zh-CN"/>
        </w:rPr>
        <w:t>PDNRep</w:t>
      </w:r>
      <w:proofErr w:type="spellEnd"/>
      <w:r w:rsidR="00A83EA4" w:rsidRPr="00622E72">
        <w:rPr>
          <w:lang w:eastAsia="zh-CN"/>
        </w:rPr>
        <w:t xml:space="preserve"> ITU-R M.[Amateur-RNSS]), available in Annex 9 to Document </w:t>
      </w:r>
      <w:hyperlink r:id="rId47" w:history="1">
        <w:r w:rsidR="00A83EA4" w:rsidRPr="00622E72">
          <w:rPr>
            <w:rStyle w:val="Hyperlink"/>
            <w:lang w:eastAsia="zh-CN"/>
          </w:rPr>
          <w:t>4C/109</w:t>
        </w:r>
      </w:hyperlink>
      <w:r w:rsidR="00A83EA4" w:rsidRPr="00622E72">
        <w:rPr>
          <w:lang w:eastAsia="zh-CN"/>
        </w:rPr>
        <w:t>, which will eventually include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once completed.</w:t>
      </w:r>
      <w:r>
        <w:rPr>
          <w:lang w:eastAsia="zh-CN"/>
        </w:rPr>
        <w:t xml:space="preserve"> </w:t>
      </w:r>
      <w:r w:rsidR="00A83EA4" w:rsidRPr="00622E72">
        <w:t>At this stage, propagation models proposed for consideration in this working document are f</w:t>
      </w:r>
      <w:r w:rsidR="00A83EA4" w:rsidRPr="00622E72">
        <w:rPr>
          <w:lang w:eastAsia="ja-JP"/>
        </w:rPr>
        <w:t>ree space loss or the Okumura-</w:t>
      </w:r>
      <w:proofErr w:type="spellStart"/>
      <w:r w:rsidR="00A83EA4" w:rsidRPr="00622E72">
        <w:rPr>
          <w:lang w:eastAsia="ja-JP"/>
        </w:rPr>
        <w:t>Hata</w:t>
      </w:r>
      <w:proofErr w:type="spellEnd"/>
      <w:r w:rsidR="00A83EA4" w:rsidRPr="00622E72">
        <w:rPr>
          <w:lang w:eastAsia="ja-JP"/>
        </w:rPr>
        <w:t xml:space="preserve"> model described in Recommendation ITU-R P.1546. </w:t>
      </w:r>
      <w:r w:rsidR="00A83EA4" w:rsidRPr="00622E72">
        <w:t xml:space="preserve">WP 4C will update its studies with the use of </w:t>
      </w:r>
      <w:r w:rsidR="00A83EA4" w:rsidRPr="00622E72">
        <w:rPr>
          <w:lang w:eastAsia="zh-CN"/>
        </w:rPr>
        <w:t>propagation models proposed by WP 3M when assessing the co</w:t>
      </w:r>
      <w:r w:rsidR="00A83EA4" w:rsidRPr="00622E72">
        <w:rPr>
          <w:lang w:eastAsia="zh-CN"/>
        </w:rPr>
        <w:noBreakHyphen/>
        <w:t xml:space="preserve">existence between </w:t>
      </w:r>
      <w:r w:rsidR="00A83EA4" w:rsidRPr="00622E72">
        <w:t>the amateur service and the amateur-satellite service with the radionavigation-satellite service in the frequency band 1 240</w:t>
      </w:r>
      <w:r w:rsidR="00A83EA4" w:rsidRPr="00622E72">
        <w:noBreakHyphen/>
        <w:t>1 300 </w:t>
      </w:r>
      <w:proofErr w:type="spellStart"/>
      <w:r w:rsidR="00A83EA4" w:rsidRPr="00622E72">
        <w:t>MHz.</w:t>
      </w:r>
      <w:proofErr w:type="spellEnd"/>
    </w:p>
    <w:p w14:paraId="2C3E3421" w14:textId="77777777" w:rsidR="003D10F2" w:rsidRDefault="003D10F2" w:rsidP="003D10F2">
      <w:pPr>
        <w:pStyle w:val="ListParagraph"/>
        <w:overflowPunct w:val="0"/>
        <w:autoSpaceDE w:val="0"/>
        <w:autoSpaceDN w:val="0"/>
        <w:ind w:left="714"/>
        <w:jc w:val="both"/>
      </w:pPr>
    </w:p>
    <w:p w14:paraId="493CDFCB" w14:textId="02D94210" w:rsidR="005263C8" w:rsidRDefault="00E41BE2" w:rsidP="00024EBC">
      <w:pPr>
        <w:pStyle w:val="ListParagraph"/>
        <w:numPr>
          <w:ilvl w:val="0"/>
          <w:numId w:val="23"/>
        </w:numPr>
        <w:overflowPunct w:val="0"/>
        <w:autoSpaceDE w:val="0"/>
        <w:autoSpaceDN w:val="0"/>
        <w:ind w:left="714" w:hanging="357"/>
        <w:jc w:val="both"/>
      </w:pPr>
      <w:r w:rsidRPr="00E41BE2">
        <w:t>Contentious issues in ITU-R meeting (list all issues up in the beginning and then update</w:t>
      </w:r>
      <w:r w:rsidR="005E6C90">
        <w:t xml:space="preserve"> </w:t>
      </w:r>
      <w:r w:rsidRPr="00E41BE2">
        <w:t>(removal or addition) later stage)</w:t>
      </w:r>
      <w:r w:rsidR="00CF489D">
        <w:t xml:space="preserve">:  </w:t>
      </w:r>
      <w:r w:rsidR="00CF489D" w:rsidRPr="00CF489D">
        <w:rPr>
          <w:i/>
        </w:rPr>
        <w:t>[TBD]</w:t>
      </w:r>
    </w:p>
    <w:p w14:paraId="72BD2F54" w14:textId="2470F0B7" w:rsidR="003D10F2" w:rsidRDefault="00CF489D" w:rsidP="003D10F2">
      <w:pPr>
        <w:pStyle w:val="ListParagraph"/>
        <w:overflowPunct w:val="0"/>
        <w:autoSpaceDE w:val="0"/>
        <w:autoSpaceDN w:val="0"/>
        <w:ind w:left="714"/>
        <w:jc w:val="both"/>
        <w:rPr>
          <w:lang w:eastAsia="ko-KR"/>
        </w:rPr>
      </w:pPr>
      <w:r>
        <w:rPr>
          <w:rFonts w:hint="eastAsia"/>
          <w:lang w:eastAsia="ko-KR"/>
        </w:rPr>
        <w:t xml:space="preserve"> </w:t>
      </w:r>
    </w:p>
    <w:p w14:paraId="336A8A87" w14:textId="24CC35E9" w:rsidR="00E41BE2" w:rsidRPr="00E41BE2" w:rsidRDefault="00E41BE2" w:rsidP="00024EBC">
      <w:pPr>
        <w:pStyle w:val="ListParagraph"/>
        <w:numPr>
          <w:ilvl w:val="0"/>
          <w:numId w:val="23"/>
        </w:numPr>
        <w:overflowPunct w:val="0"/>
        <w:autoSpaceDE w:val="0"/>
        <w:autoSpaceDN w:val="0"/>
        <w:ind w:left="714" w:hanging="357"/>
        <w:jc w:val="both"/>
      </w:pPr>
      <w:r w:rsidRPr="00E41BE2">
        <w:t xml:space="preserve">Hyperlink </w:t>
      </w:r>
      <w:r w:rsidR="005E6C90">
        <w:t xml:space="preserve">to </w:t>
      </w:r>
      <w:r w:rsidR="009306C7">
        <w:t xml:space="preserve">the relevant part of the webpage of </w:t>
      </w:r>
      <w:hyperlink r:id="rId48" w:history="1">
        <w:r w:rsidR="009306C7" w:rsidRPr="009306C7">
          <w:rPr>
            <w:rStyle w:val="Hyperlink"/>
          </w:rPr>
          <w:t>ITU-R Preparatory Studies for WRC-23</w:t>
        </w:r>
      </w:hyperlink>
      <w:r w:rsidR="009306C7">
        <w:t xml:space="preserve"> </w:t>
      </w:r>
      <w:r w:rsidRPr="00E41BE2">
        <w:t xml:space="preserve"> </w:t>
      </w:r>
    </w:p>
    <w:p w14:paraId="0129B534" w14:textId="77777777" w:rsidR="00E41BE2" w:rsidRDefault="00E41BE2" w:rsidP="00E5341E">
      <w:pPr>
        <w:spacing w:after="120"/>
        <w:jc w:val="both"/>
        <w:rPr>
          <w:b/>
        </w:rPr>
      </w:pPr>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4ABD4C8C" w:rsidR="00957294" w:rsidRDefault="005263C8" w:rsidP="005263C8">
      <w:pPr>
        <w:pStyle w:val="ListParagraph"/>
        <w:numPr>
          <w:ilvl w:val="0"/>
          <w:numId w:val="21"/>
        </w:numPr>
        <w:spacing w:after="120"/>
        <w:jc w:val="both"/>
        <w:rPr>
          <w:bCs/>
          <w:lang w:val="en-NZ" w:eastAsia="ko-KR"/>
        </w:rPr>
      </w:pPr>
      <w:r w:rsidRPr="005263C8">
        <w:rPr>
          <w:bCs/>
          <w:lang w:val="en-NZ" w:eastAsia="ko-KR"/>
        </w:rPr>
        <w:t>ATU</w:t>
      </w:r>
    </w:p>
    <w:p w14:paraId="5B2E86A7" w14:textId="77777777" w:rsidR="005263C8" w:rsidRPr="005263C8" w:rsidRDefault="005263C8" w:rsidP="005263C8">
      <w:pPr>
        <w:pStyle w:val="ListParagraph"/>
        <w:spacing w:after="120"/>
        <w:ind w:left="1080"/>
        <w:jc w:val="both"/>
        <w:rPr>
          <w:bCs/>
          <w:lang w:val="en-NZ" w:eastAsia="ko-KR"/>
        </w:rPr>
      </w:pPr>
    </w:p>
    <w:p w14:paraId="73509121" w14:textId="3FC2CF5A"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p>
    <w:p w14:paraId="2F999586" w14:textId="77777777" w:rsidR="005263C8" w:rsidRPr="005263C8" w:rsidRDefault="005263C8" w:rsidP="005263C8">
      <w:pPr>
        <w:spacing w:after="120"/>
        <w:jc w:val="both"/>
        <w:rPr>
          <w:bCs/>
          <w:lang w:val="en-NZ" w:eastAsia="ko-KR"/>
        </w:rPr>
      </w:pPr>
    </w:p>
    <w:p w14:paraId="6F14C81D" w14:textId="32CDDFDD"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p>
    <w:p w14:paraId="1F11FA27" w14:textId="4DA920D4" w:rsidR="00D90338" w:rsidRPr="00D90338" w:rsidRDefault="00D90338" w:rsidP="00D90338">
      <w:pPr>
        <w:spacing w:after="120"/>
        <w:jc w:val="both"/>
        <w:rPr>
          <w:bCs/>
          <w:lang w:val="en-NZ" w:eastAsia="ko-KR"/>
        </w:rPr>
      </w:pPr>
    </w:p>
    <w:p w14:paraId="3E39A585" w14:textId="6F3920D7"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p>
    <w:p w14:paraId="7DADBFF4" w14:textId="77777777" w:rsidR="005263C8" w:rsidRPr="005263C8" w:rsidRDefault="005263C8" w:rsidP="005263C8">
      <w:pPr>
        <w:pStyle w:val="ListParagraph"/>
        <w:spacing w:after="120"/>
        <w:ind w:left="1080"/>
        <w:jc w:val="both"/>
        <w:rPr>
          <w:bCs/>
          <w:lang w:val="en-NZ" w:eastAsia="ko-KR"/>
        </w:rPr>
      </w:pPr>
    </w:p>
    <w:p w14:paraId="59ED3143" w14:textId="0DA9EA8E"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p>
    <w:p w14:paraId="455B0EE5" w14:textId="77777777" w:rsidR="005263C8" w:rsidRPr="005263C8" w:rsidRDefault="005263C8" w:rsidP="005263C8">
      <w:pPr>
        <w:pStyle w:val="ListParagraph"/>
        <w:rPr>
          <w:bCs/>
          <w:lang w:val="en-NZ" w:eastAsia="ko-KR"/>
        </w:rPr>
      </w:pPr>
    </w:p>
    <w:p w14:paraId="4A980740" w14:textId="77777777" w:rsidR="005263C8" w:rsidRPr="005263C8" w:rsidRDefault="005263C8" w:rsidP="005263C8">
      <w:pPr>
        <w:pStyle w:val="ListParagraph"/>
        <w:spacing w:after="120"/>
        <w:ind w:left="1080"/>
        <w:jc w:val="both"/>
        <w:rPr>
          <w:bCs/>
          <w:lang w:val="en-NZ" w:eastAsia="ko-KR"/>
        </w:rPr>
      </w:pPr>
    </w:p>
    <w:p w14:paraId="32715F49" w14:textId="744F53A8"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40C012D" w14:textId="77777777" w:rsidR="005263C8" w:rsidRPr="005263C8" w:rsidRDefault="005263C8" w:rsidP="005263C8">
      <w:pPr>
        <w:spacing w:after="120"/>
        <w:jc w:val="both"/>
        <w:rPr>
          <w:bCs/>
          <w:lang w:val="en-NZ" w:eastAsia="ko-KR"/>
        </w:rPr>
      </w:pPr>
    </w:p>
    <w:p w14:paraId="588FA515" w14:textId="3495970C" w:rsidR="005263C8" w:rsidRDefault="005263C8" w:rsidP="005263C8">
      <w:pPr>
        <w:pStyle w:val="ListParagraph"/>
        <w:numPr>
          <w:ilvl w:val="0"/>
          <w:numId w:val="21"/>
        </w:numPr>
        <w:spacing w:after="120"/>
        <w:jc w:val="both"/>
        <w:rPr>
          <w:bCs/>
          <w:lang w:val="en-NZ" w:eastAsia="ko-KR"/>
        </w:rPr>
      </w:pPr>
      <w:r>
        <w:rPr>
          <w:bCs/>
          <w:lang w:val="en-NZ" w:eastAsia="ko-KR"/>
        </w:rPr>
        <w:t>IARU R</w:t>
      </w:r>
      <w:r w:rsidR="00F76AA4">
        <w:rPr>
          <w:bCs/>
          <w:lang w:val="en-NZ" w:eastAsia="ko-KR"/>
        </w:rPr>
        <w:t>1</w:t>
      </w:r>
      <w:r w:rsidR="00F346AC">
        <w:rPr>
          <w:rStyle w:val="FootnoteReference"/>
          <w:bCs/>
          <w:lang w:val="en-NZ" w:eastAsia="ko-KR"/>
        </w:rPr>
        <w:footnoteReference w:id="2"/>
      </w:r>
    </w:p>
    <w:p w14:paraId="591A0388" w14:textId="4B522882" w:rsidR="00F76AA4" w:rsidRPr="00E66841" w:rsidRDefault="00F76AA4" w:rsidP="00F76AA4">
      <w:pPr>
        <w:pStyle w:val="ListParagraph"/>
        <w:numPr>
          <w:ilvl w:val="0"/>
          <w:numId w:val="25"/>
        </w:numPr>
        <w:spacing w:after="120"/>
        <w:jc w:val="both"/>
        <w:rPr>
          <w:bCs/>
          <w:lang w:val="en-NZ" w:eastAsia="ko-KR"/>
        </w:rPr>
      </w:pPr>
      <w:r>
        <w:t xml:space="preserve">The IARU has spoken against the WRC-23 agenda item proposals made in the European WRC preparatory process </w:t>
      </w:r>
      <w:r w:rsidRPr="0016577F">
        <w:t xml:space="preserve">(taking place in CPG PTA).  IARU believes that </w:t>
      </w:r>
      <w:r w:rsidRPr="0016577F">
        <w:lastRenderedPageBreak/>
        <w:t>a WRC agenda item is not the most efficient means to develop the solutions and guidance to solve any coexistence issue between the GNSS and the Amateur Service.</w:t>
      </w:r>
    </w:p>
    <w:p w14:paraId="4D9AD3AE" w14:textId="68D5E7AB" w:rsidR="00E66841" w:rsidRPr="001B09D6" w:rsidRDefault="00E66841" w:rsidP="001B09D6">
      <w:pPr>
        <w:pStyle w:val="ListParagraph"/>
        <w:numPr>
          <w:ilvl w:val="0"/>
          <w:numId w:val="21"/>
        </w:numPr>
        <w:spacing w:after="120"/>
        <w:jc w:val="both"/>
        <w:rPr>
          <w:bCs/>
          <w:lang w:val="en-NZ" w:eastAsia="ko-KR"/>
        </w:rPr>
      </w:pPr>
      <w:r w:rsidRPr="001B09D6">
        <w:rPr>
          <w:bCs/>
          <w:lang w:val="en-NZ" w:eastAsia="ko-KR"/>
        </w:rPr>
        <w:t>Preliminary IARU position on WRC-23 Agenda Item 9.1 Topic B</w:t>
      </w:r>
      <w:r w:rsidRPr="001B09D6">
        <w:rPr>
          <w:bCs/>
          <w:vertAlign w:val="superscript"/>
          <w:lang w:val="en-NZ" w:eastAsia="ko-KR"/>
        </w:rPr>
        <w:footnoteReference w:id="3"/>
      </w:r>
    </w:p>
    <w:p w14:paraId="29E8DD38" w14:textId="7CB18BBD" w:rsidR="00E66841" w:rsidRPr="00937907" w:rsidRDefault="00E66841" w:rsidP="00BC23E9">
      <w:pPr>
        <w:pStyle w:val="ListParagraph"/>
        <w:numPr>
          <w:ilvl w:val="0"/>
          <w:numId w:val="25"/>
        </w:numPr>
        <w:spacing w:after="120"/>
        <w:jc w:val="both"/>
      </w:pPr>
      <w:r w:rsidRPr="00937907">
        <w:t>During many years of operational experience, the secondary amateur and amateur satellite</w:t>
      </w:r>
      <w:r w:rsidR="00937907">
        <w:t xml:space="preserve"> </w:t>
      </w:r>
      <w:r w:rsidRPr="00937907">
        <w:t>services have successfully co-existed with all the primary services in the range 1 240-1 300</w:t>
      </w:r>
      <w:r w:rsidR="00937907">
        <w:t xml:space="preserve"> </w:t>
      </w:r>
      <w:r w:rsidRPr="00937907">
        <w:t>MHz with very few issues. In cases where certain applications (in particular wide bandwidth,</w:t>
      </w:r>
      <w:r w:rsidR="00937907">
        <w:t xml:space="preserve"> </w:t>
      </w:r>
      <w:r w:rsidRPr="00937907">
        <w:t>high duty cycle applications) could increase the potential for interference, careful spectrum</w:t>
      </w:r>
      <w:r w:rsidR="00937907">
        <w:t xml:space="preserve"> </w:t>
      </w:r>
      <w:r w:rsidRPr="00937907">
        <w:t xml:space="preserve">management and national licensing conditions have </w:t>
      </w:r>
      <w:proofErr w:type="spellStart"/>
      <w:r w:rsidRPr="00937907">
        <w:t>minimised</w:t>
      </w:r>
      <w:proofErr w:type="spellEnd"/>
      <w:r w:rsidRPr="00937907">
        <w:t xml:space="preserve"> any risk. Radio amateurs have</w:t>
      </w:r>
      <w:r w:rsidR="00937907">
        <w:t xml:space="preserve"> </w:t>
      </w:r>
      <w:r w:rsidRPr="00937907">
        <w:t>successfully co-existed and innovated in this frequency range for many years and IARU</w:t>
      </w:r>
      <w:r w:rsidR="00937907">
        <w:t xml:space="preserve"> </w:t>
      </w:r>
      <w:r w:rsidRPr="00937907">
        <w:t>believes that the regulatory status of the amateur and amateur satellite services in this range</w:t>
      </w:r>
      <w:r w:rsidR="00937907">
        <w:t xml:space="preserve"> </w:t>
      </w:r>
      <w:r w:rsidRPr="00937907">
        <w:t xml:space="preserve">is already clear. </w:t>
      </w:r>
      <w:proofErr w:type="gramStart"/>
      <w:r w:rsidRPr="00937907">
        <w:t>Therefore</w:t>
      </w:r>
      <w:proofErr w:type="gramEnd"/>
      <w:r w:rsidRPr="00937907">
        <w:t xml:space="preserve"> any additional regulatory, operational or technical measures</w:t>
      </w:r>
      <w:r w:rsidR="00937907">
        <w:t xml:space="preserve"> </w:t>
      </w:r>
      <w:r w:rsidRPr="00937907">
        <w:t>incorporated into the Radio Regulations are unnecessary. Any recommendations resulting</w:t>
      </w:r>
      <w:r w:rsidR="00937907">
        <w:t xml:space="preserve"> </w:t>
      </w:r>
      <w:r w:rsidRPr="00937907">
        <w:t>from studies under Resolution 774 can be applied on a national basis and should be based on</w:t>
      </w:r>
      <w:r w:rsidR="00937907">
        <w:t xml:space="preserve"> </w:t>
      </w:r>
      <w:r w:rsidRPr="00937907">
        <w:t>realistic assumptions, proportionate in scope and carefully justified so as not to unnecessarily inhibit development of the amateur services.</w:t>
      </w:r>
    </w:p>
    <w:p w14:paraId="2E92025C" w14:textId="77777777" w:rsidR="00957294" w:rsidRPr="00441526" w:rsidRDefault="00957294" w:rsidP="00957294">
      <w:pPr>
        <w:spacing w:after="120"/>
        <w:jc w:val="both"/>
        <w:rPr>
          <w:b/>
          <w:lang w:val="en-NZ" w:eastAsia="ko-KR"/>
        </w:rPr>
      </w:pPr>
    </w:p>
    <w:sectPr w:rsidR="00957294" w:rsidRPr="00441526" w:rsidSect="00FF72BB">
      <w:headerReference w:type="default" r:id="rId49"/>
      <w:footerReference w:type="even" r:id="rId50"/>
      <w:footerReference w:type="default" r:id="rId51"/>
      <w:footerReference w:type="first" r:id="rId5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B95AE" w14:textId="77777777" w:rsidR="00570DA6" w:rsidRDefault="00570DA6">
      <w:r>
        <w:separator/>
      </w:r>
    </w:p>
  </w:endnote>
  <w:endnote w:type="continuationSeparator" w:id="0">
    <w:p w14:paraId="5A0DDE88" w14:textId="77777777" w:rsidR="00570DA6" w:rsidRDefault="005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0BA3513A" w:rsidR="00051E1E" w:rsidRDefault="00051E1E">
    <w:pPr>
      <w:pStyle w:val="Footer"/>
    </w:pPr>
    <w:r>
      <w:t>A</w:t>
    </w:r>
    <w:r w:rsidR="001E1432">
      <w:t>PG23-</w:t>
    </w:r>
    <w:r w:rsidR="008624ED">
      <w:t>2</w:t>
    </w:r>
    <w:r>
      <w:t>/IN</w:t>
    </w:r>
    <w:r w:rsidR="00D464F3">
      <w:t>F</w:t>
    </w:r>
    <w:r>
      <w:t>-</w:t>
    </w:r>
    <w:r w:rsidR="00D464F3">
      <w:t>24</w:t>
    </w:r>
    <w:r>
      <w:tab/>
    </w:r>
    <w:r>
      <w:tab/>
      <w:t xml:space="preserve">Page </w:t>
    </w:r>
    <w:r>
      <w:rPr>
        <w:b/>
        <w:bCs/>
      </w:rPr>
      <w:fldChar w:fldCharType="begin"/>
    </w:r>
    <w:r>
      <w:rPr>
        <w:b/>
        <w:bCs/>
      </w:rPr>
      <w:instrText xml:space="preserve"> PAGE  \* Arabic  \* MERGEFORMAT </w:instrText>
    </w:r>
    <w:r>
      <w:rPr>
        <w:b/>
        <w:bCs/>
      </w:rPr>
      <w:fldChar w:fldCharType="separate"/>
    </w:r>
    <w:r w:rsidR="001D55F8">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D55F8">
      <w:rPr>
        <w:b/>
        <w:bCs/>
        <w:noProof/>
      </w:rPr>
      <w:t>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206ACD71" w:rsidR="00B54758" w:rsidRDefault="00B4457D" w:rsidP="007E7497">
          <w:pPr>
            <w:pStyle w:val="Equation"/>
            <w:tabs>
              <w:tab w:val="clear" w:pos="794"/>
              <w:tab w:val="clear" w:pos="4820"/>
              <w:tab w:val="clear" w:pos="9639"/>
            </w:tabs>
            <w:spacing w:beforeLines="0"/>
            <w:rPr>
              <w:rFonts w:eastAsia="Batang"/>
            </w:rPr>
          </w:pPr>
          <w:r>
            <w:rPr>
              <w:rFonts w:eastAsia="Batang"/>
            </w:rPr>
            <w:t>Ms. Jaekyung Park</w:t>
          </w:r>
        </w:p>
        <w:p w14:paraId="39C5729B" w14:textId="688539ED" w:rsidR="00EC249E" w:rsidRDefault="00B4457D" w:rsidP="00B4457D">
          <w:pPr>
            <w:pStyle w:val="Equation"/>
            <w:tabs>
              <w:tab w:val="clear" w:pos="794"/>
              <w:tab w:val="clear" w:pos="4820"/>
              <w:tab w:val="clear" w:pos="9639"/>
            </w:tabs>
            <w:spacing w:beforeLines="0"/>
            <w:ind w:rightChars="-207" w:right="-497"/>
            <w:rPr>
              <w:rFonts w:eastAsia="Batang"/>
            </w:rPr>
          </w:pPr>
          <w:r>
            <w:rPr>
              <w:rFonts w:eastAsia="Batang"/>
            </w:rPr>
            <w:t>Korea Communications Agency</w:t>
          </w:r>
          <w:r w:rsidR="00EC249E">
            <w:rPr>
              <w:rFonts w:eastAsia="Batang"/>
            </w:rPr>
            <w:t xml:space="preserve">, </w:t>
          </w:r>
          <w:r>
            <w:rPr>
              <w:rFonts w:eastAsia="Batang"/>
            </w:rPr>
            <w:t>Republic of Korea</w:t>
          </w:r>
        </w:p>
      </w:tc>
      <w:tc>
        <w:tcPr>
          <w:tcW w:w="3024" w:type="dxa"/>
        </w:tcPr>
        <w:p w14:paraId="66CA6E30" w14:textId="47D9B059" w:rsidR="00B54758" w:rsidRDefault="00B54758" w:rsidP="00E23D98">
          <w:pPr>
            <w:rPr>
              <w:lang w:eastAsia="ja-JP"/>
            </w:rPr>
          </w:pPr>
          <w:r>
            <w:t>Email</w:t>
          </w:r>
          <w:r>
            <w:rPr>
              <w:rFonts w:hint="eastAsia"/>
            </w:rPr>
            <w:t>:</w:t>
          </w:r>
          <w:r>
            <w:t xml:space="preserve"> </w:t>
          </w:r>
          <w:r w:rsidR="00B4457D">
            <w:t>jay.park@kca.kr</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7B7D" w14:textId="77777777" w:rsidR="00570DA6" w:rsidRDefault="00570DA6">
      <w:r>
        <w:separator/>
      </w:r>
    </w:p>
  </w:footnote>
  <w:footnote w:type="continuationSeparator" w:id="0">
    <w:p w14:paraId="650AEE40" w14:textId="77777777" w:rsidR="00570DA6" w:rsidRDefault="00570DA6">
      <w:r>
        <w:continuationSeparator/>
      </w:r>
    </w:p>
  </w:footnote>
  <w:footnote w:id="1">
    <w:p w14:paraId="4EAC3308" w14:textId="77777777" w:rsidR="009A514E" w:rsidRPr="0060091D" w:rsidRDefault="009A514E" w:rsidP="009A514E">
      <w:pPr>
        <w:pStyle w:val="FootnoteText"/>
      </w:pPr>
      <w:r>
        <w:rPr>
          <w:rStyle w:val="FootnoteReference"/>
        </w:rPr>
        <w:t>*</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WRC-19.</w:t>
      </w:r>
    </w:p>
  </w:footnote>
  <w:footnote w:id="2">
    <w:p w14:paraId="69D07B94" w14:textId="0C2137E2" w:rsidR="00F346AC" w:rsidRDefault="00F346AC">
      <w:pPr>
        <w:pStyle w:val="FootnoteText"/>
        <w:rPr>
          <w:lang w:eastAsia="ko-KR"/>
        </w:rPr>
      </w:pPr>
      <w:r>
        <w:rPr>
          <w:rStyle w:val="FootnoteReference"/>
        </w:rPr>
        <w:footnoteRef/>
      </w:r>
      <w:r>
        <w:t xml:space="preserve"> </w:t>
      </w:r>
      <w:r w:rsidRPr="00F346AC">
        <w:t>https://www.iaru-r1.org/spectrum/iaru-and-itu/wrc-23-page/wrc-23-agenda-item-9-1b/</w:t>
      </w:r>
    </w:p>
  </w:footnote>
  <w:footnote w:id="3">
    <w:p w14:paraId="5374299C" w14:textId="77777777" w:rsidR="00E66841" w:rsidRPr="00E66841" w:rsidRDefault="00E66841" w:rsidP="00E66841">
      <w:pPr>
        <w:pStyle w:val="FootnoteText"/>
      </w:pPr>
      <w:r w:rsidRPr="00E66841">
        <w:footnoteRef/>
      </w:r>
      <w:r>
        <w:t xml:space="preserve"> </w:t>
      </w:r>
      <w:r w:rsidRPr="00E66841">
        <w:t>https://www.iaru-r1.org/wp-content/uploads/2021/02/20210304-Public-Prelim.pdf</w:t>
      </w:r>
    </w:p>
    <w:p w14:paraId="71258733" w14:textId="44F77821" w:rsidR="00E66841" w:rsidRPr="00E66841" w:rsidRDefault="00E66841">
      <w:pPr>
        <w:pStyle w:val="FootnoteText"/>
        <w:rPr>
          <w:lang w:val="en-NZ" w:eastAsia="ko-K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3888"/>
    <w:multiLevelType w:val="hybridMultilevel"/>
    <w:tmpl w:val="0E82CCA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0AF1BF3"/>
    <w:multiLevelType w:val="multilevel"/>
    <w:tmpl w:val="C8D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497039"/>
    <w:multiLevelType w:val="hybridMultilevel"/>
    <w:tmpl w:val="B1D84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28677AD"/>
    <w:multiLevelType w:val="hybridMultilevel"/>
    <w:tmpl w:val="07AA6F7A"/>
    <w:lvl w:ilvl="0" w:tplc="E7F40960">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9372D"/>
    <w:multiLevelType w:val="hybridMultilevel"/>
    <w:tmpl w:val="454AA2D4"/>
    <w:lvl w:ilvl="0" w:tplc="532E9D04">
      <w:numFmt w:val="bullet"/>
      <w:lvlText w:val="-"/>
      <w:lvlJc w:val="left"/>
      <w:pPr>
        <w:ind w:left="760" w:hanging="360"/>
      </w:pPr>
      <w:rPr>
        <w:rFonts w:ascii="Times New Roman" w:eastAsia="BatangChe"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500E4"/>
    <w:multiLevelType w:val="hybridMultilevel"/>
    <w:tmpl w:val="9970F5A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5B4CDB"/>
    <w:multiLevelType w:val="hybridMultilevel"/>
    <w:tmpl w:val="C54A4E80"/>
    <w:lvl w:ilvl="0" w:tplc="7B828A50">
      <w:start w:val="1"/>
      <w:numFmt w:val="decimal"/>
      <w:lvlText w:val="%1"/>
      <w:lvlJc w:val="left"/>
      <w:pPr>
        <w:ind w:left="1255" w:hanging="85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10"/>
  </w:num>
  <w:num w:numId="3">
    <w:abstractNumId w:val="8"/>
  </w:num>
  <w:num w:numId="4">
    <w:abstractNumId w:val="25"/>
  </w:num>
  <w:num w:numId="5">
    <w:abstractNumId w:val="13"/>
  </w:num>
  <w:num w:numId="6">
    <w:abstractNumId w:val="18"/>
  </w:num>
  <w:num w:numId="7">
    <w:abstractNumId w:val="6"/>
  </w:num>
  <w:num w:numId="8">
    <w:abstractNumId w:val="1"/>
  </w:num>
  <w:num w:numId="9">
    <w:abstractNumId w:val="27"/>
  </w:num>
  <w:num w:numId="10">
    <w:abstractNumId w:val="0"/>
  </w:num>
  <w:num w:numId="11">
    <w:abstractNumId w:val="26"/>
  </w:num>
  <w:num w:numId="12">
    <w:abstractNumId w:val="15"/>
  </w:num>
  <w:num w:numId="13">
    <w:abstractNumId w:val="20"/>
  </w:num>
  <w:num w:numId="14">
    <w:abstractNumId w:val="11"/>
  </w:num>
  <w:num w:numId="15">
    <w:abstractNumId w:val="3"/>
  </w:num>
  <w:num w:numId="16">
    <w:abstractNumId w:val="2"/>
  </w:num>
  <w:num w:numId="17">
    <w:abstractNumId w:val="4"/>
  </w:num>
  <w:num w:numId="18">
    <w:abstractNumId w:val="16"/>
  </w:num>
  <w:num w:numId="19">
    <w:abstractNumId w:val="21"/>
  </w:num>
  <w:num w:numId="20">
    <w:abstractNumId w:val="19"/>
  </w:num>
  <w:num w:numId="21">
    <w:abstractNumId w:val="9"/>
  </w:num>
  <w:num w:numId="22">
    <w:abstractNumId w:val="12"/>
  </w:num>
  <w:num w:numId="23">
    <w:abstractNumId w:val="23"/>
  </w:num>
  <w:num w:numId="24">
    <w:abstractNumId w:val="28"/>
  </w:num>
  <w:num w:numId="25">
    <w:abstractNumId w:val="14"/>
  </w:num>
  <w:num w:numId="26">
    <w:abstractNumId w:val="7"/>
  </w:num>
  <w:num w:numId="27">
    <w:abstractNumId w:val="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3C04"/>
    <w:rsid w:val="00015E6C"/>
    <w:rsid w:val="00024EBC"/>
    <w:rsid w:val="0003595B"/>
    <w:rsid w:val="00036385"/>
    <w:rsid w:val="00051E1E"/>
    <w:rsid w:val="00054C56"/>
    <w:rsid w:val="000618D1"/>
    <w:rsid w:val="00063DF8"/>
    <w:rsid w:val="000713CF"/>
    <w:rsid w:val="00075C14"/>
    <w:rsid w:val="00094B87"/>
    <w:rsid w:val="000964D0"/>
    <w:rsid w:val="00096A75"/>
    <w:rsid w:val="000A1F8C"/>
    <w:rsid w:val="000A5418"/>
    <w:rsid w:val="000A754D"/>
    <w:rsid w:val="000B1E8C"/>
    <w:rsid w:val="000B595C"/>
    <w:rsid w:val="000D5F68"/>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84212"/>
    <w:rsid w:val="001923E8"/>
    <w:rsid w:val="00196568"/>
    <w:rsid w:val="00197B92"/>
    <w:rsid w:val="001A2F16"/>
    <w:rsid w:val="001A34FF"/>
    <w:rsid w:val="001B09D6"/>
    <w:rsid w:val="001B18C2"/>
    <w:rsid w:val="001B58AB"/>
    <w:rsid w:val="001D55F8"/>
    <w:rsid w:val="001D5D7E"/>
    <w:rsid w:val="001E1432"/>
    <w:rsid w:val="001F5947"/>
    <w:rsid w:val="0021588B"/>
    <w:rsid w:val="002216AC"/>
    <w:rsid w:val="002219FD"/>
    <w:rsid w:val="0023010A"/>
    <w:rsid w:val="00230738"/>
    <w:rsid w:val="00234735"/>
    <w:rsid w:val="002358A4"/>
    <w:rsid w:val="00241BCF"/>
    <w:rsid w:val="00254A1B"/>
    <w:rsid w:val="0026736F"/>
    <w:rsid w:val="00275ED2"/>
    <w:rsid w:val="0028454D"/>
    <w:rsid w:val="00286912"/>
    <w:rsid w:val="00287A2A"/>
    <w:rsid w:val="00291C9E"/>
    <w:rsid w:val="002926D4"/>
    <w:rsid w:val="002C07DA"/>
    <w:rsid w:val="002C7EA9"/>
    <w:rsid w:val="002F2F9A"/>
    <w:rsid w:val="003131A3"/>
    <w:rsid w:val="00330389"/>
    <w:rsid w:val="00336A0D"/>
    <w:rsid w:val="00342F20"/>
    <w:rsid w:val="00343067"/>
    <w:rsid w:val="00350EC2"/>
    <w:rsid w:val="003527E9"/>
    <w:rsid w:val="003540E0"/>
    <w:rsid w:val="003548C2"/>
    <w:rsid w:val="0037421D"/>
    <w:rsid w:val="003809C7"/>
    <w:rsid w:val="003829E0"/>
    <w:rsid w:val="00390362"/>
    <w:rsid w:val="003A3AE3"/>
    <w:rsid w:val="003B03B2"/>
    <w:rsid w:val="003B6263"/>
    <w:rsid w:val="003B6428"/>
    <w:rsid w:val="003C64A7"/>
    <w:rsid w:val="003D10F2"/>
    <w:rsid w:val="003D25E1"/>
    <w:rsid w:val="003D3FDA"/>
    <w:rsid w:val="003F6D48"/>
    <w:rsid w:val="00403CE4"/>
    <w:rsid w:val="00420822"/>
    <w:rsid w:val="0042126E"/>
    <w:rsid w:val="00423771"/>
    <w:rsid w:val="004323BB"/>
    <w:rsid w:val="00432E35"/>
    <w:rsid w:val="00433925"/>
    <w:rsid w:val="004404C0"/>
    <w:rsid w:val="00440BEE"/>
    <w:rsid w:val="00444170"/>
    <w:rsid w:val="0045458F"/>
    <w:rsid w:val="00455FD4"/>
    <w:rsid w:val="004622F2"/>
    <w:rsid w:val="004633B4"/>
    <w:rsid w:val="00472633"/>
    <w:rsid w:val="004763CC"/>
    <w:rsid w:val="0048007A"/>
    <w:rsid w:val="00483317"/>
    <w:rsid w:val="004854EE"/>
    <w:rsid w:val="004A4DE4"/>
    <w:rsid w:val="004B3553"/>
    <w:rsid w:val="004C4AE2"/>
    <w:rsid w:val="004C6450"/>
    <w:rsid w:val="004F733C"/>
    <w:rsid w:val="005010F8"/>
    <w:rsid w:val="00515050"/>
    <w:rsid w:val="0051686D"/>
    <w:rsid w:val="005201CA"/>
    <w:rsid w:val="00521BF0"/>
    <w:rsid w:val="005263C8"/>
    <w:rsid w:val="00530E8C"/>
    <w:rsid w:val="005442A4"/>
    <w:rsid w:val="00545933"/>
    <w:rsid w:val="0054610B"/>
    <w:rsid w:val="005549C9"/>
    <w:rsid w:val="00557544"/>
    <w:rsid w:val="005606F6"/>
    <w:rsid w:val="005614DC"/>
    <w:rsid w:val="00570DA6"/>
    <w:rsid w:val="00575CDC"/>
    <w:rsid w:val="00577C0A"/>
    <w:rsid w:val="00582D88"/>
    <w:rsid w:val="00587875"/>
    <w:rsid w:val="005B1E77"/>
    <w:rsid w:val="005B244E"/>
    <w:rsid w:val="005C5EB6"/>
    <w:rsid w:val="005D3914"/>
    <w:rsid w:val="005D6B2F"/>
    <w:rsid w:val="005E3896"/>
    <w:rsid w:val="005E3F53"/>
    <w:rsid w:val="005E6C90"/>
    <w:rsid w:val="00607E2B"/>
    <w:rsid w:val="006139D6"/>
    <w:rsid w:val="00615999"/>
    <w:rsid w:val="00623CE1"/>
    <w:rsid w:val="0063062B"/>
    <w:rsid w:val="00636BAD"/>
    <w:rsid w:val="0066388B"/>
    <w:rsid w:val="00667229"/>
    <w:rsid w:val="00675C31"/>
    <w:rsid w:val="006769C2"/>
    <w:rsid w:val="00682BE5"/>
    <w:rsid w:val="006843DA"/>
    <w:rsid w:val="00687B38"/>
    <w:rsid w:val="00690FED"/>
    <w:rsid w:val="006939A5"/>
    <w:rsid w:val="006A15A4"/>
    <w:rsid w:val="006B327C"/>
    <w:rsid w:val="006B4793"/>
    <w:rsid w:val="006B6778"/>
    <w:rsid w:val="006C2D39"/>
    <w:rsid w:val="006D6F81"/>
    <w:rsid w:val="006E12FC"/>
    <w:rsid w:val="006F375E"/>
    <w:rsid w:val="006F556E"/>
    <w:rsid w:val="00705C2D"/>
    <w:rsid w:val="00705E61"/>
    <w:rsid w:val="00712451"/>
    <w:rsid w:val="00715E9E"/>
    <w:rsid w:val="00731041"/>
    <w:rsid w:val="00732F08"/>
    <w:rsid w:val="007350E2"/>
    <w:rsid w:val="0074190C"/>
    <w:rsid w:val="00762373"/>
    <w:rsid w:val="00762576"/>
    <w:rsid w:val="00791060"/>
    <w:rsid w:val="007A1BDE"/>
    <w:rsid w:val="007A3E29"/>
    <w:rsid w:val="007B3299"/>
    <w:rsid w:val="007B3D18"/>
    <w:rsid w:val="007B5626"/>
    <w:rsid w:val="007B5E37"/>
    <w:rsid w:val="007C7BC0"/>
    <w:rsid w:val="007D29E5"/>
    <w:rsid w:val="007E1FDD"/>
    <w:rsid w:val="007E7497"/>
    <w:rsid w:val="007F08FF"/>
    <w:rsid w:val="007F1651"/>
    <w:rsid w:val="00803C99"/>
    <w:rsid w:val="0080570B"/>
    <w:rsid w:val="008131FE"/>
    <w:rsid w:val="008148E1"/>
    <w:rsid w:val="00816F4E"/>
    <w:rsid w:val="0082373B"/>
    <w:rsid w:val="00831716"/>
    <w:rsid w:val="008319BF"/>
    <w:rsid w:val="00831A47"/>
    <w:rsid w:val="008337EA"/>
    <w:rsid w:val="00850E1C"/>
    <w:rsid w:val="008624ED"/>
    <w:rsid w:val="00870944"/>
    <w:rsid w:val="008950FB"/>
    <w:rsid w:val="00897849"/>
    <w:rsid w:val="008A423E"/>
    <w:rsid w:val="008A73CD"/>
    <w:rsid w:val="008D084B"/>
    <w:rsid w:val="008D0E09"/>
    <w:rsid w:val="008E026D"/>
    <w:rsid w:val="008E3821"/>
    <w:rsid w:val="008F2153"/>
    <w:rsid w:val="008F2D1E"/>
    <w:rsid w:val="008F301D"/>
    <w:rsid w:val="009306C7"/>
    <w:rsid w:val="00937907"/>
    <w:rsid w:val="00953737"/>
    <w:rsid w:val="00957294"/>
    <w:rsid w:val="00962443"/>
    <w:rsid w:val="00972289"/>
    <w:rsid w:val="0097693B"/>
    <w:rsid w:val="00993355"/>
    <w:rsid w:val="009A46BF"/>
    <w:rsid w:val="009A4A6D"/>
    <w:rsid w:val="009A514E"/>
    <w:rsid w:val="009B74AC"/>
    <w:rsid w:val="009C0B35"/>
    <w:rsid w:val="009C361C"/>
    <w:rsid w:val="009C4C70"/>
    <w:rsid w:val="009D1C26"/>
    <w:rsid w:val="00A0503B"/>
    <w:rsid w:val="00A13265"/>
    <w:rsid w:val="00A20980"/>
    <w:rsid w:val="00A31185"/>
    <w:rsid w:val="00A45765"/>
    <w:rsid w:val="00A61885"/>
    <w:rsid w:val="00A71136"/>
    <w:rsid w:val="00A83EA4"/>
    <w:rsid w:val="00AA0932"/>
    <w:rsid w:val="00AA12B1"/>
    <w:rsid w:val="00AA2D8E"/>
    <w:rsid w:val="00AA474C"/>
    <w:rsid w:val="00AB0EAD"/>
    <w:rsid w:val="00AB2572"/>
    <w:rsid w:val="00AB3891"/>
    <w:rsid w:val="00AC19BB"/>
    <w:rsid w:val="00AD7E5F"/>
    <w:rsid w:val="00AF6E67"/>
    <w:rsid w:val="00B01AA1"/>
    <w:rsid w:val="00B11EAF"/>
    <w:rsid w:val="00B24089"/>
    <w:rsid w:val="00B30C81"/>
    <w:rsid w:val="00B34275"/>
    <w:rsid w:val="00B3474C"/>
    <w:rsid w:val="00B4457D"/>
    <w:rsid w:val="00B4793B"/>
    <w:rsid w:val="00B54758"/>
    <w:rsid w:val="00B66740"/>
    <w:rsid w:val="00B676EF"/>
    <w:rsid w:val="00B737C0"/>
    <w:rsid w:val="00B97AC9"/>
    <w:rsid w:val="00BB7E96"/>
    <w:rsid w:val="00BC7506"/>
    <w:rsid w:val="00BE04B7"/>
    <w:rsid w:val="00C15633"/>
    <w:rsid w:val="00C15799"/>
    <w:rsid w:val="00C20F4D"/>
    <w:rsid w:val="00C256E8"/>
    <w:rsid w:val="00C26745"/>
    <w:rsid w:val="00C31C99"/>
    <w:rsid w:val="00C34832"/>
    <w:rsid w:val="00C357AD"/>
    <w:rsid w:val="00C3644A"/>
    <w:rsid w:val="00C44438"/>
    <w:rsid w:val="00C44C33"/>
    <w:rsid w:val="00C6069C"/>
    <w:rsid w:val="00C73F61"/>
    <w:rsid w:val="00C75805"/>
    <w:rsid w:val="00C85119"/>
    <w:rsid w:val="00CA2E77"/>
    <w:rsid w:val="00CC56C6"/>
    <w:rsid w:val="00CD2045"/>
    <w:rsid w:val="00CD5431"/>
    <w:rsid w:val="00CE6DD9"/>
    <w:rsid w:val="00CF2491"/>
    <w:rsid w:val="00CF2CBA"/>
    <w:rsid w:val="00CF3030"/>
    <w:rsid w:val="00CF489D"/>
    <w:rsid w:val="00CF5DDC"/>
    <w:rsid w:val="00D06742"/>
    <w:rsid w:val="00D1252E"/>
    <w:rsid w:val="00D12CE1"/>
    <w:rsid w:val="00D2444D"/>
    <w:rsid w:val="00D31452"/>
    <w:rsid w:val="00D464F3"/>
    <w:rsid w:val="00D500B1"/>
    <w:rsid w:val="00D52D35"/>
    <w:rsid w:val="00D5307B"/>
    <w:rsid w:val="00D57772"/>
    <w:rsid w:val="00D610A3"/>
    <w:rsid w:val="00D651AB"/>
    <w:rsid w:val="00D72AE3"/>
    <w:rsid w:val="00D75A4D"/>
    <w:rsid w:val="00D82880"/>
    <w:rsid w:val="00D8478B"/>
    <w:rsid w:val="00D84CEE"/>
    <w:rsid w:val="00D86151"/>
    <w:rsid w:val="00D90338"/>
    <w:rsid w:val="00D91215"/>
    <w:rsid w:val="00DA2914"/>
    <w:rsid w:val="00DA3CC4"/>
    <w:rsid w:val="00DA7595"/>
    <w:rsid w:val="00DB0A68"/>
    <w:rsid w:val="00DB13B0"/>
    <w:rsid w:val="00DB25FB"/>
    <w:rsid w:val="00DB28C8"/>
    <w:rsid w:val="00DB4A1C"/>
    <w:rsid w:val="00DB50DF"/>
    <w:rsid w:val="00DC2588"/>
    <w:rsid w:val="00DC43A3"/>
    <w:rsid w:val="00DD7C09"/>
    <w:rsid w:val="00DE54CF"/>
    <w:rsid w:val="00DF5F91"/>
    <w:rsid w:val="00DF791C"/>
    <w:rsid w:val="00E0124F"/>
    <w:rsid w:val="00E02E0D"/>
    <w:rsid w:val="00E06286"/>
    <w:rsid w:val="00E17376"/>
    <w:rsid w:val="00E23D98"/>
    <w:rsid w:val="00E403B9"/>
    <w:rsid w:val="00E41BE2"/>
    <w:rsid w:val="00E5341E"/>
    <w:rsid w:val="00E545D9"/>
    <w:rsid w:val="00E65FC2"/>
    <w:rsid w:val="00E66841"/>
    <w:rsid w:val="00E674D3"/>
    <w:rsid w:val="00E70FD0"/>
    <w:rsid w:val="00E80263"/>
    <w:rsid w:val="00EA0BBD"/>
    <w:rsid w:val="00EA6BCE"/>
    <w:rsid w:val="00EA7027"/>
    <w:rsid w:val="00EB2081"/>
    <w:rsid w:val="00EB796D"/>
    <w:rsid w:val="00EC249E"/>
    <w:rsid w:val="00EE3496"/>
    <w:rsid w:val="00EF2406"/>
    <w:rsid w:val="00F00257"/>
    <w:rsid w:val="00F210EB"/>
    <w:rsid w:val="00F23205"/>
    <w:rsid w:val="00F27A79"/>
    <w:rsid w:val="00F346AC"/>
    <w:rsid w:val="00F462F5"/>
    <w:rsid w:val="00F5332C"/>
    <w:rsid w:val="00F55E0A"/>
    <w:rsid w:val="00F626B7"/>
    <w:rsid w:val="00F650EB"/>
    <w:rsid w:val="00F76AA4"/>
    <w:rsid w:val="00F84067"/>
    <w:rsid w:val="00F871F5"/>
    <w:rsid w:val="00F875A6"/>
    <w:rsid w:val="00FB0E95"/>
    <w:rsid w:val="00FB573C"/>
    <w:rsid w:val="00FB5BC5"/>
    <w:rsid w:val="00FC156A"/>
    <w:rsid w:val="00FC5058"/>
    <w:rsid w:val="00FC7A38"/>
    <w:rsid w:val="00FD1FF7"/>
    <w:rsid w:val="00FE0853"/>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TabletextChar">
    <w:name w:val="Table_text Char"/>
    <w:basedOn w:val="DefaultParagraphFont"/>
    <w:link w:val="Tabletext"/>
    <w:locked/>
    <w:rsid w:val="00B4457D"/>
    <w:rPr>
      <w:szCs w:val="22"/>
      <w:lang w:eastAsia="nl-NL"/>
    </w:rPr>
  </w:style>
  <w:style w:type="paragraph" w:customStyle="1" w:styleId="Tabletext">
    <w:name w:val="Table_text"/>
    <w:basedOn w:val="Normal"/>
    <w:link w:val="TabletextChar"/>
    <w:rsid w:val="00B445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2"/>
      <w:lang w:eastAsia="nl-NL"/>
    </w:rPr>
  </w:style>
  <w:style w:type="character" w:customStyle="1" w:styleId="CallChar">
    <w:name w:val="Call Char"/>
    <w:basedOn w:val="DefaultParagraphFont"/>
    <w:link w:val="Call"/>
    <w:locked/>
    <w:rsid w:val="00B4457D"/>
    <w:rPr>
      <w:i/>
      <w:sz w:val="24"/>
      <w:szCs w:val="22"/>
    </w:rPr>
  </w:style>
  <w:style w:type="paragraph" w:customStyle="1" w:styleId="Call">
    <w:name w:val="Call"/>
    <w:basedOn w:val="Normal"/>
    <w:next w:val="Normal"/>
    <w:link w:val="CallChar"/>
    <w:rsid w:val="00B4457D"/>
    <w:pPr>
      <w:keepNext/>
      <w:keepLines/>
      <w:tabs>
        <w:tab w:val="left" w:pos="794"/>
        <w:tab w:val="left" w:pos="1191"/>
        <w:tab w:val="left" w:pos="1588"/>
        <w:tab w:val="left" w:pos="1985"/>
      </w:tabs>
      <w:overflowPunct w:val="0"/>
      <w:autoSpaceDE w:val="0"/>
      <w:autoSpaceDN w:val="0"/>
      <w:adjustRightInd w:val="0"/>
      <w:spacing w:before="240" w:line="280" w:lineRule="exact"/>
      <w:ind w:left="794"/>
    </w:pPr>
    <w:rPr>
      <w:rFonts w:eastAsia="Batang"/>
      <w:i/>
      <w:szCs w:val="22"/>
    </w:rPr>
  </w:style>
  <w:style w:type="character" w:styleId="Emphasis">
    <w:name w:val="Emphasis"/>
    <w:basedOn w:val="DefaultParagraphFont"/>
    <w:uiPriority w:val="20"/>
    <w:qFormat/>
    <w:rsid w:val="00EA6BCE"/>
    <w:rPr>
      <w:i/>
      <w:iCs/>
    </w:rPr>
  </w:style>
  <w:style w:type="paragraph" w:customStyle="1" w:styleId="ECCTabletext">
    <w:name w:val="ECC Table text"/>
    <w:basedOn w:val="Normal"/>
    <w:qFormat/>
    <w:rsid w:val="00096A75"/>
    <w:pPr>
      <w:spacing w:before="60" w:after="60"/>
      <w:jc w:val="both"/>
    </w:pPr>
    <w:rPr>
      <w:rFonts w:ascii="Arial" w:eastAsia="Calibri" w:hAnsi="Arial"/>
      <w:sz w:val="20"/>
      <w:szCs w:val="22"/>
      <w:lang w:val="en-GB"/>
    </w:rPr>
  </w:style>
  <w:style w:type="character" w:customStyle="1" w:styleId="Artref">
    <w:name w:val="Art_ref"/>
    <w:basedOn w:val="DefaultParagraphFont"/>
    <w:rsid w:val="00AA12B1"/>
  </w:style>
  <w:style w:type="character" w:customStyle="1" w:styleId="Tablefreq">
    <w:name w:val="Table_freq"/>
    <w:basedOn w:val="DefaultParagraphFont"/>
    <w:rsid w:val="00AA12B1"/>
    <w:rPr>
      <w:b/>
      <w:color w:val="auto"/>
      <w:sz w:val="20"/>
    </w:rPr>
  </w:style>
  <w:style w:type="paragraph" w:customStyle="1" w:styleId="Tablehead">
    <w:name w:val="Table_head"/>
    <w:basedOn w:val="Normal"/>
    <w:link w:val="TableheadChar"/>
    <w:rsid w:val="00AA12B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Batang" w:hAnsi="Times New Roman Bold" w:cs="Times New Roman Bold"/>
      <w:b/>
      <w:sz w:val="20"/>
      <w:szCs w:val="20"/>
      <w:lang w:val="en-GB"/>
    </w:rPr>
  </w:style>
  <w:style w:type="character" w:customStyle="1" w:styleId="TableheadChar">
    <w:name w:val="Table_head Char"/>
    <w:basedOn w:val="DefaultParagraphFont"/>
    <w:link w:val="Tablehead"/>
    <w:locked/>
    <w:rsid w:val="00AA12B1"/>
    <w:rPr>
      <w:rFonts w:ascii="Times New Roman Bold" w:hAnsi="Times New Roman Bold" w:cs="Times New Roman Bold"/>
      <w:b/>
      <w:lang w:val="en-GB"/>
    </w:rPr>
  </w:style>
  <w:style w:type="paragraph" w:customStyle="1" w:styleId="TableTextS5">
    <w:name w:val="Table_TextS5"/>
    <w:basedOn w:val="Normal"/>
    <w:rsid w:val="00AA12B1"/>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rPr>
      <w:rFonts w:eastAsia="Batang"/>
      <w:sz w:val="20"/>
      <w:szCs w:val="20"/>
      <w:lang w:val="en-GB"/>
    </w:rPr>
  </w:style>
  <w:style w:type="character" w:customStyle="1" w:styleId="Artdef">
    <w:name w:val="Art_def"/>
    <w:basedOn w:val="DefaultParagraphFont"/>
    <w:rsid w:val="009A514E"/>
    <w:rPr>
      <w:rFonts w:ascii="Times New Roman" w:hAnsi="Times New Roman"/>
      <w:b/>
    </w:rPr>
  </w:style>
  <w:style w:type="character" w:customStyle="1" w:styleId="NoteChar">
    <w:name w:val="Note Char"/>
    <w:basedOn w:val="DefaultParagraphFont"/>
    <w:link w:val="Note"/>
    <w:locked/>
    <w:rsid w:val="009A514E"/>
    <w:rPr>
      <w:rFonts w:eastAsia="BatangChe"/>
      <w:noProof/>
      <w:lang w:eastAsia="ko-KR"/>
    </w:rPr>
  </w:style>
  <w:style w:type="character" w:customStyle="1" w:styleId="ArtrefBold">
    <w:name w:val="Art_ref + Bold"/>
    <w:basedOn w:val="Artref"/>
    <w:rsid w:val="009A514E"/>
    <w:rPr>
      <w:b/>
      <w:bCs/>
      <w:color w:val="auto"/>
    </w:rPr>
  </w:style>
  <w:style w:type="character" w:styleId="FollowedHyperlink">
    <w:name w:val="FollowedHyperlink"/>
    <w:basedOn w:val="DefaultParagraphFont"/>
    <w:semiHidden/>
    <w:unhideWhenUsed/>
    <w:rsid w:val="00A83EA4"/>
    <w:rPr>
      <w:color w:val="800080" w:themeColor="followedHyperlink"/>
      <w:u w:val="single"/>
    </w:rPr>
  </w:style>
  <w:style w:type="paragraph" w:customStyle="1" w:styleId="Reftext">
    <w:name w:val="Ref_text"/>
    <w:basedOn w:val="Normal"/>
    <w:rsid w:val="006D6F81"/>
    <w:pPr>
      <w:tabs>
        <w:tab w:val="left" w:pos="1134"/>
        <w:tab w:val="left" w:pos="1871"/>
        <w:tab w:val="left" w:pos="2268"/>
      </w:tabs>
      <w:overflowPunct w:val="0"/>
      <w:autoSpaceDE w:val="0"/>
      <w:autoSpaceDN w:val="0"/>
      <w:adjustRightInd w:val="0"/>
      <w:spacing w:before="120"/>
      <w:ind w:left="1134" w:hanging="1134"/>
      <w:textAlignment w:val="baseline"/>
    </w:pPr>
    <w:rPr>
      <w:rFonts w:eastAsia="Batang"/>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50025">
      <w:bodyDiv w:val="1"/>
      <w:marLeft w:val="0"/>
      <w:marRight w:val="0"/>
      <w:marTop w:val="0"/>
      <w:marBottom w:val="0"/>
      <w:divBdr>
        <w:top w:val="none" w:sz="0" w:space="0" w:color="auto"/>
        <w:left w:val="none" w:sz="0" w:space="0" w:color="auto"/>
        <w:bottom w:val="none" w:sz="0" w:space="0" w:color="auto"/>
        <w:right w:val="none" w:sz="0" w:space="0" w:color="auto"/>
      </w:divBdr>
    </w:div>
    <w:div w:id="1444419790">
      <w:bodyDiv w:val="1"/>
      <w:marLeft w:val="0"/>
      <w:marRight w:val="0"/>
      <w:marTop w:val="0"/>
      <w:marBottom w:val="0"/>
      <w:divBdr>
        <w:top w:val="none" w:sz="0" w:space="0" w:color="auto"/>
        <w:left w:val="none" w:sz="0" w:space="0" w:color="auto"/>
        <w:bottom w:val="none" w:sz="0" w:space="0" w:color="auto"/>
        <w:right w:val="none" w:sz="0" w:space="0" w:color="auto"/>
      </w:divBdr>
    </w:div>
    <w:div w:id="1492676861">
      <w:bodyDiv w:val="1"/>
      <w:marLeft w:val="0"/>
      <w:marRight w:val="0"/>
      <w:marTop w:val="0"/>
      <w:marBottom w:val="0"/>
      <w:divBdr>
        <w:top w:val="none" w:sz="0" w:space="0" w:color="auto"/>
        <w:left w:val="none" w:sz="0" w:space="0" w:color="auto"/>
        <w:bottom w:val="none" w:sz="0" w:space="0" w:color="auto"/>
        <w:right w:val="none" w:sz="0" w:space="0" w:color="auto"/>
      </w:divBdr>
    </w:div>
    <w:div w:id="1798908108">
      <w:bodyDiv w:val="1"/>
      <w:marLeft w:val="0"/>
      <w:marRight w:val="0"/>
      <w:marTop w:val="0"/>
      <w:marBottom w:val="0"/>
      <w:divBdr>
        <w:top w:val="none" w:sz="0" w:space="0" w:color="auto"/>
        <w:left w:val="none" w:sz="0" w:space="0" w:color="auto"/>
        <w:bottom w:val="none" w:sz="0" w:space="0" w:color="auto"/>
        <w:right w:val="none" w:sz="0" w:space="0" w:color="auto"/>
      </w:divBdr>
    </w:div>
    <w:div w:id="1995527821">
      <w:bodyDiv w:val="1"/>
      <w:marLeft w:val="0"/>
      <w:marRight w:val="0"/>
      <w:marTop w:val="0"/>
      <w:marBottom w:val="0"/>
      <w:divBdr>
        <w:top w:val="none" w:sz="0" w:space="0" w:color="auto"/>
        <w:left w:val="none" w:sz="0" w:space="0" w:color="auto"/>
        <w:bottom w:val="none" w:sz="0" w:space="0" w:color="auto"/>
        <w:right w:val="none" w:sz="0" w:space="0" w:color="auto"/>
      </w:divBdr>
      <w:divsChild>
        <w:div w:id="851647563">
          <w:marLeft w:val="0"/>
          <w:marRight w:val="0"/>
          <w:marTop w:val="0"/>
          <w:marBottom w:val="0"/>
          <w:divBdr>
            <w:top w:val="none" w:sz="0" w:space="0" w:color="auto"/>
            <w:left w:val="none" w:sz="0" w:space="0" w:color="auto"/>
            <w:bottom w:val="none" w:sz="0" w:space="0" w:color="auto"/>
            <w:right w:val="none" w:sz="0" w:space="0" w:color="auto"/>
          </w:divBdr>
          <w:divsChild>
            <w:div w:id="1539976246">
              <w:marLeft w:val="0"/>
              <w:marRight w:val="0"/>
              <w:marTop w:val="0"/>
              <w:marBottom w:val="0"/>
              <w:divBdr>
                <w:top w:val="none" w:sz="0" w:space="0" w:color="auto"/>
                <w:left w:val="none" w:sz="0" w:space="0" w:color="auto"/>
                <w:bottom w:val="none" w:sz="0" w:space="0" w:color="auto"/>
                <w:right w:val="none" w:sz="0" w:space="0" w:color="auto"/>
              </w:divBdr>
              <w:divsChild>
                <w:div w:id="2100170645">
                  <w:marLeft w:val="0"/>
                  <w:marRight w:val="0"/>
                  <w:marTop w:val="0"/>
                  <w:marBottom w:val="0"/>
                  <w:divBdr>
                    <w:top w:val="none" w:sz="0" w:space="0" w:color="auto"/>
                    <w:left w:val="none" w:sz="0" w:space="0" w:color="auto"/>
                    <w:bottom w:val="none" w:sz="0" w:space="0" w:color="auto"/>
                    <w:right w:val="none" w:sz="0" w:space="0" w:color="auto"/>
                  </w:divBdr>
                  <w:divsChild>
                    <w:div w:id="1991714208">
                      <w:marLeft w:val="0"/>
                      <w:marRight w:val="0"/>
                      <w:marTop w:val="0"/>
                      <w:marBottom w:val="0"/>
                      <w:divBdr>
                        <w:top w:val="none" w:sz="0" w:space="0" w:color="auto"/>
                        <w:left w:val="none" w:sz="0" w:space="0" w:color="auto"/>
                        <w:bottom w:val="none" w:sz="0" w:space="0" w:color="auto"/>
                        <w:right w:val="none" w:sz="0" w:space="0" w:color="auto"/>
                      </w:divBdr>
                      <w:divsChild>
                        <w:div w:id="45758291">
                          <w:marLeft w:val="0"/>
                          <w:marRight w:val="0"/>
                          <w:marTop w:val="0"/>
                          <w:marBottom w:val="0"/>
                          <w:divBdr>
                            <w:top w:val="none" w:sz="0" w:space="0" w:color="auto"/>
                            <w:left w:val="none" w:sz="0" w:space="0" w:color="auto"/>
                            <w:bottom w:val="none" w:sz="0" w:space="0" w:color="auto"/>
                            <w:right w:val="none" w:sz="0" w:space="0" w:color="auto"/>
                          </w:divBdr>
                          <w:divsChild>
                            <w:div w:id="7328940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s.gov/systems/gps/space/" TargetMode="External"/><Relationship Id="rId18" Type="http://schemas.openxmlformats.org/officeDocument/2006/relationships/hyperlink" Target="https://en.wikipedia.org/wiki/Indian_Regional_Navigation_Satellite_System" TargetMode="External"/><Relationship Id="rId26" Type="http://schemas.openxmlformats.org/officeDocument/2006/relationships/hyperlink" Target="http://iaru-r1.org/index.php/spectrum-and-band-plans/uhf/23-centimeter" TargetMode="External"/><Relationship Id="rId39" Type="http://schemas.openxmlformats.org/officeDocument/2006/relationships/hyperlink" Target="https://www.itu.int/md/R00-CA-CIR-0251/en" TargetMode="External"/><Relationship Id="rId3" Type="http://schemas.openxmlformats.org/officeDocument/2006/relationships/styles" Target="styles.xml"/><Relationship Id="rId21" Type="http://schemas.openxmlformats.org/officeDocument/2006/relationships/hyperlink" Target="https://www.itu.int/rec/R-REC-M.2030/en" TargetMode="External"/><Relationship Id="rId34" Type="http://schemas.openxmlformats.org/officeDocument/2006/relationships/hyperlink" Target="http://www.itu.int/md/dologin_md.asp?lang=en&amp;id=R19-WP5A-C-0221!N07!MSW-E" TargetMode="External"/><Relationship Id="rId42" Type="http://schemas.openxmlformats.org/officeDocument/2006/relationships/hyperlink" Target="https://www.itu.int/md/R19-WP4C-C-0119/en" TargetMode="External"/><Relationship Id="rId47" Type="http://schemas.openxmlformats.org/officeDocument/2006/relationships/hyperlink" Target="https://www.itu.int/md/R19-WP4C-C-0109/e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qzss.go.jp/en/" TargetMode="External"/><Relationship Id="rId25" Type="http://schemas.openxmlformats.org/officeDocument/2006/relationships/hyperlink" Target="https://www.itu.int/pub/R-HDB-52" TargetMode="External"/><Relationship Id="rId33" Type="http://schemas.openxmlformats.org/officeDocument/2006/relationships/hyperlink" Target="https://www.itu.int/rec/R-REC-P.1546/en" TargetMode="External"/><Relationship Id="rId38" Type="http://schemas.openxmlformats.org/officeDocument/2006/relationships/hyperlink" Target="https://www.itu.int/md/R19-WP5A-C-0221/en" TargetMode="External"/><Relationship Id="rId46" Type="http://schemas.openxmlformats.org/officeDocument/2006/relationships/hyperlink" Target="https://www.itu.int/md/R19-WP4C-C-0148/en" TargetMode="External"/><Relationship Id="rId2" Type="http://schemas.openxmlformats.org/officeDocument/2006/relationships/numbering" Target="numbering.xml"/><Relationship Id="rId16" Type="http://schemas.openxmlformats.org/officeDocument/2006/relationships/hyperlink" Target="http://en.beidou.gov.cn/" TargetMode="External"/><Relationship Id="rId20" Type="http://schemas.openxmlformats.org/officeDocument/2006/relationships/hyperlink" Target="https://www.itu.int/rec/R-REC-M.1787/en" TargetMode="External"/><Relationship Id="rId29" Type="http://schemas.openxmlformats.org/officeDocument/2006/relationships/hyperlink" Target="https://www.itu.int/rec/R-REC-M.2305/en" TargetMode="External"/><Relationship Id="rId41" Type="http://schemas.openxmlformats.org/officeDocument/2006/relationships/hyperlink" Target="https://www.itu.int/dms_ties/itu-r/md/19/wp4c/c/R19-WP4C-C-0109!N14!MSW-E.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sc.esa.int/navipedia/index.php/File:GNSS_All_Signals.png" TargetMode="External"/><Relationship Id="rId24" Type="http://schemas.openxmlformats.org/officeDocument/2006/relationships/hyperlink" Target="https://www.itu.int/pub/R-QUE-SG05.48" TargetMode="External"/><Relationship Id="rId32" Type="http://schemas.openxmlformats.org/officeDocument/2006/relationships/hyperlink" Target="https://www.itu.int/rec/R-REC-M.2220/en" TargetMode="External"/><Relationship Id="rId37" Type="http://schemas.openxmlformats.org/officeDocument/2006/relationships/hyperlink" Target="http://www.itu.int/oth/R0A06000067" TargetMode="External"/><Relationship Id="rId40" Type="http://schemas.openxmlformats.org/officeDocument/2006/relationships/hyperlink" Target="https://www.itu.int/md/R19-WP5A-C-0221/en" TargetMode="External"/><Relationship Id="rId45" Type="http://schemas.openxmlformats.org/officeDocument/2006/relationships/hyperlink" Target="https://www.itu.int/md/R19-WP4C-C-0147/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growth/sectors/space/galileo/launches_en" TargetMode="External"/><Relationship Id="rId23" Type="http://schemas.openxmlformats.org/officeDocument/2006/relationships/hyperlink" Target="https://www.itu.int/pub/R-QUE-SG04.288" TargetMode="External"/><Relationship Id="rId28" Type="http://schemas.openxmlformats.org/officeDocument/2006/relationships/hyperlink" Target="https://www.itu.int/rec/R-REC-RS.2311/en" TargetMode="External"/><Relationship Id="rId36" Type="http://schemas.openxmlformats.org/officeDocument/2006/relationships/hyperlink" Target="http://www.itu.int/md/R19-WP5A-C-0221/en"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itu.int/rec/R-REC-M.1732/en" TargetMode="External"/><Relationship Id="rId31" Type="http://schemas.openxmlformats.org/officeDocument/2006/relationships/hyperlink" Target="https://www.itu.int/rec/R-REC-M.1902/en" TargetMode="External"/><Relationship Id="rId44" Type="http://schemas.openxmlformats.org/officeDocument/2006/relationships/hyperlink" Target="https://www.itu.int/md/R19-WP4C-C-0140/e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ssc.esa.int/navipedia/index.php/File:GNSS_navigational_frequency_bands.png" TargetMode="External"/><Relationship Id="rId14" Type="http://schemas.openxmlformats.org/officeDocument/2006/relationships/hyperlink" Target="https://www.glonass-iac.ru/en/GLONASS/" TargetMode="External"/><Relationship Id="rId22" Type="http://schemas.openxmlformats.org/officeDocument/2006/relationships/hyperlink" Target="https://www.itu.int/rec/R-REC-M.2458/en" TargetMode="External"/><Relationship Id="rId27" Type="http://schemas.openxmlformats.org/officeDocument/2006/relationships/hyperlink" Target="file:///D:\Users\louvetb\Documents\CEPT-ITU%20meetings\4C\2020%2010%20e-meeting\Official%20report\5" TargetMode="External"/><Relationship Id="rId30" Type="http://schemas.openxmlformats.org/officeDocument/2006/relationships/hyperlink" Target="https://www.itu.int/rec/R-REC-M.2248/en" TargetMode="External"/><Relationship Id="rId35" Type="http://schemas.openxmlformats.org/officeDocument/2006/relationships/hyperlink" Target="http://www.itu.int/md/dologin_md.asp?lang=en&amp;id=R19-WP5A-C-0221!N10!MSW-E" TargetMode="External"/><Relationship Id="rId43" Type="http://schemas.openxmlformats.org/officeDocument/2006/relationships/hyperlink" Target="https://www.itu.int/md/R19-WP4C-C-0120/en" TargetMode="External"/><Relationship Id="rId48" Type="http://schemas.openxmlformats.org/officeDocument/2006/relationships/hyperlink" Target="https://www.itu.int/en/ITU-R/study-groups/rcpm/Pages/wrc-23-studies.aspx" TargetMode="External"/><Relationship Id="rId8" Type="http://schemas.openxmlformats.org/officeDocument/2006/relationships/image" Target="media/image1.jpeg"/><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6D6F-A0F3-4869-95F8-73D9F2AA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TotalTime>
  <Pages>9</Pages>
  <Words>3411</Words>
  <Characters>19447</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cp:revision>
  <cp:lastPrinted>2021-03-17T08:04:00Z</cp:lastPrinted>
  <dcterms:created xsi:type="dcterms:W3CDTF">2021-04-01T05:47:00Z</dcterms:created>
  <dcterms:modified xsi:type="dcterms:W3CDTF">2021-04-06T12:57:00Z</dcterms:modified>
</cp:coreProperties>
</file>