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B1E95" w:rsidRPr="00891D0B" w14:paraId="59141EEC" w14:textId="77777777" w:rsidTr="00BA1BA2">
        <w:trPr>
          <w:cantSplit/>
          <w:trHeight w:val="288"/>
        </w:trPr>
        <w:tc>
          <w:tcPr>
            <w:tcW w:w="1399" w:type="dxa"/>
            <w:vMerge w:val="restart"/>
          </w:tcPr>
          <w:p w14:paraId="7341E29D" w14:textId="77777777" w:rsidR="005B1E95" w:rsidRPr="00891D0B" w:rsidRDefault="005B1E95" w:rsidP="00BA1BA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4FBB7448" wp14:editId="6568D87A">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19FA3C9" w14:textId="77777777" w:rsidR="005B1E95" w:rsidRPr="00891D0B" w:rsidRDefault="005B1E95" w:rsidP="00BA1BA2">
            <w:pPr>
              <w:spacing w:before="40"/>
              <w:rPr>
                <w:sz w:val="22"/>
                <w:szCs w:val="22"/>
              </w:rPr>
            </w:pPr>
            <w:r w:rsidRPr="00891D0B">
              <w:rPr>
                <w:sz w:val="22"/>
                <w:szCs w:val="22"/>
              </w:rPr>
              <w:t>ASIA-PACIFIC TELECOMMUNITY</w:t>
            </w:r>
          </w:p>
        </w:tc>
        <w:tc>
          <w:tcPr>
            <w:tcW w:w="2160" w:type="dxa"/>
          </w:tcPr>
          <w:p w14:paraId="245B2E83" w14:textId="77777777" w:rsidR="005B1E95" w:rsidRPr="00891D0B" w:rsidRDefault="005B1E95" w:rsidP="00BA1BA2">
            <w:pPr>
              <w:pStyle w:val="Heading8"/>
              <w:spacing w:before="40"/>
              <w:rPr>
                <w:sz w:val="24"/>
                <w:szCs w:val="24"/>
              </w:rPr>
            </w:pPr>
            <w:r>
              <w:rPr>
                <w:sz w:val="24"/>
                <w:szCs w:val="24"/>
              </w:rPr>
              <w:t>Document No:</w:t>
            </w:r>
          </w:p>
        </w:tc>
      </w:tr>
      <w:tr w:rsidR="005B1E95" w:rsidRPr="007E1FDD" w14:paraId="3200C5BB" w14:textId="77777777" w:rsidTr="00BA1BA2">
        <w:trPr>
          <w:cantSplit/>
          <w:trHeight w:val="504"/>
        </w:trPr>
        <w:tc>
          <w:tcPr>
            <w:tcW w:w="1399" w:type="dxa"/>
            <w:vMerge/>
          </w:tcPr>
          <w:p w14:paraId="73F31A93" w14:textId="77777777" w:rsidR="005B1E95" w:rsidRPr="00891D0B" w:rsidRDefault="005B1E95" w:rsidP="00BA1BA2"/>
        </w:tc>
        <w:tc>
          <w:tcPr>
            <w:tcW w:w="5760" w:type="dxa"/>
            <w:vAlign w:val="center"/>
          </w:tcPr>
          <w:p w14:paraId="504F673F" w14:textId="77777777" w:rsidR="005B1E95" w:rsidRPr="00891D0B" w:rsidRDefault="005B1E95" w:rsidP="00BA1BA2">
            <w:pPr>
              <w:spacing w:before="40"/>
            </w:pPr>
            <w:r>
              <w:rPr>
                <w:b/>
              </w:rPr>
              <w:t>The 2nd Meeting of the APT Conference Preparatory Group for WRC-23 (APG23-2)</w:t>
            </w:r>
          </w:p>
        </w:tc>
        <w:tc>
          <w:tcPr>
            <w:tcW w:w="2160" w:type="dxa"/>
          </w:tcPr>
          <w:p w14:paraId="1138C0D1" w14:textId="7E8822F3" w:rsidR="005B1E95" w:rsidRDefault="005B1E95" w:rsidP="00BA1BA2">
            <w:pPr>
              <w:spacing w:before="40"/>
              <w:rPr>
                <w:rFonts w:cstheme="minorBidi"/>
                <w:b/>
                <w:bCs/>
                <w:szCs w:val="30"/>
                <w:lang w:bidi="th-TH"/>
              </w:rPr>
            </w:pPr>
            <w:r>
              <w:rPr>
                <w:b/>
                <w:bCs/>
                <w:lang w:val="fr-FR"/>
              </w:rPr>
              <w:t>APG23-2/INF-</w:t>
            </w:r>
            <w:r>
              <w:rPr>
                <w:rFonts w:cstheme="minorBidi"/>
                <w:b/>
                <w:bCs/>
                <w:szCs w:val="30"/>
                <w:lang w:bidi="th-TH"/>
              </w:rPr>
              <w:t>31</w:t>
            </w:r>
          </w:p>
          <w:p w14:paraId="4949DF1A" w14:textId="19114604" w:rsidR="005B1E95" w:rsidRPr="007E1FDD" w:rsidRDefault="00DB4C0F" w:rsidP="00DB4C0F">
            <w:pPr>
              <w:spacing w:before="40"/>
              <w:rPr>
                <w:b/>
                <w:bCs/>
                <w:lang w:val="en-GB"/>
              </w:rPr>
            </w:pPr>
            <w:r>
              <w:rPr>
                <w:rFonts w:cstheme="minorBidi"/>
                <w:b/>
                <w:bCs/>
                <w:szCs w:val="30"/>
                <w:lang w:bidi="th-TH"/>
              </w:rPr>
              <w:t>(Rev.1)</w:t>
            </w:r>
          </w:p>
        </w:tc>
      </w:tr>
      <w:tr w:rsidR="005B1E95" w:rsidRPr="007E1FDD" w14:paraId="37A4FE45" w14:textId="77777777" w:rsidTr="00BA1BA2">
        <w:trPr>
          <w:cantSplit/>
          <w:trHeight w:val="288"/>
        </w:trPr>
        <w:tc>
          <w:tcPr>
            <w:tcW w:w="1399" w:type="dxa"/>
            <w:vMerge/>
          </w:tcPr>
          <w:p w14:paraId="62AE763E" w14:textId="77777777" w:rsidR="005B1E95" w:rsidRPr="007E1FDD" w:rsidRDefault="005B1E95" w:rsidP="00BA1BA2">
            <w:pPr>
              <w:rPr>
                <w:lang w:val="en-GB"/>
              </w:rPr>
            </w:pPr>
          </w:p>
        </w:tc>
        <w:tc>
          <w:tcPr>
            <w:tcW w:w="5760" w:type="dxa"/>
            <w:vAlign w:val="bottom"/>
          </w:tcPr>
          <w:p w14:paraId="59FB0429" w14:textId="77777777" w:rsidR="005B1E95" w:rsidRPr="00712451" w:rsidRDefault="005B1E95" w:rsidP="00BA1BA2">
            <w:pPr>
              <w:spacing w:before="40"/>
              <w:rPr>
                <w:b/>
              </w:rPr>
            </w:pPr>
            <w:r>
              <w:t>19 – 23 April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0DDB785B" w14:textId="15F6EE50" w:rsidR="005B1E95" w:rsidRPr="007E1FDD" w:rsidRDefault="005B1E95" w:rsidP="00BA1BA2">
            <w:pPr>
              <w:spacing w:before="40"/>
              <w:rPr>
                <w:bCs/>
              </w:rPr>
            </w:pPr>
            <w:r>
              <w:rPr>
                <w:bCs/>
              </w:rPr>
              <w:t>1</w:t>
            </w:r>
            <w:r w:rsidR="000D6599">
              <w:rPr>
                <w:bCs/>
              </w:rPr>
              <w:t>9</w:t>
            </w:r>
            <w:r>
              <w:rPr>
                <w:bCs/>
              </w:rPr>
              <w:t xml:space="preserve"> April</w:t>
            </w:r>
            <w:r w:rsidRPr="007E1FDD">
              <w:rPr>
                <w:bCs/>
              </w:rPr>
              <w:t xml:space="preserve"> 20</w:t>
            </w:r>
            <w:r>
              <w:rPr>
                <w:bCs/>
              </w:rPr>
              <w:t>21</w:t>
            </w:r>
          </w:p>
        </w:tc>
      </w:tr>
    </w:tbl>
    <w:p w14:paraId="1D7C378C" w14:textId="77777777" w:rsidR="007E7497" w:rsidRPr="002271F0" w:rsidRDefault="007E7497" w:rsidP="00DA7595">
      <w:pPr>
        <w:rPr>
          <w:lang w:eastAsia="ko-KR"/>
        </w:rPr>
      </w:pPr>
    </w:p>
    <w:p w14:paraId="416BBD44" w14:textId="77777777" w:rsidR="00FF72BB" w:rsidRPr="002271F0" w:rsidRDefault="00FF72BB" w:rsidP="00DA7595">
      <w:pPr>
        <w:jc w:val="center"/>
        <w:rPr>
          <w:lang w:eastAsia="ko-KR"/>
        </w:rPr>
      </w:pPr>
    </w:p>
    <w:p w14:paraId="5D48B783" w14:textId="0D2A2CBD" w:rsidR="00DA7595" w:rsidRPr="002271F0" w:rsidRDefault="00EA0BBD" w:rsidP="00DA7595">
      <w:pPr>
        <w:jc w:val="center"/>
        <w:rPr>
          <w:lang w:eastAsia="ko-KR"/>
        </w:rPr>
      </w:pPr>
      <w:r w:rsidRPr="002271F0">
        <w:rPr>
          <w:lang w:eastAsia="ko-KR"/>
        </w:rPr>
        <w:t xml:space="preserve">Chairman, DG on AI </w:t>
      </w:r>
      <w:r w:rsidR="00DF669F" w:rsidRPr="002271F0">
        <w:rPr>
          <w:lang w:eastAsia="ko-KR"/>
        </w:rPr>
        <w:t>1.1</w:t>
      </w:r>
      <w:r w:rsidR="00AB1EA6" w:rsidRPr="002271F0">
        <w:rPr>
          <w:lang w:eastAsia="ko-KR"/>
        </w:rPr>
        <w:t xml:space="preserve">7 </w:t>
      </w:r>
    </w:p>
    <w:p w14:paraId="49B50650" w14:textId="77777777" w:rsidR="007E7497" w:rsidRPr="002271F0" w:rsidRDefault="007E7497" w:rsidP="007E7497">
      <w:pPr>
        <w:jc w:val="center"/>
        <w:rPr>
          <w:caps/>
        </w:rPr>
      </w:pPr>
    </w:p>
    <w:p w14:paraId="40C01037" w14:textId="1DC481FE" w:rsidR="007E7497" w:rsidRPr="002271F0" w:rsidRDefault="00EA0BBD" w:rsidP="007E7497">
      <w:pPr>
        <w:jc w:val="center"/>
        <w:rPr>
          <w:b/>
          <w:bCs/>
          <w:caps/>
        </w:rPr>
      </w:pPr>
      <w:r w:rsidRPr="002271F0">
        <w:rPr>
          <w:b/>
          <w:bCs/>
          <w:caps/>
        </w:rPr>
        <w:t xml:space="preserve">brief </w:t>
      </w:r>
      <w:r w:rsidR="00EC249E" w:rsidRPr="002271F0">
        <w:rPr>
          <w:b/>
          <w:bCs/>
          <w:caps/>
        </w:rPr>
        <w:t>o</w:t>
      </w:r>
      <w:r w:rsidRPr="002271F0">
        <w:rPr>
          <w:b/>
          <w:bCs/>
          <w:caps/>
        </w:rPr>
        <w:t>n</w:t>
      </w:r>
      <w:r w:rsidR="00EC249E" w:rsidRPr="002271F0">
        <w:rPr>
          <w:b/>
          <w:bCs/>
          <w:caps/>
        </w:rPr>
        <w:t xml:space="preserve"> </w:t>
      </w:r>
      <w:r w:rsidRPr="002271F0">
        <w:rPr>
          <w:b/>
          <w:bCs/>
          <w:caps/>
        </w:rPr>
        <w:t>wrc-23</w:t>
      </w:r>
      <w:r w:rsidR="00EC249E" w:rsidRPr="002271F0">
        <w:rPr>
          <w:b/>
          <w:bCs/>
          <w:caps/>
        </w:rPr>
        <w:t xml:space="preserve"> </w:t>
      </w:r>
      <w:r w:rsidRPr="002271F0">
        <w:rPr>
          <w:b/>
          <w:bCs/>
          <w:caps/>
        </w:rPr>
        <w:t xml:space="preserve">agenda item </w:t>
      </w:r>
      <w:r w:rsidR="00DF669F" w:rsidRPr="002271F0">
        <w:rPr>
          <w:b/>
          <w:bCs/>
          <w:caps/>
        </w:rPr>
        <w:t>1.17</w:t>
      </w:r>
    </w:p>
    <w:p w14:paraId="233AF010" w14:textId="77777777" w:rsidR="007E7497" w:rsidRPr="002271F0" w:rsidRDefault="007E7497" w:rsidP="007E7497">
      <w:pPr>
        <w:jc w:val="both"/>
        <w:rPr>
          <w:bCs/>
          <w:sz w:val="6"/>
        </w:rPr>
      </w:pPr>
    </w:p>
    <w:p w14:paraId="271866BD" w14:textId="77777777" w:rsidR="00D84CEE" w:rsidRPr="002271F0" w:rsidRDefault="00D84CEE" w:rsidP="00D84CEE">
      <w:pPr>
        <w:jc w:val="both"/>
        <w:rPr>
          <w:sz w:val="10"/>
        </w:rPr>
      </w:pPr>
    </w:p>
    <w:p w14:paraId="6E2A1ABA" w14:textId="77777777" w:rsidR="00EC249E" w:rsidRPr="002271F0" w:rsidRDefault="00EC249E" w:rsidP="00E5341E">
      <w:pPr>
        <w:spacing w:after="120"/>
        <w:jc w:val="both"/>
        <w:rPr>
          <w:b/>
          <w:lang w:val="en-NZ"/>
        </w:rPr>
      </w:pPr>
    </w:p>
    <w:p w14:paraId="60504901" w14:textId="177A8D24" w:rsidR="00EC249E" w:rsidRPr="002271F0" w:rsidRDefault="00EC249E" w:rsidP="00EC249E">
      <w:pPr>
        <w:jc w:val="both"/>
      </w:pPr>
      <w:r w:rsidRPr="002271F0">
        <w:t>(</w:t>
      </w:r>
      <w:r w:rsidR="00615999" w:rsidRPr="002271F0">
        <w:t xml:space="preserve">Note: </w:t>
      </w:r>
      <w:r w:rsidR="00615999" w:rsidRPr="002271F0">
        <w:rPr>
          <w:i/>
          <w:iCs/>
        </w:rPr>
        <w:t>This brief was developed for information purpose only. It does not necessarily express the view of APG-23</w:t>
      </w:r>
      <w:r w:rsidRPr="002271F0">
        <w:t>)</w:t>
      </w:r>
    </w:p>
    <w:p w14:paraId="030D99E3" w14:textId="77777777" w:rsidR="00EC249E" w:rsidRPr="002271F0" w:rsidRDefault="00EC249E" w:rsidP="00E5341E">
      <w:pPr>
        <w:spacing w:after="120"/>
        <w:jc w:val="both"/>
        <w:rPr>
          <w:b/>
        </w:rPr>
      </w:pPr>
    </w:p>
    <w:p w14:paraId="4E1693DC" w14:textId="6DB5150C" w:rsidR="00615999" w:rsidRPr="002271F0" w:rsidRDefault="00615999" w:rsidP="00615999">
      <w:pPr>
        <w:spacing w:after="120"/>
        <w:jc w:val="both"/>
        <w:rPr>
          <w:lang w:val="en-NZ"/>
        </w:rPr>
      </w:pPr>
      <w:r w:rsidRPr="002271F0">
        <w:rPr>
          <w:b/>
          <w:lang w:val="en-NZ"/>
        </w:rPr>
        <w:t xml:space="preserve">Agenda Item </w:t>
      </w:r>
      <w:r w:rsidR="00DF669F" w:rsidRPr="002271F0">
        <w:rPr>
          <w:b/>
          <w:lang w:val="en-NZ"/>
        </w:rPr>
        <w:t>1.1</w:t>
      </w:r>
      <w:r w:rsidR="00AB1EA6" w:rsidRPr="002271F0">
        <w:rPr>
          <w:b/>
          <w:lang w:val="en-NZ"/>
        </w:rPr>
        <w:t>7</w:t>
      </w:r>
      <w:r w:rsidRPr="002271F0">
        <w:rPr>
          <w:b/>
          <w:lang w:val="en-NZ"/>
        </w:rPr>
        <w:t xml:space="preserve">: </w:t>
      </w:r>
    </w:p>
    <w:p w14:paraId="67F94A58" w14:textId="1202A1A2" w:rsidR="00AB1EA6" w:rsidRPr="002271F0" w:rsidRDefault="00DF669F" w:rsidP="00615999">
      <w:pPr>
        <w:spacing w:after="120"/>
        <w:jc w:val="both"/>
        <w:rPr>
          <w:i/>
          <w:lang w:val="en-NZ"/>
        </w:rPr>
      </w:pPr>
      <w:r w:rsidRPr="002271F0">
        <w:rPr>
          <w:i/>
          <w:lang w:val="en-NZ"/>
        </w:rPr>
        <w:t>to determine and carry out, on the basis of the ITU-R studies in accordance with Resolution 773 (WRC 19), the appropriate regulatory actions for the provision of inter-satellite links in specific frequency bands, or portions thereof, by adding an inter-satellite service allocation where appropriate</w:t>
      </w:r>
    </w:p>
    <w:p w14:paraId="3BD549DE" w14:textId="56FA60BB" w:rsidR="0037421D" w:rsidRPr="002271F0" w:rsidRDefault="00615999" w:rsidP="006272B0">
      <w:pPr>
        <w:spacing w:before="240" w:after="120"/>
        <w:jc w:val="both"/>
        <w:rPr>
          <w:b/>
          <w:lang w:val="en-NZ"/>
        </w:rPr>
      </w:pPr>
      <w:r w:rsidRPr="002271F0">
        <w:rPr>
          <w:b/>
          <w:lang w:val="en-NZ"/>
        </w:rPr>
        <w:t>Relevant Resolutions and Responsible/Contributing ITU-R Groups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480"/>
      </w:tblGrid>
      <w:tr w:rsidR="002271F0" w:rsidRPr="002271F0" w14:paraId="7ED44308" w14:textId="77777777" w:rsidTr="00AB1EA6">
        <w:trPr>
          <w:trHeight w:val="432"/>
        </w:trPr>
        <w:tc>
          <w:tcPr>
            <w:tcW w:w="2605" w:type="dxa"/>
            <w:shd w:val="clear" w:color="auto" w:fill="D9D9D9" w:themeFill="background1" w:themeFillShade="D9"/>
            <w:vAlign w:val="center"/>
          </w:tcPr>
          <w:p w14:paraId="012E1C94" w14:textId="77777777" w:rsidR="00AB1EA6" w:rsidRPr="002271F0" w:rsidRDefault="00AB1EA6" w:rsidP="00AB1EA6">
            <w:pPr>
              <w:keepNext/>
              <w:keepLines/>
              <w:tabs>
                <w:tab w:val="left" w:pos="794"/>
                <w:tab w:val="left" w:pos="1191"/>
                <w:tab w:val="left" w:pos="1588"/>
                <w:tab w:val="left" w:pos="1985"/>
              </w:tabs>
              <w:overflowPunct w:val="0"/>
              <w:adjustRightInd w:val="0"/>
              <w:textAlignment w:val="baseline"/>
              <w:rPr>
                <w:rStyle w:val="fontstyle01"/>
                <w:b/>
                <w:bCs/>
                <w:color w:val="auto"/>
              </w:rPr>
            </w:pPr>
            <w:r w:rsidRPr="002271F0">
              <w:rPr>
                <w:rFonts w:eastAsia="MS Mincho"/>
                <w:b/>
                <w:bCs/>
                <w:i/>
                <w:iCs/>
                <w:szCs w:val="20"/>
              </w:rPr>
              <w:t>Topic</w:t>
            </w:r>
          </w:p>
        </w:tc>
        <w:tc>
          <w:tcPr>
            <w:tcW w:w="6480" w:type="dxa"/>
            <w:shd w:val="clear" w:color="auto" w:fill="D9D9D9" w:themeFill="background1" w:themeFillShade="D9"/>
            <w:vAlign w:val="center"/>
          </w:tcPr>
          <w:p w14:paraId="610B0539" w14:textId="77777777" w:rsidR="00AB1EA6" w:rsidRPr="002271F0" w:rsidRDefault="00AB1EA6" w:rsidP="00F00F38">
            <w:pPr>
              <w:keepNext/>
              <w:keepLines/>
              <w:tabs>
                <w:tab w:val="left" w:pos="794"/>
                <w:tab w:val="left" w:pos="1191"/>
                <w:tab w:val="left" w:pos="1588"/>
                <w:tab w:val="left" w:pos="1985"/>
              </w:tabs>
              <w:overflowPunct w:val="0"/>
              <w:adjustRightInd w:val="0"/>
              <w:textAlignment w:val="baseline"/>
              <w:rPr>
                <w:rFonts w:eastAsia="MS Mincho"/>
                <w:b/>
                <w:bCs/>
                <w:i/>
                <w:iCs/>
                <w:szCs w:val="20"/>
              </w:rPr>
            </w:pPr>
            <w:r w:rsidRPr="002271F0">
              <w:rPr>
                <w:rFonts w:eastAsia="MS Mincho"/>
                <w:b/>
                <w:bCs/>
                <w:i/>
                <w:iCs/>
                <w:szCs w:val="20"/>
              </w:rPr>
              <w:t>Actions to be taken by the group</w:t>
            </w:r>
          </w:p>
        </w:tc>
      </w:tr>
      <w:tr w:rsidR="002271F0" w:rsidRPr="002271F0" w14:paraId="49221E57" w14:textId="77777777" w:rsidTr="00B9055B">
        <w:tc>
          <w:tcPr>
            <w:tcW w:w="2605" w:type="dxa"/>
            <w:tcBorders>
              <w:bottom w:val="single" w:sz="4" w:space="0" w:color="auto"/>
            </w:tcBorders>
          </w:tcPr>
          <w:p w14:paraId="301C81B8" w14:textId="081F6E53" w:rsidR="00CA47D3" w:rsidRPr="002271F0" w:rsidRDefault="00AB1EA6" w:rsidP="00AB1E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lang w:eastAsia="nl-NL"/>
              </w:rPr>
              <w:t xml:space="preserve">Resolution </w:t>
            </w:r>
            <w:r w:rsidR="00DB4C0F">
              <w:rPr>
                <w:rFonts w:eastAsia="Batang"/>
                <w:b/>
                <w:bCs/>
                <w:lang w:eastAsia="nl-NL"/>
              </w:rPr>
              <w:t>773 (</w:t>
            </w:r>
            <w:r w:rsidR="00DF669F" w:rsidRPr="002271F0">
              <w:rPr>
                <w:rFonts w:eastAsia="Batang"/>
                <w:b/>
                <w:bCs/>
                <w:lang w:eastAsia="nl-NL"/>
              </w:rPr>
              <w:t>WRC-19</w:t>
            </w:r>
            <w:r w:rsidRPr="002271F0">
              <w:rPr>
                <w:rFonts w:eastAsia="Batang"/>
                <w:b/>
                <w:bCs/>
                <w:lang w:eastAsia="nl-NL"/>
              </w:rPr>
              <w:t>)</w:t>
            </w:r>
            <w:r w:rsidRPr="002271F0">
              <w:rPr>
                <w:rFonts w:eastAsia="Batang"/>
                <w:szCs w:val="20"/>
                <w:lang w:eastAsia="nl-NL"/>
              </w:rPr>
              <w:br/>
            </w:r>
            <w:r w:rsidR="00DF669F" w:rsidRPr="002271F0">
              <w:rPr>
                <w:rFonts w:eastAsia="Batang"/>
                <w:lang w:eastAsia="nl-NL"/>
              </w:rPr>
              <w:t>Study of technical and operational issues, and regulatory provisions for satellite-to-satellite links in the frequency bands 11.7-12.7 GHz, 18.1</w:t>
            </w:r>
            <w:r w:rsidR="00834533">
              <w:rPr>
                <w:rFonts w:eastAsia="Batang"/>
                <w:lang w:eastAsia="nl-NL"/>
              </w:rPr>
              <w:t>- 18.6 GHz, 18.8-</w:t>
            </w:r>
            <w:r w:rsidR="00DF669F" w:rsidRPr="002271F0">
              <w:rPr>
                <w:rFonts w:eastAsia="Batang"/>
                <w:lang w:eastAsia="nl-NL"/>
              </w:rPr>
              <w:t>20.2 GHz and 27.5-30 GHz</w:t>
            </w:r>
          </w:p>
          <w:p w14:paraId="3A315992" w14:textId="77777777" w:rsidR="00CA47D3" w:rsidRPr="002271F0" w:rsidRDefault="00CA47D3" w:rsidP="00CA47D3">
            <w:pPr>
              <w:rPr>
                <w:rFonts w:eastAsia="Batang"/>
                <w:szCs w:val="20"/>
                <w:lang w:eastAsia="nl-NL"/>
              </w:rPr>
            </w:pPr>
          </w:p>
          <w:p w14:paraId="23830BEE" w14:textId="77777777" w:rsidR="00CA47D3" w:rsidRPr="002271F0" w:rsidRDefault="00CA47D3" w:rsidP="00CA47D3">
            <w:pPr>
              <w:rPr>
                <w:rFonts w:eastAsia="Batang"/>
                <w:szCs w:val="20"/>
                <w:lang w:eastAsia="nl-NL"/>
              </w:rPr>
            </w:pPr>
          </w:p>
          <w:p w14:paraId="04A0BAAB" w14:textId="77777777" w:rsidR="00CA47D3" w:rsidRPr="002271F0" w:rsidRDefault="00CA47D3" w:rsidP="00CA47D3">
            <w:pPr>
              <w:rPr>
                <w:rFonts w:eastAsia="Batang"/>
                <w:szCs w:val="20"/>
                <w:lang w:eastAsia="nl-NL"/>
              </w:rPr>
            </w:pPr>
          </w:p>
          <w:p w14:paraId="37E08789" w14:textId="77777777" w:rsidR="00CA47D3" w:rsidRPr="002271F0" w:rsidRDefault="00CA47D3" w:rsidP="00CA47D3">
            <w:pPr>
              <w:rPr>
                <w:rFonts w:eastAsia="Batang"/>
                <w:szCs w:val="20"/>
                <w:lang w:eastAsia="nl-NL"/>
              </w:rPr>
            </w:pPr>
          </w:p>
          <w:p w14:paraId="42BCDB17" w14:textId="77777777" w:rsidR="00CA47D3" w:rsidRPr="002271F0" w:rsidRDefault="00CA47D3" w:rsidP="00CA47D3">
            <w:pPr>
              <w:rPr>
                <w:rFonts w:eastAsia="Batang"/>
                <w:szCs w:val="20"/>
                <w:lang w:eastAsia="nl-NL"/>
              </w:rPr>
            </w:pPr>
          </w:p>
          <w:p w14:paraId="1524D47E" w14:textId="77777777" w:rsidR="00CA47D3" w:rsidRPr="002271F0" w:rsidRDefault="00CA47D3" w:rsidP="00CA47D3">
            <w:pPr>
              <w:rPr>
                <w:rFonts w:eastAsia="Batang"/>
                <w:szCs w:val="20"/>
                <w:lang w:eastAsia="nl-NL"/>
              </w:rPr>
            </w:pPr>
          </w:p>
          <w:p w14:paraId="1E60A3CD" w14:textId="77777777" w:rsidR="00CA47D3" w:rsidRPr="002271F0" w:rsidRDefault="00CA47D3" w:rsidP="00CA47D3">
            <w:pPr>
              <w:rPr>
                <w:rFonts w:eastAsia="Batang"/>
                <w:szCs w:val="20"/>
                <w:lang w:eastAsia="nl-NL"/>
              </w:rPr>
            </w:pPr>
          </w:p>
          <w:p w14:paraId="497A1460" w14:textId="7C78AE09" w:rsidR="00CA47D3" w:rsidRPr="002271F0" w:rsidRDefault="00CA47D3" w:rsidP="00CA47D3">
            <w:pPr>
              <w:rPr>
                <w:rFonts w:eastAsia="Batang"/>
                <w:szCs w:val="20"/>
                <w:lang w:eastAsia="nl-NL"/>
              </w:rPr>
            </w:pPr>
          </w:p>
          <w:p w14:paraId="3CB982CF" w14:textId="33DC1CA3" w:rsidR="00CA47D3" w:rsidRPr="002271F0" w:rsidRDefault="00CA47D3" w:rsidP="00CA47D3">
            <w:pPr>
              <w:rPr>
                <w:rFonts w:eastAsia="Batang"/>
                <w:szCs w:val="20"/>
                <w:lang w:eastAsia="nl-NL"/>
              </w:rPr>
            </w:pPr>
          </w:p>
          <w:p w14:paraId="1E436019" w14:textId="77777777" w:rsidR="00AB1EA6" w:rsidRPr="002271F0" w:rsidRDefault="00AB1EA6" w:rsidP="00CA47D3">
            <w:pPr>
              <w:jc w:val="right"/>
              <w:rPr>
                <w:rFonts w:eastAsia="Batang"/>
                <w:szCs w:val="20"/>
                <w:lang w:eastAsia="nl-NL"/>
              </w:rPr>
            </w:pPr>
          </w:p>
        </w:tc>
        <w:tc>
          <w:tcPr>
            <w:tcW w:w="6480" w:type="dxa"/>
            <w:tcBorders>
              <w:bottom w:val="single" w:sz="4" w:space="0" w:color="auto"/>
            </w:tcBorders>
          </w:tcPr>
          <w:p w14:paraId="2101FFC4" w14:textId="77777777" w:rsidR="00DF669F" w:rsidRPr="002271F0" w:rsidRDefault="00DF669F" w:rsidP="00DF669F">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eastAsia="SimSun"/>
                <w:i/>
                <w:iCs/>
              </w:rPr>
            </w:pPr>
            <w:r w:rsidRPr="002271F0">
              <w:rPr>
                <w:rFonts w:eastAsia="SimSun"/>
                <w:i/>
                <w:iCs/>
              </w:rPr>
              <w:t>resolves to invite ITU</w:t>
            </w:r>
            <w:r w:rsidRPr="002271F0">
              <w:rPr>
                <w:rFonts w:eastAsia="SimSun"/>
                <w:i/>
                <w:iCs/>
              </w:rPr>
              <w:noBreakHyphen/>
              <w:t>R</w:t>
            </w:r>
          </w:p>
          <w:p w14:paraId="55323246" w14:textId="1C3850D3" w:rsidR="00CA47D3" w:rsidRPr="002271F0" w:rsidRDefault="00AB1EA6"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 xml:space="preserve">1     </w:t>
            </w:r>
            <w:r w:rsidR="00CA47D3" w:rsidRPr="002271F0">
              <w:rPr>
                <w:rFonts w:eastAsia="Batang"/>
                <w:szCs w:val="20"/>
                <w:lang w:eastAsia="nl-NL"/>
              </w:rPr>
              <w:t xml:space="preserve">to develop the technical and operational characteristics of different types of space stations that plan satellite-to-satellite transmissions in the </w:t>
            </w:r>
            <w:r w:rsidR="00DB4C0F">
              <w:rPr>
                <w:rFonts w:eastAsia="Batang"/>
                <w:szCs w:val="20"/>
                <w:lang w:eastAsia="nl-NL"/>
              </w:rPr>
              <w:t>frequency bands 11.7-12.7 GHz, 18.1-18.6 GHz, 18.8-</w:t>
            </w:r>
            <w:r w:rsidR="00CA47D3" w:rsidRPr="002271F0">
              <w:rPr>
                <w:rFonts w:eastAsia="Batang"/>
                <w:szCs w:val="20"/>
                <w:lang w:eastAsia="nl-NL"/>
              </w:rPr>
              <w:t>20.2 GHz and 27.5-30 GHz, taking into account considering e) above;</w:t>
            </w:r>
          </w:p>
          <w:p w14:paraId="01BF86F8" w14:textId="77777777" w:rsidR="00CA47D3" w:rsidRPr="002271F0" w:rsidRDefault="00CA47D3"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2</w:t>
            </w:r>
            <w:r w:rsidRPr="002271F0">
              <w:rPr>
                <w:rFonts w:eastAsia="Batang"/>
                <w:szCs w:val="20"/>
                <w:lang w:eastAsia="nl-NL"/>
              </w:rPr>
              <w:tab/>
              <w:t>to study the technical and operational characteristics, including spectrum requirements, off axis e.i.r.p. values and out-of-band emission limits, for transmissions between space stations in the frequency bands 11.7-12.7 GHz, 18.1-18.6 GHz, 18.8-20.2 GHz and 27.5-30 GHz;</w:t>
            </w:r>
          </w:p>
          <w:p w14:paraId="2BA992EA" w14:textId="3C7ED77D" w:rsidR="00CA47D3" w:rsidRPr="002271F0" w:rsidRDefault="00CA47D3"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3</w:t>
            </w:r>
            <w:r w:rsidRPr="002271F0">
              <w:rPr>
                <w:rFonts w:eastAsia="Batang"/>
                <w:szCs w:val="20"/>
                <w:lang w:eastAsia="nl-NL"/>
              </w:rPr>
              <w:tab/>
              <w:t>to study sharing and compatibility between satellite-to-satellite links, intending to operate between space stations in the frequency bands 11.</w:t>
            </w:r>
            <w:r w:rsidR="007B5A38">
              <w:rPr>
                <w:rFonts w:eastAsia="Batang"/>
                <w:szCs w:val="20"/>
                <w:lang w:eastAsia="nl-NL"/>
              </w:rPr>
              <w:t>7-12.7 GHz, 18.1-18.6 GHz, 18.8-20.2 GHz and 27.5-</w:t>
            </w:r>
            <w:r w:rsidRPr="002271F0">
              <w:rPr>
                <w:rFonts w:eastAsia="Batang"/>
                <w:szCs w:val="20"/>
                <w:lang w:eastAsia="nl-NL"/>
              </w:rPr>
              <w:t>30 GHz, and current and planned stations of the FSS and other existing services allocated in same frequency bands and adjacent bands, including passive services, with a view to ensuring protection of the primary services in recognizing further i);</w:t>
            </w:r>
          </w:p>
          <w:p w14:paraId="2375E50B" w14:textId="34CB443B" w:rsidR="00CA47D3" w:rsidRPr="002271F0" w:rsidRDefault="00CA47D3"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4</w:t>
            </w:r>
            <w:r w:rsidRPr="002271F0">
              <w:rPr>
                <w:rFonts w:eastAsia="Batang"/>
                <w:szCs w:val="20"/>
                <w:lang w:eastAsia="nl-NL"/>
              </w:rPr>
              <w:tab/>
              <w:t>to develop, for different types of space stations, the technical conditions and regulatory provisions for satellite-to-satellite operati</w:t>
            </w:r>
            <w:r w:rsidR="007B5A38">
              <w:rPr>
                <w:rFonts w:eastAsia="Batang"/>
                <w:szCs w:val="20"/>
                <w:lang w:eastAsia="nl-NL"/>
              </w:rPr>
              <w:t>ons in the frequency bands 11.7-</w:t>
            </w:r>
            <w:r w:rsidRPr="002271F0">
              <w:rPr>
                <w:rFonts w:eastAsia="Batang"/>
                <w:szCs w:val="20"/>
                <w:lang w:eastAsia="nl-NL"/>
              </w:rPr>
              <w:t>12.7 GHz, 18.1-18.6 GHz, 18.8-20.2 GHz and 27.5-30 GHz, or portions thereof, including new ISS allocations, as appropriate, taking into account the results of the studies above,</w:t>
            </w:r>
          </w:p>
          <w:p w14:paraId="7CE08CCB" w14:textId="77777777" w:rsidR="00CA47D3" w:rsidRPr="002271F0" w:rsidRDefault="00CA47D3" w:rsidP="00CA47D3">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eastAsia="SimSun"/>
                <w:i/>
                <w:iCs/>
              </w:rPr>
            </w:pPr>
            <w:r w:rsidRPr="002271F0">
              <w:rPr>
                <w:rFonts w:eastAsia="SimSun"/>
                <w:i/>
                <w:iCs/>
              </w:rPr>
              <w:lastRenderedPageBreak/>
              <w:t>invites administrations</w:t>
            </w:r>
          </w:p>
          <w:p w14:paraId="4D86319F" w14:textId="77777777" w:rsidR="00CA47D3" w:rsidRPr="002271F0" w:rsidRDefault="00CA47D3"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to participate in the studies and to provide input contributions,</w:t>
            </w:r>
          </w:p>
          <w:p w14:paraId="302A6D91" w14:textId="77777777" w:rsidR="00CA47D3" w:rsidRPr="002271F0" w:rsidRDefault="00CA47D3"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resolves to invite the 2023 World Radiocommunication Conference</w:t>
            </w:r>
          </w:p>
          <w:p w14:paraId="0848DDC2" w14:textId="77777777" w:rsidR="00AB1EA6" w:rsidRDefault="00CA47D3" w:rsidP="00CA47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271F0">
              <w:rPr>
                <w:rFonts w:eastAsia="Batang"/>
                <w:szCs w:val="20"/>
                <w:lang w:eastAsia="nl-NL"/>
              </w:rPr>
              <w:t>to consider the results of the above studies and take necessary regulatory actions, as appropriate.</w:t>
            </w:r>
          </w:p>
          <w:p w14:paraId="74245BBB" w14:textId="77777777" w:rsidR="00DB4C0F" w:rsidRPr="00DB4C0F" w:rsidRDefault="00DB4C0F" w:rsidP="00DB4C0F">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eastAsia="SimSun"/>
                <w:i/>
                <w:iCs/>
              </w:rPr>
            </w:pPr>
            <w:r w:rsidRPr="00DB4C0F">
              <w:rPr>
                <w:rFonts w:eastAsia="SimSun"/>
                <w:i/>
                <w:iCs/>
              </w:rPr>
              <w:t>invites the 2023 World Radiocommunication Conference</w:t>
            </w:r>
          </w:p>
          <w:p w14:paraId="0EB176AA" w14:textId="31E017AF" w:rsidR="00DB4C0F" w:rsidRPr="002271F0" w:rsidRDefault="00DB4C0F" w:rsidP="00DB4C0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DB4C0F">
              <w:rPr>
                <w:rFonts w:eastAsia="Batang"/>
                <w:szCs w:val="20"/>
                <w:lang w:eastAsia="nl-NL"/>
              </w:rPr>
              <w:t>to consider the results of the above studies and take necessary regulatory actions, as appropriate.</w:t>
            </w:r>
          </w:p>
        </w:tc>
      </w:tr>
      <w:tr w:rsidR="002271F0" w:rsidRPr="002271F0" w14:paraId="7177F358" w14:textId="77777777" w:rsidTr="00B9055B">
        <w:trPr>
          <w:trHeight w:val="20"/>
        </w:trPr>
        <w:tc>
          <w:tcPr>
            <w:tcW w:w="2605" w:type="dxa"/>
            <w:tcBorders>
              <w:left w:val="nil"/>
              <w:right w:val="nil"/>
            </w:tcBorders>
            <w:shd w:val="clear" w:color="auto" w:fill="auto"/>
          </w:tcPr>
          <w:p w14:paraId="5C438668" w14:textId="77777777" w:rsidR="00B9055B" w:rsidRPr="002271F0" w:rsidRDefault="00B9055B" w:rsidP="00F00F38">
            <w:pPr>
              <w:keepNext/>
              <w:keepLines/>
              <w:tabs>
                <w:tab w:val="left" w:pos="794"/>
                <w:tab w:val="left" w:pos="1191"/>
                <w:tab w:val="left" w:pos="1588"/>
                <w:tab w:val="left" w:pos="1985"/>
              </w:tabs>
              <w:overflowPunct w:val="0"/>
              <w:adjustRightInd w:val="0"/>
              <w:jc w:val="center"/>
              <w:textAlignment w:val="baseline"/>
              <w:rPr>
                <w:sz w:val="4"/>
                <w:szCs w:val="4"/>
              </w:rPr>
            </w:pPr>
          </w:p>
        </w:tc>
        <w:tc>
          <w:tcPr>
            <w:tcW w:w="6480" w:type="dxa"/>
            <w:tcBorders>
              <w:left w:val="nil"/>
              <w:right w:val="nil"/>
            </w:tcBorders>
            <w:shd w:val="clear" w:color="auto" w:fill="auto"/>
          </w:tcPr>
          <w:p w14:paraId="25881AC6" w14:textId="77777777" w:rsidR="00B9055B" w:rsidRPr="002271F0" w:rsidRDefault="00B9055B" w:rsidP="00F00F38">
            <w:pPr>
              <w:keepNext/>
              <w:keepLines/>
              <w:tabs>
                <w:tab w:val="left" w:pos="1588"/>
                <w:tab w:val="left" w:pos="1985"/>
              </w:tabs>
              <w:overflowPunct w:val="0"/>
              <w:adjustRightInd w:val="0"/>
              <w:jc w:val="center"/>
              <w:textAlignment w:val="baseline"/>
              <w:rPr>
                <w:rFonts w:eastAsia="MS Mincho"/>
                <w:b/>
                <w:bCs/>
                <w:i/>
                <w:iCs/>
                <w:sz w:val="4"/>
                <w:szCs w:val="4"/>
              </w:rPr>
            </w:pPr>
          </w:p>
        </w:tc>
      </w:tr>
      <w:tr w:rsidR="002271F0" w:rsidRPr="002271F0" w14:paraId="57D1423B" w14:textId="77777777" w:rsidTr="00AB1EA6">
        <w:trPr>
          <w:trHeight w:val="432"/>
        </w:trPr>
        <w:tc>
          <w:tcPr>
            <w:tcW w:w="2605" w:type="dxa"/>
            <w:shd w:val="clear" w:color="auto" w:fill="D9D9D9" w:themeFill="background1" w:themeFillShade="D9"/>
          </w:tcPr>
          <w:p w14:paraId="0CB1526E" w14:textId="14CD05A8" w:rsidR="00AB1EA6" w:rsidRPr="002271F0" w:rsidRDefault="00B9055B" w:rsidP="00F00F38">
            <w:pPr>
              <w:keepNext/>
              <w:keepLines/>
              <w:tabs>
                <w:tab w:val="left" w:pos="794"/>
                <w:tab w:val="left" w:pos="1191"/>
                <w:tab w:val="left" w:pos="1588"/>
                <w:tab w:val="left" w:pos="1985"/>
              </w:tabs>
              <w:overflowPunct w:val="0"/>
              <w:adjustRightInd w:val="0"/>
              <w:jc w:val="center"/>
              <w:textAlignment w:val="baseline"/>
              <w:rPr>
                <w:rFonts w:eastAsia="MS Mincho"/>
                <w:b/>
                <w:bCs/>
                <w:i/>
                <w:iCs/>
                <w:szCs w:val="20"/>
              </w:rPr>
            </w:pPr>
            <w:r w:rsidRPr="002271F0">
              <w:br w:type="page"/>
            </w:r>
            <w:r w:rsidR="00AB1EA6" w:rsidRPr="002271F0">
              <w:rPr>
                <w:rFonts w:eastAsia="MS Mincho"/>
                <w:b/>
                <w:bCs/>
                <w:i/>
                <w:iCs/>
                <w:szCs w:val="20"/>
              </w:rPr>
              <w:t>Responsible Group</w:t>
            </w:r>
          </w:p>
        </w:tc>
        <w:tc>
          <w:tcPr>
            <w:tcW w:w="6480" w:type="dxa"/>
            <w:shd w:val="clear" w:color="auto" w:fill="D9D9D9" w:themeFill="background1" w:themeFillShade="D9"/>
          </w:tcPr>
          <w:p w14:paraId="09B3F52C" w14:textId="77777777" w:rsidR="00AB1EA6" w:rsidRPr="002271F0" w:rsidRDefault="00AB1EA6" w:rsidP="00F00F38">
            <w:pPr>
              <w:keepNext/>
              <w:keepLines/>
              <w:tabs>
                <w:tab w:val="left" w:pos="1588"/>
                <w:tab w:val="left" w:pos="1985"/>
              </w:tabs>
              <w:overflowPunct w:val="0"/>
              <w:adjustRightInd w:val="0"/>
              <w:jc w:val="center"/>
              <w:textAlignment w:val="baseline"/>
              <w:rPr>
                <w:rFonts w:eastAsia="MS Mincho"/>
                <w:b/>
                <w:bCs/>
                <w:i/>
                <w:iCs/>
                <w:szCs w:val="20"/>
              </w:rPr>
            </w:pPr>
            <w:r w:rsidRPr="002271F0">
              <w:rPr>
                <w:rFonts w:eastAsia="MS Mincho"/>
                <w:b/>
                <w:bCs/>
                <w:i/>
                <w:iCs/>
                <w:szCs w:val="20"/>
              </w:rPr>
              <w:t>Contributing Group</w:t>
            </w:r>
          </w:p>
        </w:tc>
      </w:tr>
      <w:tr w:rsidR="00AB1EA6" w:rsidRPr="002271F0" w14:paraId="1C0FB64B" w14:textId="77777777" w:rsidTr="00AB1EA6">
        <w:tc>
          <w:tcPr>
            <w:tcW w:w="2605" w:type="dxa"/>
          </w:tcPr>
          <w:p w14:paraId="11E6BE32" w14:textId="77777777" w:rsidR="00AB1EA6" w:rsidRPr="00A86CB7" w:rsidRDefault="00AB1EA6" w:rsidP="00BD6D8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b/>
                <w:lang w:eastAsia="nl-NL"/>
              </w:rPr>
            </w:pPr>
            <w:r w:rsidRPr="00A86CB7">
              <w:rPr>
                <w:rFonts w:eastAsia="Batang"/>
                <w:b/>
                <w:lang w:eastAsia="nl-NL"/>
              </w:rPr>
              <w:t>WP4A</w:t>
            </w:r>
          </w:p>
        </w:tc>
        <w:tc>
          <w:tcPr>
            <w:tcW w:w="6480" w:type="dxa"/>
          </w:tcPr>
          <w:p w14:paraId="5C1B3D68" w14:textId="25806648" w:rsidR="00AB1EA6" w:rsidRPr="00A86CB7" w:rsidRDefault="00CA47D3" w:rsidP="00BD6D8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b/>
                <w:lang w:eastAsia="nl-NL"/>
              </w:rPr>
            </w:pPr>
            <w:r w:rsidRPr="00A86CB7">
              <w:rPr>
                <w:rFonts w:eastAsia="Batang"/>
                <w:b/>
                <w:lang w:eastAsia="nl-NL"/>
              </w:rPr>
              <w:t>WP 3M, WP 4B, WP 4C, WP 5A, WP 5B, WP 5C, WP 7B</w:t>
            </w:r>
          </w:p>
        </w:tc>
      </w:tr>
    </w:tbl>
    <w:p w14:paraId="00DBD61A" w14:textId="77777777" w:rsidR="00AB1EA6" w:rsidRPr="002271F0" w:rsidRDefault="00AB1EA6" w:rsidP="00E5341E">
      <w:pPr>
        <w:spacing w:after="120"/>
        <w:jc w:val="both"/>
        <w:rPr>
          <w:bCs/>
        </w:rPr>
      </w:pPr>
    </w:p>
    <w:p w14:paraId="53F0B033" w14:textId="5339E223" w:rsidR="00E92D3C" w:rsidRPr="002271F0" w:rsidRDefault="00234294" w:rsidP="00B95D84">
      <w:pPr>
        <w:pStyle w:val="Heading1"/>
        <w:rPr>
          <w:caps/>
          <w:sz w:val="32"/>
          <w:szCs w:val="32"/>
        </w:rPr>
      </w:pPr>
      <w:r w:rsidRPr="002271F0">
        <w:rPr>
          <w:caps/>
        </w:rPr>
        <w:t>General</w:t>
      </w:r>
    </w:p>
    <w:p w14:paraId="41A43B80" w14:textId="5666164B" w:rsidR="00E92D3C" w:rsidRPr="002271F0" w:rsidRDefault="00C14DC6" w:rsidP="00234294">
      <w:pPr>
        <w:pStyle w:val="Heading2"/>
      </w:pPr>
      <w:r w:rsidRPr="002271F0">
        <w:t>1.</w:t>
      </w:r>
      <w:r w:rsidRPr="002271F0">
        <w:tab/>
      </w:r>
      <w:r w:rsidR="00E92D3C" w:rsidRPr="002271F0">
        <w:t>Background Information</w:t>
      </w:r>
    </w:p>
    <w:p w14:paraId="7C1F3A0B" w14:textId="3585E74C" w:rsidR="00A13AE8" w:rsidRPr="002271F0" w:rsidRDefault="00742242" w:rsidP="005A72BA">
      <w:pPr>
        <w:pStyle w:val="ListParagraph"/>
        <w:rPr>
          <w:rFonts w:eastAsia="MS Mincho"/>
          <w:lang w:eastAsia="ja-JP"/>
        </w:rPr>
      </w:pPr>
      <w:r w:rsidRPr="002271F0">
        <w:rPr>
          <w:rFonts w:eastAsia="MS Mincho"/>
          <w:lang w:eastAsia="ja-JP"/>
        </w:rPr>
        <w:t xml:space="preserve">At </w:t>
      </w:r>
      <w:r w:rsidRPr="002271F0">
        <w:rPr>
          <w:lang w:val="en-AU"/>
        </w:rPr>
        <w:t>WRC</w:t>
      </w:r>
      <w:r w:rsidRPr="002271F0">
        <w:rPr>
          <w:rFonts w:eastAsia="MS Mincho"/>
          <w:lang w:eastAsia="ja-JP"/>
        </w:rPr>
        <w:t xml:space="preserve">-19, </w:t>
      </w:r>
      <w:r w:rsidR="00A1510C">
        <w:rPr>
          <w:rFonts w:eastAsia="MS Mincho"/>
          <w:lang w:eastAsia="ja-JP"/>
        </w:rPr>
        <w:t>the</w:t>
      </w:r>
      <w:r w:rsidR="002271F0" w:rsidRPr="002271F0">
        <w:rPr>
          <w:rFonts w:eastAsia="MS Mincho"/>
          <w:lang w:eastAsia="ja-JP"/>
        </w:rPr>
        <w:t xml:space="preserve"> agenda was proposed by CEPT</w:t>
      </w:r>
      <w:r w:rsidR="00A1510C">
        <w:rPr>
          <w:rFonts w:eastAsia="MS Mincho"/>
          <w:lang w:eastAsia="ja-JP"/>
        </w:rPr>
        <w:t xml:space="preserve"> </w:t>
      </w:r>
      <w:hyperlink r:id="rId9" w:history="1">
        <w:r w:rsidR="005A72BA" w:rsidRPr="000748E2">
          <w:rPr>
            <w:rStyle w:val="Hyperlink"/>
            <w:rFonts w:eastAsia="MS Mincho"/>
            <w:lang w:eastAsia="ja-JP"/>
          </w:rPr>
          <w:t>Addendum 24 to Document 16-E (WRC-19)</w:t>
        </w:r>
      </w:hyperlink>
      <w:r w:rsidR="00616C09">
        <w:rPr>
          <w:rFonts w:eastAsia="MS Mincho" w:cstheme="minorBidi" w:hint="cs"/>
          <w:szCs w:val="30"/>
          <w:cs/>
          <w:lang w:eastAsia="ja-JP" w:bidi="th-TH"/>
        </w:rPr>
        <w:t xml:space="preserve"> </w:t>
      </w:r>
      <w:r w:rsidR="00616C09">
        <w:rPr>
          <w:rFonts w:eastAsia="MS Mincho" w:cstheme="minorBidi"/>
          <w:szCs w:val="30"/>
          <w:lang w:eastAsia="ja-JP" w:bidi="th-TH"/>
        </w:rPr>
        <w:t xml:space="preserve">and </w:t>
      </w:r>
      <w:r w:rsidR="000748E2">
        <w:rPr>
          <w:rFonts w:eastAsia="MS Mincho"/>
          <w:lang w:eastAsia="ja-JP"/>
        </w:rPr>
        <w:t xml:space="preserve">CITEL </w:t>
      </w:r>
      <w:hyperlink r:id="rId10" w:history="1">
        <w:r w:rsidR="00616C09" w:rsidRPr="00021FAB">
          <w:rPr>
            <w:rStyle w:val="Hyperlink"/>
            <w:rFonts w:eastAsia="MS Mincho"/>
            <w:lang w:eastAsia="ja-JP"/>
          </w:rPr>
          <w:t>Addendum 16 to Document 11(Add.24)-E (WRC-19)</w:t>
        </w:r>
      </w:hyperlink>
    </w:p>
    <w:p w14:paraId="6B65D4F3" w14:textId="77777777" w:rsidR="00B60D50" w:rsidRPr="00B60D50" w:rsidRDefault="00B60D50" w:rsidP="00B60D50">
      <w:pPr>
        <w:pStyle w:val="ListParagraph"/>
        <w:rPr>
          <w:rFonts w:eastAsia="MS Mincho"/>
          <w:lang w:eastAsia="ja-JP"/>
        </w:rPr>
      </w:pPr>
      <w:r w:rsidRPr="00B60D50">
        <w:rPr>
          <w:rFonts w:eastAsia="MS Mincho"/>
          <w:lang w:eastAsia="ja-JP"/>
        </w:rPr>
        <w:t>WP 4A is assigned as the responsible group of this agenda item to carry out study of technical and operational issues, and regulatory provisions for satellite-to-satellite links in the frequency bands 11.7-12.7 GHz, 18.1-18.6 GHz, 18.8-20.2 GHz and 27.5-30 GHz as follows:</w:t>
      </w:r>
    </w:p>
    <w:p w14:paraId="3CA764AA" w14:textId="77777777" w:rsidR="00B60D50" w:rsidRPr="00C10749" w:rsidRDefault="00B60D50" w:rsidP="00C10749">
      <w:pPr>
        <w:pStyle w:val="ListParagraph"/>
        <w:ind w:left="1800"/>
        <w:rPr>
          <w:rFonts w:eastAsia="MS Mincho"/>
          <w:lang w:eastAsia="ja-JP"/>
        </w:rPr>
      </w:pPr>
      <w:r w:rsidRPr="00C10749">
        <w:rPr>
          <w:rFonts w:eastAsia="MS Mincho"/>
          <w:lang w:eastAsia="ja-JP"/>
        </w:rPr>
        <w:t xml:space="preserve">to develop the technical and operational characteristics of </w:t>
      </w:r>
      <w:bookmarkStart w:id="0" w:name="_Hlk44590906"/>
      <w:r w:rsidRPr="00C10749">
        <w:rPr>
          <w:rFonts w:eastAsia="MS Mincho"/>
          <w:lang w:eastAsia="ja-JP"/>
        </w:rPr>
        <w:t>different types of space stations that plan satellite-to-satellite transmissions</w:t>
      </w:r>
      <w:bookmarkEnd w:id="0"/>
      <w:r w:rsidRPr="00C10749">
        <w:rPr>
          <w:rFonts w:eastAsia="MS Mincho"/>
          <w:lang w:eastAsia="ja-JP"/>
        </w:rPr>
        <w:t xml:space="preserve"> in the frequency bands 11.7-12.7 GHz, 18.1-18.6 GHz, 18.8-20.2 GHz and 27.5-30 GHz</w:t>
      </w:r>
    </w:p>
    <w:p w14:paraId="7CCDA74B" w14:textId="77777777" w:rsidR="00B60D50" w:rsidRPr="00C10749" w:rsidRDefault="00B60D50" w:rsidP="00C10749">
      <w:pPr>
        <w:pStyle w:val="ListParagraph"/>
        <w:ind w:left="1800"/>
        <w:rPr>
          <w:rFonts w:eastAsia="MS Mincho"/>
          <w:lang w:eastAsia="ja-JP"/>
        </w:rPr>
      </w:pPr>
      <w:r w:rsidRPr="00C10749">
        <w:rPr>
          <w:rFonts w:eastAsia="MS Mincho"/>
          <w:lang w:eastAsia="ja-JP"/>
        </w:rPr>
        <w:t>to study the technical and operational characteristics, including spectrum requirements, off</w:t>
      </w:r>
      <w:r w:rsidRPr="00C10749">
        <w:rPr>
          <w:rFonts w:eastAsia="MS Mincho"/>
          <w:lang w:eastAsia="ja-JP"/>
        </w:rPr>
        <w:noBreakHyphen/>
        <w:t>axis e.i.r.p. values and out-of-band emission limits, for transmissions between space stations in the frequency bands 11.7-12.7 GHz, 18.1-18.6 GHz, 18.8-20.2 GHz and 27.5-30 GHz</w:t>
      </w:r>
    </w:p>
    <w:p w14:paraId="7897EAC5" w14:textId="77777777" w:rsidR="00B60D50" w:rsidRPr="00C10749" w:rsidRDefault="00B60D50" w:rsidP="00C10749">
      <w:pPr>
        <w:pStyle w:val="ListParagraph"/>
        <w:ind w:left="1800"/>
        <w:rPr>
          <w:rFonts w:eastAsia="MS Mincho"/>
          <w:lang w:eastAsia="ja-JP"/>
        </w:rPr>
      </w:pPr>
      <w:r w:rsidRPr="00C10749">
        <w:rPr>
          <w:rFonts w:eastAsia="MS Mincho"/>
          <w:lang w:eastAsia="ja-JP"/>
        </w:rPr>
        <w:t>to study sharing and compatibility between satellite-to-satellite links, intending to operate between space stations</w:t>
      </w:r>
      <w:r w:rsidRPr="00C10749" w:rsidDel="004434BB">
        <w:rPr>
          <w:rFonts w:eastAsia="MS Mincho"/>
          <w:lang w:eastAsia="ja-JP"/>
        </w:rPr>
        <w:t xml:space="preserve"> </w:t>
      </w:r>
      <w:r w:rsidRPr="00C10749">
        <w:rPr>
          <w:rFonts w:eastAsia="MS Mincho"/>
          <w:lang w:eastAsia="ja-JP"/>
        </w:rPr>
        <w:t>in the frequency bands 11.7-12.7 GHz, 18.1-18.6 GHz, 18.8</w:t>
      </w:r>
      <w:r w:rsidRPr="00C10749">
        <w:rPr>
          <w:rFonts w:eastAsia="MS Mincho"/>
          <w:lang w:eastAsia="ja-JP"/>
        </w:rPr>
        <w:noBreakHyphen/>
        <w:t>20.2 GHz and 27.5</w:t>
      </w:r>
      <w:r w:rsidRPr="00C10749">
        <w:rPr>
          <w:rFonts w:eastAsia="MS Mincho"/>
          <w:lang w:eastAsia="ja-JP"/>
        </w:rPr>
        <w:noBreakHyphen/>
        <w:t>30 GHz, and current and planned stations of the FSS and other existing services allocated in same frequency bands and adjacent bands, including passive services, with a view to ensuring protection of the primary services</w:t>
      </w:r>
    </w:p>
    <w:p w14:paraId="77167196" w14:textId="77777777" w:rsidR="00B60D50" w:rsidRPr="00C10749" w:rsidRDefault="00B60D50" w:rsidP="00C10749">
      <w:pPr>
        <w:pStyle w:val="ListParagraph"/>
        <w:ind w:left="1800"/>
        <w:rPr>
          <w:rFonts w:eastAsia="MS Mincho"/>
          <w:lang w:eastAsia="ja-JP"/>
        </w:rPr>
      </w:pPr>
      <w:r w:rsidRPr="00C10749">
        <w:rPr>
          <w:rFonts w:eastAsia="MS Mincho"/>
          <w:lang w:eastAsia="ja-JP"/>
        </w:rPr>
        <w:t>to develop, for different types of space stations, the technical conditions and regulatory provisions for satellite-to-satellite operations in the frequency bands 11.7</w:t>
      </w:r>
      <w:r w:rsidRPr="00C10749">
        <w:rPr>
          <w:rFonts w:eastAsia="MS Mincho"/>
          <w:lang w:eastAsia="ja-JP"/>
        </w:rPr>
        <w:noBreakHyphen/>
        <w:t>12.7 GHz, 18.1-18.6 GHz, 18.8-20.2 GHz and 27.5-30 GHz, or portions thereof, including new ISS allocations, as appropriate</w:t>
      </w:r>
    </w:p>
    <w:p w14:paraId="66153E0C" w14:textId="77777777" w:rsidR="00174B8D" w:rsidRPr="005A72BA" w:rsidRDefault="00174B8D" w:rsidP="00174B8D">
      <w:pPr>
        <w:spacing w:afterLines="50" w:after="120"/>
        <w:rPr>
          <w:rFonts w:eastAsia="Times New Roman"/>
          <w:color w:val="0070C0"/>
          <w:lang w:bidi="en-US"/>
        </w:rPr>
      </w:pPr>
    </w:p>
    <w:p w14:paraId="436C5C03" w14:textId="3E688008" w:rsidR="00E92D3C" w:rsidRPr="00270876" w:rsidRDefault="00C14DC6" w:rsidP="00234294">
      <w:pPr>
        <w:pStyle w:val="Heading2"/>
        <w:rPr>
          <w:rFonts w:ascii="Times New Roman" w:hAnsi="Times New Roman"/>
        </w:rPr>
      </w:pPr>
      <w:r w:rsidRPr="00270876">
        <w:rPr>
          <w:rFonts w:ascii="Times New Roman" w:hAnsi="Times New Roman"/>
        </w:rPr>
        <w:t>2.</w:t>
      </w:r>
      <w:r w:rsidRPr="00270876">
        <w:rPr>
          <w:rFonts w:ascii="Times New Roman" w:hAnsi="Times New Roman"/>
        </w:rPr>
        <w:tab/>
      </w:r>
      <w:r w:rsidR="00E92D3C" w:rsidRPr="00270876">
        <w:rPr>
          <w:rFonts w:ascii="Times New Roman" w:hAnsi="Times New Roman"/>
        </w:rPr>
        <w:t>Information on on-going ITU-R Study</w:t>
      </w:r>
    </w:p>
    <w:p w14:paraId="48B67087" w14:textId="77777777" w:rsidR="0016175C" w:rsidRPr="00270876" w:rsidRDefault="0016175C" w:rsidP="0016175C">
      <w:pPr>
        <w:pStyle w:val="ListParagraph"/>
      </w:pPr>
      <w:r w:rsidRPr="00270876">
        <w:rPr>
          <w:rFonts w:eastAsia="MS Mincho"/>
          <w:lang w:eastAsia="ja-JP"/>
        </w:rPr>
        <w:t>Latest</w:t>
      </w:r>
      <w:r w:rsidRPr="00270876">
        <w:t xml:space="preserve"> WP 4A document (Virtual Meeting from 22 February to 3 March 2021)</w:t>
      </w:r>
    </w:p>
    <w:p w14:paraId="1A07BD3E" w14:textId="16067F21" w:rsidR="0016175C" w:rsidRPr="00270876" w:rsidRDefault="00115711" w:rsidP="0016175C">
      <w:pPr>
        <w:pStyle w:val="ListParagraph"/>
        <w:ind w:left="1800"/>
        <w:rPr>
          <w:rFonts w:eastAsia="MS Mincho"/>
          <w:lang w:eastAsia="ja-JP"/>
        </w:rPr>
      </w:pPr>
      <w:r>
        <w:rPr>
          <w:rFonts w:eastAsia="MS Mincho"/>
          <w:lang w:eastAsia="ja-JP"/>
        </w:rPr>
        <w:t>Working document on WRC-23 A</w:t>
      </w:r>
      <w:r w:rsidR="00060CD7" w:rsidRPr="00270876">
        <w:rPr>
          <w:rFonts w:eastAsia="MS Mincho"/>
          <w:lang w:eastAsia="ja-JP"/>
        </w:rPr>
        <w:t>genda item</w:t>
      </w:r>
      <w:r w:rsidR="0016175C" w:rsidRPr="00270876">
        <w:rPr>
          <w:rFonts w:eastAsia="MS Mincho"/>
          <w:lang w:eastAsia="ja-JP"/>
        </w:rPr>
        <w:t xml:space="preserve"> 1.17</w:t>
      </w:r>
      <w:hyperlink r:id="rId11" w:history="1">
        <w:r w:rsidR="0016175C" w:rsidRPr="00270876">
          <w:rPr>
            <w:rStyle w:val="Hyperlink"/>
            <w:rFonts w:eastAsia="MS Mincho"/>
            <w:lang w:eastAsia="ja-JP"/>
          </w:rPr>
          <w:t xml:space="preserve"> (Annex 21 to Working Party 4A Chairman’s Report)</w:t>
        </w:r>
      </w:hyperlink>
    </w:p>
    <w:p w14:paraId="35F3B0F7" w14:textId="7217098A" w:rsidR="0016175C" w:rsidRPr="00270876" w:rsidRDefault="0016175C" w:rsidP="0016175C">
      <w:pPr>
        <w:pStyle w:val="ListParagraph"/>
        <w:ind w:left="1800"/>
        <w:rPr>
          <w:rFonts w:eastAsia="MS Mincho"/>
          <w:lang w:eastAsia="ja-JP"/>
        </w:rPr>
      </w:pPr>
      <w:r w:rsidRPr="00270876">
        <w:rPr>
          <w:rFonts w:eastAsia="MS Mincho"/>
          <w:lang w:eastAsia="ja-JP"/>
        </w:rPr>
        <w:lastRenderedPageBreak/>
        <w:t>Prelimi</w:t>
      </w:r>
      <w:r w:rsidR="001934FF">
        <w:rPr>
          <w:rFonts w:eastAsia="MS Mincho"/>
          <w:lang w:eastAsia="ja-JP"/>
        </w:rPr>
        <w:t>nary draft CPM text for WRC-23 A</w:t>
      </w:r>
      <w:r w:rsidRPr="00270876">
        <w:rPr>
          <w:rFonts w:eastAsia="MS Mincho"/>
          <w:lang w:eastAsia="ja-JP"/>
        </w:rPr>
        <w:t xml:space="preserve">genda item </w:t>
      </w:r>
      <w:hyperlink r:id="rId12" w:history="1">
        <w:r w:rsidRPr="00270876">
          <w:rPr>
            <w:rStyle w:val="Hyperlink"/>
            <w:rFonts w:eastAsia="MS Mincho"/>
            <w:lang w:eastAsia="ja-JP"/>
          </w:rPr>
          <w:t>(Annex 26 to Working Party 4A Chairman’s Report)</w:t>
        </w:r>
      </w:hyperlink>
    </w:p>
    <w:p w14:paraId="60D8CB78" w14:textId="64D52324" w:rsidR="0016175C" w:rsidRDefault="00115711" w:rsidP="0016175C">
      <w:pPr>
        <w:pStyle w:val="ListParagraph"/>
        <w:ind w:left="1800"/>
        <w:rPr>
          <w:rFonts w:eastAsia="MS Mincho"/>
          <w:lang w:eastAsia="ja-JP"/>
        </w:rPr>
      </w:pPr>
      <w:r>
        <w:rPr>
          <w:rFonts w:eastAsia="MS Mincho"/>
          <w:lang w:eastAsia="ja-JP"/>
        </w:rPr>
        <w:t>Work plan for WRC-23 A</w:t>
      </w:r>
      <w:r w:rsidR="0016175C" w:rsidRPr="00270876">
        <w:rPr>
          <w:rFonts w:eastAsia="MS Mincho"/>
          <w:lang w:eastAsia="ja-JP"/>
        </w:rPr>
        <w:t xml:space="preserve">genda item 1.17 </w:t>
      </w:r>
      <w:hyperlink r:id="rId13" w:history="1">
        <w:r w:rsidR="0016175C" w:rsidRPr="00270876">
          <w:rPr>
            <w:rStyle w:val="Hyperlink"/>
            <w:rFonts w:eastAsia="MS Mincho"/>
            <w:lang w:eastAsia="ja-JP"/>
          </w:rPr>
          <w:t>(Annex 33 to Working Party 4A Chairman’s Report)</w:t>
        </w:r>
      </w:hyperlink>
    </w:p>
    <w:p w14:paraId="0CC49830" w14:textId="6D459374" w:rsidR="00AA14BF" w:rsidRPr="00270876" w:rsidRDefault="00AA14BF" w:rsidP="00AA14BF">
      <w:pPr>
        <w:pStyle w:val="ListParagraph"/>
        <w:ind w:left="1800"/>
        <w:rPr>
          <w:rFonts w:eastAsia="MS Mincho"/>
          <w:lang w:eastAsia="ja-JP"/>
        </w:rPr>
      </w:pPr>
      <w:r w:rsidRPr="00270876">
        <w:rPr>
          <w:rFonts w:eastAsia="MS Mincho"/>
          <w:lang w:eastAsia="ja-JP"/>
        </w:rPr>
        <w:t>O</w:t>
      </w:r>
      <w:r w:rsidR="00A9049F">
        <w:rPr>
          <w:rFonts w:eastAsia="MS Mincho"/>
          <w:lang w:eastAsia="ja-JP"/>
        </w:rPr>
        <w:t xml:space="preserve">ngoing discussion </w:t>
      </w:r>
      <w:r w:rsidR="00FD5FE1">
        <w:rPr>
          <w:rFonts w:eastAsia="MS Mincho"/>
          <w:lang w:eastAsia="ja-JP"/>
        </w:rPr>
        <w:t>in</w:t>
      </w:r>
      <w:r w:rsidR="00A9049F">
        <w:rPr>
          <w:rFonts w:eastAsia="MS Mincho"/>
          <w:lang w:eastAsia="ja-JP"/>
        </w:rPr>
        <w:t xml:space="preserve"> </w:t>
      </w:r>
      <w:r w:rsidRPr="00270876">
        <w:rPr>
          <w:rFonts w:eastAsia="MS Mincho"/>
          <w:lang w:eastAsia="ja-JP"/>
        </w:rPr>
        <w:t>WP-4A</w:t>
      </w:r>
      <w:r>
        <w:rPr>
          <w:rFonts w:eastAsia="MS Mincho"/>
          <w:lang w:eastAsia="ja-JP"/>
        </w:rPr>
        <w:t xml:space="preserve"> meetings:</w:t>
      </w:r>
    </w:p>
    <w:p w14:paraId="6D0F1C3D" w14:textId="77777777" w:rsidR="00AA14BF" w:rsidRPr="00270876" w:rsidRDefault="00AA14BF" w:rsidP="00AA14BF">
      <w:pPr>
        <w:pStyle w:val="ListParagraph"/>
        <w:ind w:left="2250" w:hanging="270"/>
        <w:rPr>
          <w:rFonts w:eastAsia="MS Mincho"/>
          <w:lang w:eastAsia="ja-JP"/>
        </w:rPr>
      </w:pPr>
      <w:r w:rsidRPr="00270876">
        <w:rPr>
          <w:rFonts w:eastAsia="MS Mincho"/>
          <w:lang w:eastAsia="ja-JP"/>
        </w:rPr>
        <w:t>Satellite-to-satellite technical characteristics and operational parameters for sat-to-sat links</w:t>
      </w:r>
    </w:p>
    <w:p w14:paraId="77BB2FD7" w14:textId="77777777" w:rsidR="00AA14BF" w:rsidRPr="00270876" w:rsidRDefault="00AA14BF" w:rsidP="00AA14BF">
      <w:pPr>
        <w:pStyle w:val="ListParagraph"/>
        <w:ind w:left="2250" w:hanging="270"/>
        <w:rPr>
          <w:rFonts w:eastAsia="MS Mincho"/>
          <w:lang w:eastAsia="ja-JP"/>
        </w:rPr>
      </w:pPr>
      <w:r w:rsidRPr="00270876">
        <w:rPr>
          <w:rFonts w:eastAsia="MS Mincho"/>
          <w:lang w:eastAsia="ja-JP"/>
        </w:rPr>
        <w:t>Characteristics of space and terrestrial frequency assignments to be used  in sharing and compatibility studies</w:t>
      </w:r>
    </w:p>
    <w:p w14:paraId="632749A8" w14:textId="70F83CDE" w:rsidR="00AA14BF" w:rsidRPr="00270876" w:rsidRDefault="00AA14BF" w:rsidP="00AA14BF">
      <w:pPr>
        <w:pStyle w:val="ListParagraph"/>
        <w:ind w:left="2250" w:hanging="270"/>
        <w:rPr>
          <w:rFonts w:eastAsia="MS Mincho"/>
          <w:lang w:eastAsia="ja-JP"/>
        </w:rPr>
      </w:pPr>
      <w:r w:rsidRPr="00270876">
        <w:rPr>
          <w:rFonts w:eastAsia="MS Mincho"/>
          <w:lang w:eastAsia="ja-JP"/>
        </w:rPr>
        <w:t>Off-axis EIRP of satellite-to-satellite links</w:t>
      </w:r>
      <w:r>
        <w:rPr>
          <w:rFonts w:eastAsia="MS Mincho"/>
          <w:lang w:eastAsia="ja-JP"/>
        </w:rPr>
        <w:tab/>
      </w:r>
    </w:p>
    <w:p w14:paraId="7541AA4A" w14:textId="77777777" w:rsidR="00AA14BF" w:rsidRPr="00270876" w:rsidRDefault="00AA14BF" w:rsidP="00AA14BF">
      <w:pPr>
        <w:pStyle w:val="ListParagraph"/>
        <w:ind w:left="2250" w:hanging="270"/>
        <w:rPr>
          <w:rFonts w:eastAsia="MS Mincho"/>
          <w:lang w:eastAsia="ja-JP"/>
        </w:rPr>
      </w:pPr>
      <w:r w:rsidRPr="00270876">
        <w:rPr>
          <w:rFonts w:eastAsia="MS Mincho"/>
          <w:lang w:eastAsia="ja-JP"/>
        </w:rPr>
        <w:t>Out-of-band and spurious emissions of satellite-to-satellite links</w:t>
      </w:r>
    </w:p>
    <w:p w14:paraId="732EC72D" w14:textId="77777777" w:rsidR="00AA14BF" w:rsidRPr="00270876" w:rsidRDefault="00AA14BF" w:rsidP="00AA14BF">
      <w:pPr>
        <w:pStyle w:val="ListParagraph"/>
        <w:ind w:left="2250" w:hanging="270"/>
        <w:rPr>
          <w:rFonts w:eastAsia="MS Mincho"/>
          <w:lang w:eastAsia="ja-JP"/>
        </w:rPr>
      </w:pPr>
      <w:r w:rsidRPr="00270876">
        <w:rPr>
          <w:rFonts w:eastAsia="MS Mincho"/>
          <w:lang w:eastAsia="ja-JP"/>
        </w:rPr>
        <w:t>Sharing and compatibility between satellite-to-satellite links intending to operate between space stations in the frequency bands 11.7-12.7 GHz, 18.1-18.6 GHz, 18.8-20.2 GHz and 27.5-30 GHz and current and planned stations of the FSS</w:t>
      </w:r>
    </w:p>
    <w:p w14:paraId="4D8F615A" w14:textId="77777777" w:rsidR="00AA14BF" w:rsidRPr="00270876" w:rsidRDefault="00AA14BF" w:rsidP="00AA14BF">
      <w:pPr>
        <w:pStyle w:val="ListParagraph"/>
        <w:ind w:left="2250" w:hanging="270"/>
        <w:rPr>
          <w:rFonts w:eastAsia="MS Mincho"/>
          <w:lang w:eastAsia="ja-JP"/>
        </w:rPr>
      </w:pPr>
      <w:r w:rsidRPr="00270876">
        <w:rPr>
          <w:rFonts w:eastAsia="MS Mincho"/>
          <w:lang w:eastAsia="ja-JP"/>
        </w:rPr>
        <w:t>Identification areas for which information from Working Parties contributing to the studies under this agenda item may be necessary and draft possible liaison statements to such Working Parties, as appropriate and if needed</w:t>
      </w:r>
    </w:p>
    <w:p w14:paraId="1096A871" w14:textId="07A06D0A" w:rsidR="00AA14BF" w:rsidRPr="00270876" w:rsidRDefault="00060CD7" w:rsidP="00AA14BF">
      <w:pPr>
        <w:pStyle w:val="ListParagraph"/>
        <w:ind w:left="2250" w:hanging="270"/>
        <w:rPr>
          <w:rFonts w:eastAsia="MS Mincho"/>
          <w:lang w:eastAsia="ja-JP"/>
        </w:rPr>
      </w:pPr>
      <w:r>
        <w:rPr>
          <w:rFonts w:eastAsia="MS Mincho"/>
          <w:lang w:eastAsia="ja-JP"/>
        </w:rPr>
        <w:t>e</w:t>
      </w:r>
      <w:r w:rsidR="00AA14BF" w:rsidRPr="00270876">
        <w:rPr>
          <w:rFonts w:eastAsia="MS Mincho"/>
          <w:lang w:eastAsia="ja-JP"/>
        </w:rPr>
        <w:t>tc.</w:t>
      </w:r>
    </w:p>
    <w:p w14:paraId="28C1FEE5" w14:textId="77777777" w:rsidR="00CF7561" w:rsidRPr="00AA14BF" w:rsidRDefault="00CF7561" w:rsidP="00CF7561">
      <w:pPr>
        <w:pStyle w:val="ListParagraph"/>
        <w:ind w:left="1800"/>
        <w:rPr>
          <w:rFonts w:eastAsia="MS Mincho"/>
          <w:lang w:eastAsia="ja-JP"/>
        </w:rPr>
      </w:pPr>
      <w:r w:rsidRPr="00270876">
        <w:rPr>
          <w:spacing w:val="-2"/>
        </w:rPr>
        <w:t>Correspondence</w:t>
      </w:r>
      <w:r w:rsidRPr="00270876">
        <w:t xml:space="preserve"> Group on </w:t>
      </w:r>
      <w:r w:rsidRPr="00270876">
        <w:rPr>
          <w:rFonts w:eastAsia="MS Mincho"/>
          <w:lang w:eastAsia="ja-JP"/>
        </w:rPr>
        <w:t>WRC</w:t>
      </w:r>
      <w:r w:rsidRPr="00270876">
        <w:rPr>
          <w:bCs/>
        </w:rPr>
        <w:t>-23 agenda item 1.17</w:t>
      </w:r>
      <w:r w:rsidRPr="00270876">
        <w:t xml:space="preserve"> </w:t>
      </w:r>
      <w:r w:rsidRPr="00270876">
        <w:rPr>
          <w:bCs/>
        </w:rPr>
        <w:t xml:space="preserve">(CG#3) </w:t>
      </w:r>
      <w:r>
        <w:t>will work by electronic means</w:t>
      </w:r>
      <w:r w:rsidRPr="00270876">
        <w:t xml:space="preserve"> in the period between the virtual meeting of WP 4A in February/March 2021 and the next scheduled virtual meeting of WP 4A in July 2021 to advance the work on </w:t>
      </w:r>
      <w:r w:rsidRPr="00270876">
        <w:rPr>
          <w:bCs/>
        </w:rPr>
        <w:t xml:space="preserve">WRC-23 agenda item 1.17. </w:t>
      </w:r>
    </w:p>
    <w:p w14:paraId="355C650B" w14:textId="4E257E38" w:rsidR="00CF7561" w:rsidRPr="00A9049F" w:rsidRDefault="00CF7561" w:rsidP="00CF7561">
      <w:pPr>
        <w:pStyle w:val="ListParagraph"/>
        <w:numPr>
          <w:ilvl w:val="3"/>
          <w:numId w:val="1"/>
        </w:numPr>
        <w:rPr>
          <w:bCs/>
        </w:rPr>
      </w:pPr>
      <w:r w:rsidRPr="00A9049F">
        <w:rPr>
          <w:bCs/>
        </w:rPr>
        <w:t xml:space="preserve">Terms of reference </w:t>
      </w:r>
      <w:r>
        <w:rPr>
          <w:bCs/>
        </w:rPr>
        <w:t>for WP</w:t>
      </w:r>
      <w:r w:rsidRPr="00A9049F">
        <w:rPr>
          <w:bCs/>
        </w:rPr>
        <w:t xml:space="preserve"> 4A </w:t>
      </w:r>
      <w:r w:rsidR="00060CD7">
        <w:rPr>
          <w:bCs/>
        </w:rPr>
        <w:t>Correspondence Group on WRC-23 a</w:t>
      </w:r>
      <w:r w:rsidRPr="00A9049F">
        <w:rPr>
          <w:bCs/>
        </w:rPr>
        <w:t>genda item 1.17</w:t>
      </w:r>
      <w:r>
        <w:rPr>
          <w:bCs/>
        </w:rPr>
        <w:t xml:space="preserve"> </w:t>
      </w:r>
      <w:r w:rsidRPr="00A9049F">
        <w:rPr>
          <w:bCs/>
        </w:rPr>
        <w:t>and the s</w:t>
      </w:r>
      <w:r w:rsidRPr="00270876">
        <w:t xml:space="preserve">pecific areas of focus are </w:t>
      </w:r>
      <w:r w:rsidRPr="00A9049F">
        <w:rPr>
          <w:bCs/>
        </w:rPr>
        <w:t xml:space="preserve">summarized in </w:t>
      </w:r>
      <w:r w:rsidRPr="00270876">
        <w:t xml:space="preserve">Annex 34 to the Chairman’s Report </w:t>
      </w:r>
      <w:hyperlink r:id="rId14" w:history="1">
        <w:r w:rsidRPr="00A9049F">
          <w:rPr>
            <w:rStyle w:val="Hyperlink"/>
            <w:rFonts w:eastAsia="MS Mincho"/>
            <w:lang w:eastAsia="ja-JP"/>
          </w:rPr>
          <w:t>(Annex 34 to Working Party 4A Chairman’s Report)</w:t>
        </w:r>
      </w:hyperlink>
    </w:p>
    <w:p w14:paraId="0BD205A7" w14:textId="5A443FD8" w:rsidR="00CF7561" w:rsidRDefault="00CF7561" w:rsidP="00CF7561">
      <w:pPr>
        <w:pStyle w:val="ListParagraph"/>
        <w:numPr>
          <w:ilvl w:val="3"/>
          <w:numId w:val="1"/>
        </w:numPr>
      </w:pPr>
      <w:r w:rsidRPr="00CF7561">
        <w:rPr>
          <w:bCs/>
        </w:rPr>
        <w:t>Chairman of the CG#3 Mr Samuel Blondeau (</w:t>
      </w:r>
      <w:r w:rsidRPr="00A9049F">
        <w:t>Luxembourg</w:t>
      </w:r>
      <w:r>
        <w:t>)</w:t>
      </w:r>
    </w:p>
    <w:p w14:paraId="132F9051" w14:textId="77777777" w:rsidR="00CF7561" w:rsidRPr="00A9049F" w:rsidRDefault="00CF7561" w:rsidP="00CF7561">
      <w:pPr>
        <w:pStyle w:val="ListParagraph"/>
        <w:numPr>
          <w:ilvl w:val="3"/>
          <w:numId w:val="1"/>
        </w:numPr>
        <w:rPr>
          <w:bCs/>
        </w:rPr>
      </w:pPr>
      <w:r w:rsidRPr="00A9049F">
        <w:rPr>
          <w:bCs/>
        </w:rPr>
        <w:t xml:space="preserve">Correspondence Group dates: 4 March 2021 – 23 June 2021 </w:t>
      </w:r>
    </w:p>
    <w:p w14:paraId="2F507DD4" w14:textId="77777777" w:rsidR="00E92D3C" w:rsidRPr="00270876" w:rsidRDefault="00E92D3C" w:rsidP="00E92D3C">
      <w:pPr>
        <w:spacing w:after="120"/>
        <w:jc w:val="both"/>
        <w:rPr>
          <w:color w:val="0070C0"/>
        </w:rPr>
      </w:pPr>
    </w:p>
    <w:p w14:paraId="5F338BE4" w14:textId="569CBC09" w:rsidR="00E92D3C" w:rsidRDefault="00C14DC6" w:rsidP="00234294">
      <w:pPr>
        <w:pStyle w:val="Heading2"/>
        <w:rPr>
          <w:rFonts w:ascii="Times New Roman" w:hAnsi="Times New Roman"/>
        </w:rPr>
      </w:pPr>
      <w:r w:rsidRPr="00270876">
        <w:rPr>
          <w:rFonts w:ascii="Times New Roman" w:hAnsi="Times New Roman"/>
        </w:rPr>
        <w:t>3.</w:t>
      </w:r>
      <w:r w:rsidRPr="00270876">
        <w:rPr>
          <w:rFonts w:ascii="Times New Roman" w:hAnsi="Times New Roman"/>
        </w:rPr>
        <w:tab/>
      </w:r>
      <w:r w:rsidR="00E92D3C" w:rsidRPr="00270876">
        <w:rPr>
          <w:rFonts w:ascii="Times New Roman" w:hAnsi="Times New Roman"/>
        </w:rPr>
        <w:t>Position of the Regional Group (if available)</w:t>
      </w:r>
    </w:p>
    <w:p w14:paraId="55E69762" w14:textId="77777777" w:rsidR="002358F1" w:rsidRPr="002358F1" w:rsidRDefault="002358F1" w:rsidP="002358F1">
      <w:pPr>
        <w:rPr>
          <w:lang w:val="en-NZ" w:eastAsia="ko-KR"/>
        </w:rPr>
      </w:pPr>
    </w:p>
    <w:p w14:paraId="5E37E066" w14:textId="770C015B" w:rsidR="00E92D3C" w:rsidRPr="00270876" w:rsidRDefault="00C14DC6" w:rsidP="00F110CF">
      <w:pPr>
        <w:pStyle w:val="H3"/>
        <w:rPr>
          <w:rFonts w:ascii="Times New Roman" w:hAnsi="Times New Roman"/>
        </w:rPr>
      </w:pPr>
      <w:r w:rsidRPr="00270876">
        <w:rPr>
          <w:rFonts w:ascii="Times New Roman" w:hAnsi="Times New Roman"/>
        </w:rPr>
        <w:t>3.1</w:t>
      </w:r>
      <w:r w:rsidRPr="00270876">
        <w:rPr>
          <w:rFonts w:ascii="Times New Roman" w:hAnsi="Times New Roman"/>
        </w:rPr>
        <w:tab/>
      </w:r>
      <w:r w:rsidR="00E92D3C" w:rsidRPr="00270876">
        <w:rPr>
          <w:rFonts w:ascii="Times New Roman" w:hAnsi="Times New Roman"/>
        </w:rPr>
        <w:t>ATU</w:t>
      </w:r>
      <w:r w:rsidR="007D5C3F" w:rsidRPr="00270876">
        <w:rPr>
          <w:rFonts w:ascii="Times New Roman" w:hAnsi="Times New Roman"/>
        </w:rPr>
        <w:t xml:space="preserve"> </w:t>
      </w:r>
      <w:r w:rsidR="00E92D3C" w:rsidRPr="00270876">
        <w:rPr>
          <w:rFonts w:ascii="Times New Roman" w:hAnsi="Times New Roman"/>
        </w:rPr>
        <w:t xml:space="preserve"> </w:t>
      </w:r>
    </w:p>
    <w:p w14:paraId="71DE4D78" w14:textId="6A3158AC" w:rsidR="003F0193" w:rsidRPr="00270876" w:rsidRDefault="003F0193" w:rsidP="009927B4">
      <w:pPr>
        <w:pStyle w:val="ListParagraph"/>
        <w:numPr>
          <w:ilvl w:val="0"/>
          <w:numId w:val="4"/>
        </w:numPr>
        <w:rPr>
          <w:lang w:val="en-NZ"/>
        </w:rPr>
      </w:pPr>
      <w:r w:rsidRPr="00270876">
        <w:rPr>
          <w:lang w:val="en-NZ"/>
        </w:rPr>
        <w:t xml:space="preserve">Not available. </w:t>
      </w:r>
    </w:p>
    <w:p w14:paraId="0223B71F" w14:textId="0A4A7CF2" w:rsidR="003F0193" w:rsidRDefault="003F0193" w:rsidP="003F0193">
      <w:pPr>
        <w:widowControl w:val="0"/>
        <w:autoSpaceDE w:val="0"/>
        <w:autoSpaceDN w:val="0"/>
        <w:ind w:left="360"/>
        <w:jc w:val="both"/>
        <w:rPr>
          <w:lang w:val="en-NZ"/>
        </w:rPr>
      </w:pPr>
    </w:p>
    <w:p w14:paraId="66A80A6E" w14:textId="77777777" w:rsidR="002358F1" w:rsidRPr="00270876" w:rsidRDefault="002358F1" w:rsidP="003F0193">
      <w:pPr>
        <w:widowControl w:val="0"/>
        <w:autoSpaceDE w:val="0"/>
        <w:autoSpaceDN w:val="0"/>
        <w:ind w:left="360"/>
        <w:jc w:val="both"/>
        <w:rPr>
          <w:lang w:val="en-NZ"/>
        </w:rPr>
      </w:pPr>
    </w:p>
    <w:p w14:paraId="20A884B2" w14:textId="3CBA23A9" w:rsidR="00E92D3C" w:rsidRPr="00270876" w:rsidRDefault="00C14DC6" w:rsidP="00F110CF">
      <w:pPr>
        <w:pStyle w:val="H3"/>
        <w:rPr>
          <w:rFonts w:ascii="Times New Roman" w:hAnsi="Times New Roman"/>
        </w:rPr>
      </w:pPr>
      <w:r w:rsidRPr="00270876">
        <w:rPr>
          <w:rFonts w:ascii="Times New Roman" w:hAnsi="Times New Roman"/>
        </w:rPr>
        <w:t>3.2</w:t>
      </w:r>
      <w:r w:rsidRPr="00270876">
        <w:rPr>
          <w:rFonts w:ascii="Times New Roman" w:hAnsi="Times New Roman"/>
        </w:rPr>
        <w:tab/>
      </w:r>
      <w:r w:rsidR="00E92D3C" w:rsidRPr="00270876">
        <w:rPr>
          <w:rFonts w:ascii="Times New Roman" w:hAnsi="Times New Roman"/>
        </w:rPr>
        <w:t xml:space="preserve">ASMG (as of </w:t>
      </w:r>
      <w:r w:rsidR="00F57C2E">
        <w:rPr>
          <w:rFonts w:ascii="Times New Roman" w:hAnsi="Times New Roman"/>
        </w:rPr>
        <w:t>March 2021</w:t>
      </w:r>
      <w:r w:rsidR="00E92D3C" w:rsidRPr="00270876">
        <w:rPr>
          <w:rFonts w:ascii="Times New Roman" w:hAnsi="Times New Roman"/>
        </w:rPr>
        <w:t>)</w:t>
      </w:r>
    </w:p>
    <w:p w14:paraId="705C7D32" w14:textId="77777777" w:rsidR="00F57C2E" w:rsidRPr="00F57C2E" w:rsidRDefault="00F57C2E" w:rsidP="009927B4">
      <w:pPr>
        <w:pStyle w:val="ListParagraph"/>
        <w:numPr>
          <w:ilvl w:val="0"/>
          <w:numId w:val="4"/>
        </w:numPr>
        <w:rPr>
          <w:lang w:val="en-NZ"/>
        </w:rPr>
      </w:pPr>
      <w:r w:rsidRPr="00F57C2E">
        <w:rPr>
          <w:lang w:val="en-NZ"/>
        </w:rPr>
        <w:t>Follow up studies</w:t>
      </w:r>
    </w:p>
    <w:p w14:paraId="273BD755" w14:textId="77777777" w:rsidR="00F57C2E" w:rsidRPr="00F57C2E" w:rsidRDefault="00F57C2E" w:rsidP="009927B4">
      <w:pPr>
        <w:pStyle w:val="ListParagraph"/>
        <w:numPr>
          <w:ilvl w:val="0"/>
          <w:numId w:val="4"/>
        </w:numPr>
        <w:rPr>
          <w:lang w:val="en-NZ"/>
        </w:rPr>
      </w:pPr>
      <w:r w:rsidRPr="00F57C2E">
        <w:rPr>
          <w:lang w:val="en-NZ"/>
        </w:rPr>
        <w:t>The inter satellite link should not:</w:t>
      </w:r>
    </w:p>
    <w:p w14:paraId="3DC0AE92" w14:textId="77777777" w:rsidR="00F57C2E" w:rsidRDefault="00F57C2E" w:rsidP="00F57C2E">
      <w:pPr>
        <w:widowControl w:val="0"/>
        <w:autoSpaceDE w:val="0"/>
        <w:autoSpaceDN w:val="0"/>
        <w:ind w:left="1080" w:firstLine="360"/>
        <w:jc w:val="both"/>
      </w:pPr>
      <w:r>
        <w:t>1. impose any restrictions on the GSO and NGSO satellites</w:t>
      </w:r>
    </w:p>
    <w:p w14:paraId="23F5F6F3" w14:textId="77777777" w:rsidR="00F57C2E" w:rsidRDefault="00F57C2E" w:rsidP="00F57C2E">
      <w:pPr>
        <w:widowControl w:val="0"/>
        <w:autoSpaceDE w:val="0"/>
        <w:autoSpaceDN w:val="0"/>
        <w:ind w:left="720" w:firstLine="720"/>
        <w:jc w:val="both"/>
      </w:pPr>
      <w:r>
        <w:t>2. impose any restrictions on existing services</w:t>
      </w:r>
    </w:p>
    <w:p w14:paraId="2E0F8EF0" w14:textId="24CB8CDE" w:rsidR="00F57C2E" w:rsidRPr="00F57C2E" w:rsidRDefault="00F57C2E" w:rsidP="009927B4">
      <w:pPr>
        <w:pStyle w:val="ListParagraph"/>
        <w:numPr>
          <w:ilvl w:val="0"/>
          <w:numId w:val="4"/>
        </w:numPr>
        <w:rPr>
          <w:lang w:val="en-NZ"/>
        </w:rPr>
      </w:pPr>
      <w:r w:rsidRPr="00F57C2E">
        <w:rPr>
          <w:lang w:val="en-NZ"/>
        </w:rPr>
        <w:t>The studies should be done on rea</w:t>
      </w:r>
      <w:r w:rsidR="00060CD7">
        <w:rPr>
          <w:lang w:val="en-NZ"/>
        </w:rPr>
        <w:t>l registered NGSO constellation</w:t>
      </w:r>
    </w:p>
    <w:p w14:paraId="25EB4BAE" w14:textId="77777777" w:rsidR="00F57C2E" w:rsidRPr="00F57C2E" w:rsidRDefault="00F57C2E" w:rsidP="009927B4">
      <w:pPr>
        <w:pStyle w:val="ListParagraph"/>
        <w:numPr>
          <w:ilvl w:val="0"/>
          <w:numId w:val="4"/>
        </w:numPr>
        <w:rPr>
          <w:lang w:val="en-NZ"/>
        </w:rPr>
      </w:pPr>
      <w:r w:rsidRPr="00F57C2E">
        <w:rPr>
          <w:lang w:val="en-NZ"/>
        </w:rPr>
        <w:t>The transmission between two satellites will have the same protection levels for GSO, NGSO satellites and existing services as been stipulated in the Radio Regulations</w:t>
      </w:r>
    </w:p>
    <w:p w14:paraId="68930E63" w14:textId="77777777" w:rsidR="00F57C2E" w:rsidRPr="00CD7D7E" w:rsidRDefault="00F57C2E" w:rsidP="00F57C2E">
      <w:pPr>
        <w:pStyle w:val="ListParagraph"/>
        <w:numPr>
          <w:ilvl w:val="0"/>
          <w:numId w:val="0"/>
        </w:numPr>
        <w:ind w:left="1800" w:hanging="1080"/>
        <w:rPr>
          <w:lang w:val="en-NZ"/>
        </w:rPr>
      </w:pPr>
      <w:r w:rsidRPr="00CD7D7E">
        <w:rPr>
          <w:lang w:val="en-NZ"/>
        </w:rPr>
        <w:t xml:space="preserve">Reference: </w:t>
      </w:r>
      <w:hyperlink r:id="rId15" w:history="1">
        <w:r w:rsidRPr="00CD7D7E">
          <w:rPr>
            <w:rStyle w:val="Hyperlink"/>
            <w:lang w:val="en-NZ"/>
          </w:rPr>
          <w:t>Arab Spectrum Management Group (ASMG) 27th ASMG Meeting</w:t>
        </w:r>
      </w:hyperlink>
    </w:p>
    <w:p w14:paraId="5B3B510D" w14:textId="1C2D4A5C" w:rsidR="00E92D3C" w:rsidRPr="00270876" w:rsidRDefault="00C14DC6" w:rsidP="00F110CF">
      <w:pPr>
        <w:pStyle w:val="H3"/>
        <w:rPr>
          <w:rFonts w:ascii="Times New Roman" w:hAnsi="Times New Roman"/>
        </w:rPr>
      </w:pPr>
      <w:r w:rsidRPr="00270876">
        <w:rPr>
          <w:rFonts w:ascii="Times New Roman" w:hAnsi="Times New Roman"/>
        </w:rPr>
        <w:lastRenderedPageBreak/>
        <w:t>3.3</w:t>
      </w:r>
      <w:r w:rsidRPr="00270876">
        <w:rPr>
          <w:rFonts w:ascii="Times New Roman" w:hAnsi="Times New Roman"/>
        </w:rPr>
        <w:tab/>
      </w:r>
      <w:r w:rsidR="00E92D3C" w:rsidRPr="00270876">
        <w:rPr>
          <w:rFonts w:ascii="Times New Roman" w:hAnsi="Times New Roman"/>
        </w:rPr>
        <w:t>CEPT (as of December 2020)</w:t>
      </w:r>
    </w:p>
    <w:p w14:paraId="568564E4" w14:textId="77777777" w:rsidR="00DC7ABB" w:rsidRPr="00CF7561" w:rsidRDefault="00DC7ABB" w:rsidP="009927B4">
      <w:pPr>
        <w:pStyle w:val="ListParagraph"/>
        <w:numPr>
          <w:ilvl w:val="0"/>
          <w:numId w:val="4"/>
        </w:numPr>
        <w:rPr>
          <w:szCs w:val="28"/>
        </w:rPr>
      </w:pPr>
      <w:r w:rsidRPr="00F57C2E">
        <w:rPr>
          <w:lang w:val="en-NZ"/>
        </w:rPr>
        <w:t>Non</w:t>
      </w:r>
      <w:r w:rsidRPr="00CF7561">
        <w:rPr>
          <w:rFonts w:ascii="Cambria Math" w:hAnsi="Cambria Math" w:cs="Cambria Math"/>
          <w:szCs w:val="28"/>
        </w:rPr>
        <w:t>‐</w:t>
      </w:r>
      <w:r w:rsidRPr="00CF7561">
        <w:rPr>
          <w:szCs w:val="28"/>
        </w:rPr>
        <w:t>GSO user space stations should comply with applicable EPFD limits in the portions of the Ku</w:t>
      </w:r>
      <w:r w:rsidRPr="00CF7561">
        <w:rPr>
          <w:rFonts w:ascii="Cambria Math" w:hAnsi="Cambria Math" w:cs="Cambria Math"/>
          <w:szCs w:val="28"/>
        </w:rPr>
        <w:t>‐</w:t>
      </w:r>
      <w:r w:rsidRPr="00CF7561">
        <w:rPr>
          <w:szCs w:val="28"/>
        </w:rPr>
        <w:t xml:space="preserve"> and Ka bands where these limits apply when communicating with a non</w:t>
      </w:r>
      <w:r w:rsidRPr="00CF7561">
        <w:rPr>
          <w:rFonts w:ascii="Cambria Math" w:hAnsi="Cambria Math" w:cs="Cambria Math"/>
          <w:szCs w:val="28"/>
        </w:rPr>
        <w:t>‐</w:t>
      </w:r>
      <w:r w:rsidRPr="00CF7561">
        <w:rPr>
          <w:szCs w:val="28"/>
        </w:rPr>
        <w:t>GSO FSS service provider space station</w:t>
      </w:r>
    </w:p>
    <w:p w14:paraId="2FE7F17F" w14:textId="77777777" w:rsidR="00060CD7" w:rsidRDefault="00DC7ABB" w:rsidP="009927B4">
      <w:pPr>
        <w:pStyle w:val="ListParagraph"/>
        <w:widowControl w:val="0"/>
        <w:numPr>
          <w:ilvl w:val="0"/>
          <w:numId w:val="3"/>
        </w:numPr>
        <w:wordWrap w:val="0"/>
        <w:autoSpaceDE w:val="0"/>
        <w:autoSpaceDN w:val="0"/>
        <w:spacing w:line="259" w:lineRule="auto"/>
        <w:jc w:val="both"/>
        <w:rPr>
          <w:szCs w:val="28"/>
        </w:rPr>
      </w:pPr>
      <w:r w:rsidRPr="00CF7561">
        <w:rPr>
          <w:szCs w:val="28"/>
        </w:rPr>
        <w:t>The higher altitude to lower altitude link transmissions in 11.7</w:t>
      </w:r>
      <w:r w:rsidRPr="00CF7561">
        <w:rPr>
          <w:rFonts w:ascii="Cambria Math" w:hAnsi="Cambria Math" w:cs="Cambria Math"/>
          <w:szCs w:val="28"/>
        </w:rPr>
        <w:t>‐</w:t>
      </w:r>
      <w:r w:rsidRPr="00CF7561">
        <w:rPr>
          <w:szCs w:val="28"/>
        </w:rPr>
        <w:t>12.7 GHz, 18.1</w:t>
      </w:r>
      <w:r w:rsidRPr="00CF7561">
        <w:rPr>
          <w:rFonts w:ascii="Cambria Math" w:hAnsi="Cambria Math" w:cs="Cambria Math"/>
          <w:szCs w:val="28"/>
        </w:rPr>
        <w:t>‐</w:t>
      </w:r>
      <w:r w:rsidRPr="00CF7561">
        <w:rPr>
          <w:szCs w:val="28"/>
        </w:rPr>
        <w:t>18.6 GHz and 18.8</w:t>
      </w:r>
      <w:r w:rsidRPr="00CF7561">
        <w:rPr>
          <w:rFonts w:ascii="Cambria Math" w:hAnsi="Cambria Math" w:cs="Cambria Math"/>
          <w:szCs w:val="28"/>
        </w:rPr>
        <w:t>‐</w:t>
      </w:r>
      <w:r w:rsidRPr="00CF7561">
        <w:rPr>
          <w:szCs w:val="28"/>
        </w:rPr>
        <w:t>20.2 GHz from the GSO or non</w:t>
      </w:r>
      <w:r w:rsidRPr="00CF7561">
        <w:rPr>
          <w:rFonts w:ascii="Cambria Math" w:hAnsi="Cambria Math" w:cs="Cambria Math"/>
          <w:szCs w:val="28"/>
        </w:rPr>
        <w:t>‐</w:t>
      </w:r>
      <w:r w:rsidRPr="00CF7561">
        <w:rPr>
          <w:szCs w:val="28"/>
        </w:rPr>
        <w:t xml:space="preserve">GSO FSS service provider space </w:t>
      </w:r>
    </w:p>
    <w:p w14:paraId="5A27DF23" w14:textId="77777777" w:rsidR="00060CD7" w:rsidRDefault="00DC7ABB" w:rsidP="00060CD7">
      <w:pPr>
        <w:pStyle w:val="ListParagraph"/>
        <w:widowControl w:val="0"/>
        <w:numPr>
          <w:ilvl w:val="0"/>
          <w:numId w:val="0"/>
        </w:numPr>
        <w:wordWrap w:val="0"/>
        <w:autoSpaceDE w:val="0"/>
        <w:autoSpaceDN w:val="0"/>
        <w:spacing w:line="259" w:lineRule="auto"/>
        <w:ind w:left="1120"/>
        <w:jc w:val="both"/>
        <w:rPr>
          <w:szCs w:val="28"/>
        </w:rPr>
      </w:pPr>
      <w:r w:rsidRPr="00CF7561">
        <w:rPr>
          <w:szCs w:val="28"/>
        </w:rPr>
        <w:t>station to the non</w:t>
      </w:r>
      <w:r w:rsidRPr="00CF7561">
        <w:rPr>
          <w:rFonts w:ascii="Cambria Math" w:hAnsi="Cambria Math" w:cs="Cambria Math"/>
          <w:szCs w:val="28"/>
        </w:rPr>
        <w:t>‐</w:t>
      </w:r>
      <w:r w:rsidRPr="00CF7561">
        <w:rPr>
          <w:szCs w:val="28"/>
        </w:rPr>
        <w:t xml:space="preserve">GSO user space station would be identical in technical </w:t>
      </w:r>
    </w:p>
    <w:p w14:paraId="567C5A2A" w14:textId="46A82FC9" w:rsidR="00DC7ABB" w:rsidRPr="00CF7561" w:rsidRDefault="00DC7ABB" w:rsidP="00060CD7">
      <w:pPr>
        <w:pStyle w:val="ListParagraph"/>
        <w:widowControl w:val="0"/>
        <w:numPr>
          <w:ilvl w:val="0"/>
          <w:numId w:val="0"/>
        </w:numPr>
        <w:wordWrap w:val="0"/>
        <w:autoSpaceDE w:val="0"/>
        <w:autoSpaceDN w:val="0"/>
        <w:spacing w:line="259" w:lineRule="auto"/>
        <w:ind w:left="1120"/>
        <w:jc w:val="both"/>
        <w:rPr>
          <w:szCs w:val="28"/>
        </w:rPr>
      </w:pPr>
      <w:r w:rsidRPr="00CF7561">
        <w:rPr>
          <w:szCs w:val="28"/>
        </w:rPr>
        <w:t>characteristic to the transmissions from GSO or non</w:t>
      </w:r>
      <w:r w:rsidRPr="00CF7561">
        <w:rPr>
          <w:rFonts w:ascii="Cambria Math" w:hAnsi="Cambria Math" w:cs="Cambria Math"/>
          <w:szCs w:val="28"/>
        </w:rPr>
        <w:t>‐</w:t>
      </w:r>
      <w:r w:rsidRPr="00CF7561">
        <w:rPr>
          <w:szCs w:val="28"/>
        </w:rPr>
        <w:t>GSO service providers to any ground</w:t>
      </w:r>
      <w:r w:rsidRPr="00CF7561">
        <w:rPr>
          <w:rFonts w:ascii="Cambria Math" w:hAnsi="Cambria Math" w:cs="Cambria Math"/>
          <w:szCs w:val="28"/>
        </w:rPr>
        <w:t>‐</w:t>
      </w:r>
      <w:r w:rsidRPr="00CF7561">
        <w:rPr>
          <w:szCs w:val="28"/>
        </w:rPr>
        <w:t>based user in the service provider’s network</w:t>
      </w:r>
    </w:p>
    <w:p w14:paraId="3D3E0557" w14:textId="77777777" w:rsidR="00060CD7" w:rsidRDefault="00DC7ABB" w:rsidP="009927B4">
      <w:pPr>
        <w:pStyle w:val="ListParagraph"/>
        <w:widowControl w:val="0"/>
        <w:numPr>
          <w:ilvl w:val="0"/>
          <w:numId w:val="3"/>
        </w:numPr>
        <w:wordWrap w:val="0"/>
        <w:autoSpaceDE w:val="0"/>
        <w:autoSpaceDN w:val="0"/>
        <w:spacing w:line="259" w:lineRule="auto"/>
        <w:jc w:val="both"/>
        <w:rPr>
          <w:szCs w:val="28"/>
        </w:rPr>
      </w:pPr>
      <w:r w:rsidRPr="00CF7561">
        <w:rPr>
          <w:szCs w:val="28"/>
        </w:rPr>
        <w:t>CEPT proposes that space stations that plan satellite</w:t>
      </w:r>
      <w:r w:rsidRPr="00CF7561">
        <w:rPr>
          <w:rFonts w:ascii="Cambria Math" w:hAnsi="Cambria Math" w:cs="Cambria Math"/>
          <w:szCs w:val="28"/>
        </w:rPr>
        <w:t>‐</w:t>
      </w:r>
      <w:r w:rsidRPr="00CF7561">
        <w:rPr>
          <w:szCs w:val="28"/>
        </w:rPr>
        <w:t>to</w:t>
      </w:r>
      <w:r w:rsidRPr="00CF7561">
        <w:rPr>
          <w:rFonts w:ascii="Cambria Math" w:hAnsi="Cambria Math" w:cs="Cambria Math"/>
          <w:szCs w:val="28"/>
        </w:rPr>
        <w:t>‐</w:t>
      </w:r>
      <w:r w:rsidRPr="00CF7561">
        <w:rPr>
          <w:szCs w:val="28"/>
        </w:rPr>
        <w:t xml:space="preserve">satellite transmissions </w:t>
      </w:r>
    </w:p>
    <w:p w14:paraId="7B9BE734" w14:textId="0F5FB3D9" w:rsidR="00DC7ABB" w:rsidRPr="00CF7561" w:rsidRDefault="00DC7ABB" w:rsidP="00060CD7">
      <w:pPr>
        <w:pStyle w:val="ListParagraph"/>
        <w:widowControl w:val="0"/>
        <w:numPr>
          <w:ilvl w:val="0"/>
          <w:numId w:val="0"/>
        </w:numPr>
        <w:wordWrap w:val="0"/>
        <w:autoSpaceDE w:val="0"/>
        <w:autoSpaceDN w:val="0"/>
        <w:spacing w:line="259" w:lineRule="auto"/>
        <w:ind w:left="1120"/>
        <w:jc w:val="both"/>
        <w:rPr>
          <w:szCs w:val="28"/>
        </w:rPr>
      </w:pPr>
      <w:r w:rsidRPr="00CF7561">
        <w:rPr>
          <w:szCs w:val="28"/>
        </w:rPr>
        <w:t>should be governed by the following preliminary guiding principles:</w:t>
      </w:r>
    </w:p>
    <w:p w14:paraId="2701AFF3" w14:textId="3F928623" w:rsidR="00DC7ABB" w:rsidRPr="00CF7561" w:rsidRDefault="00DC7ABB" w:rsidP="00DC7ABB">
      <w:pPr>
        <w:pStyle w:val="ListParagraph"/>
        <w:ind w:left="1960"/>
        <w:rPr>
          <w:szCs w:val="28"/>
        </w:rPr>
      </w:pPr>
      <w:r w:rsidRPr="00CF7561">
        <w:rPr>
          <w:szCs w:val="28"/>
        </w:rPr>
        <w:t>Only operations within the cone of coverage of GSO or NGSO service provider space stations are allowed. The cone of coverage of an FSS service provider space station is the volume of space between the service provider space station and its notified service areas. For the operation of non</w:t>
      </w:r>
      <w:r w:rsidRPr="00CF7561">
        <w:rPr>
          <w:rFonts w:ascii="Cambria Math" w:hAnsi="Cambria Math" w:cs="Cambria Math"/>
          <w:szCs w:val="28"/>
        </w:rPr>
        <w:t>‐</w:t>
      </w:r>
      <w:r w:rsidRPr="00CF7561">
        <w:rPr>
          <w:szCs w:val="28"/>
        </w:rPr>
        <w:t>GSO service provider space stations, the cone of coverage moves and changes as the satellite moves around its orbit</w:t>
      </w:r>
    </w:p>
    <w:p w14:paraId="06C7D313" w14:textId="72587F16" w:rsidR="00DC7ABB" w:rsidRPr="00CF7561" w:rsidRDefault="00DC7ABB" w:rsidP="00DC7ABB">
      <w:pPr>
        <w:pStyle w:val="ListParagraph"/>
        <w:ind w:left="1960"/>
        <w:rPr>
          <w:szCs w:val="28"/>
        </w:rPr>
      </w:pPr>
      <w:r w:rsidRPr="00CF7561">
        <w:rPr>
          <w:szCs w:val="28"/>
        </w:rPr>
        <w:t>Satellite</w:t>
      </w:r>
      <w:r w:rsidRPr="00CF7561">
        <w:rPr>
          <w:rFonts w:ascii="Cambria Math" w:hAnsi="Cambria Math" w:cs="Cambria Math"/>
          <w:szCs w:val="28"/>
        </w:rPr>
        <w:t>‐</w:t>
      </w:r>
      <w:r w:rsidRPr="00CF7561">
        <w:rPr>
          <w:szCs w:val="28"/>
        </w:rPr>
        <w:t>to</w:t>
      </w:r>
      <w:r w:rsidRPr="00CF7561">
        <w:rPr>
          <w:rFonts w:ascii="Cambria Math" w:hAnsi="Cambria Math" w:cs="Cambria Math"/>
          <w:szCs w:val="28"/>
        </w:rPr>
        <w:t>‐</w:t>
      </w:r>
      <w:r w:rsidRPr="00CF7561">
        <w:rPr>
          <w:szCs w:val="28"/>
        </w:rPr>
        <w:t>satellite link transmissions will comply with the same directionality indicators as in the existing FSS allocations (Earth</w:t>
      </w:r>
      <w:r w:rsidRPr="00CF7561">
        <w:rPr>
          <w:rFonts w:ascii="Cambria Math" w:hAnsi="Cambria Math" w:cs="Cambria Math"/>
          <w:szCs w:val="28"/>
        </w:rPr>
        <w:t>‐</w:t>
      </w:r>
      <w:r w:rsidRPr="00CF7561">
        <w:rPr>
          <w:szCs w:val="28"/>
        </w:rPr>
        <w:t>to</w:t>
      </w:r>
      <w:r w:rsidRPr="00CF7561">
        <w:rPr>
          <w:rFonts w:ascii="Cambria Math" w:hAnsi="Cambria Math" w:cs="Cambria Math"/>
          <w:szCs w:val="28"/>
        </w:rPr>
        <w:t>‐</w:t>
      </w:r>
      <w:r w:rsidRPr="00CF7561">
        <w:rPr>
          <w:szCs w:val="28"/>
        </w:rPr>
        <w:t>space = from lower altitude to higher altitude, space</w:t>
      </w:r>
      <w:r w:rsidRPr="00CF7561">
        <w:rPr>
          <w:rFonts w:ascii="Cambria Math" w:hAnsi="Cambria Math" w:cs="Cambria Math"/>
          <w:szCs w:val="28"/>
        </w:rPr>
        <w:t>‐</w:t>
      </w:r>
      <w:r w:rsidRPr="00CF7561">
        <w:rPr>
          <w:szCs w:val="28"/>
        </w:rPr>
        <w:t>to</w:t>
      </w:r>
      <w:r w:rsidRPr="00CF7561">
        <w:rPr>
          <w:rFonts w:ascii="Cambria Math" w:hAnsi="Cambria Math" w:cs="Cambria Math"/>
          <w:szCs w:val="28"/>
        </w:rPr>
        <w:t>‐</w:t>
      </w:r>
      <w:r w:rsidRPr="00CF7561">
        <w:rPr>
          <w:szCs w:val="28"/>
        </w:rPr>
        <w:t>Earth = from higher altitude to lower altitude)</w:t>
      </w:r>
    </w:p>
    <w:p w14:paraId="3AF9328E" w14:textId="79DC8101" w:rsidR="00DC7ABB" w:rsidRPr="00CF7561" w:rsidRDefault="00DC7ABB" w:rsidP="00DC7ABB">
      <w:pPr>
        <w:pStyle w:val="ListParagraph"/>
        <w:ind w:left="1960"/>
        <w:rPr>
          <w:szCs w:val="28"/>
        </w:rPr>
      </w:pPr>
      <w:r w:rsidRPr="00CF7561">
        <w:rPr>
          <w:szCs w:val="28"/>
        </w:rPr>
        <w:t>Non</w:t>
      </w:r>
      <w:r w:rsidRPr="00CF7561">
        <w:rPr>
          <w:rFonts w:ascii="Cambria Math" w:hAnsi="Cambria Math" w:cs="Cambria Math"/>
          <w:szCs w:val="28"/>
        </w:rPr>
        <w:t>‐</w:t>
      </w:r>
      <w:r w:rsidRPr="00CF7561">
        <w:rPr>
          <w:szCs w:val="28"/>
        </w:rPr>
        <w:t>GSO user space stations will operate in a manner that should resemble typical user stations of the host FSS service provider system</w:t>
      </w:r>
    </w:p>
    <w:p w14:paraId="05154356" w14:textId="1A61A9A2" w:rsidR="00DC7ABB" w:rsidRPr="00CF7561" w:rsidRDefault="00DC7ABB" w:rsidP="00DC7ABB">
      <w:pPr>
        <w:pStyle w:val="ListParagraph"/>
        <w:ind w:left="1960"/>
        <w:rPr>
          <w:szCs w:val="28"/>
        </w:rPr>
      </w:pPr>
      <w:r w:rsidRPr="00CF7561">
        <w:rPr>
          <w:szCs w:val="28"/>
        </w:rPr>
        <w:t>Non</w:t>
      </w:r>
      <w:r w:rsidRPr="00CF7561">
        <w:rPr>
          <w:rFonts w:ascii="Cambria Math" w:hAnsi="Cambria Math" w:cs="Cambria Math"/>
          <w:szCs w:val="28"/>
        </w:rPr>
        <w:t>‐</w:t>
      </w:r>
      <w:r w:rsidRPr="00CF7561">
        <w:rPr>
          <w:szCs w:val="28"/>
        </w:rPr>
        <w:t>GSO user space stations should comply with applicable EPFD limits in the portions of the Ku</w:t>
      </w:r>
      <w:r w:rsidRPr="00CF7561">
        <w:rPr>
          <w:rFonts w:ascii="Cambria Math" w:hAnsi="Cambria Math" w:cs="Cambria Math"/>
          <w:szCs w:val="28"/>
        </w:rPr>
        <w:t>‐</w:t>
      </w:r>
      <w:r w:rsidRPr="00CF7561">
        <w:rPr>
          <w:szCs w:val="28"/>
        </w:rPr>
        <w:t xml:space="preserve"> and Ka bands where these limits apply when communicating with a non</w:t>
      </w:r>
      <w:r w:rsidRPr="00CF7561">
        <w:rPr>
          <w:rFonts w:ascii="Cambria Math" w:hAnsi="Cambria Math" w:cs="Cambria Math"/>
          <w:szCs w:val="28"/>
        </w:rPr>
        <w:t>‐</w:t>
      </w:r>
      <w:r w:rsidRPr="00CF7561">
        <w:rPr>
          <w:szCs w:val="28"/>
        </w:rPr>
        <w:t>GSO FSS service provider space station</w:t>
      </w:r>
    </w:p>
    <w:p w14:paraId="1BC4F43D" w14:textId="66387D91" w:rsidR="00DC7ABB" w:rsidRPr="00CF7561" w:rsidRDefault="00DC7ABB" w:rsidP="00DC7ABB">
      <w:pPr>
        <w:pStyle w:val="ListParagraph"/>
        <w:ind w:left="1960"/>
        <w:rPr>
          <w:szCs w:val="28"/>
        </w:rPr>
      </w:pPr>
      <w:r w:rsidRPr="00CF7561">
        <w:rPr>
          <w:szCs w:val="28"/>
        </w:rPr>
        <w:t>The higher altitude to lower altitude link transmissions in 11.7</w:t>
      </w:r>
      <w:r w:rsidRPr="00CF7561">
        <w:rPr>
          <w:rFonts w:ascii="Cambria Math" w:hAnsi="Cambria Math" w:cs="Cambria Math"/>
          <w:szCs w:val="28"/>
        </w:rPr>
        <w:t>‐</w:t>
      </w:r>
      <w:r w:rsidRPr="00CF7561">
        <w:rPr>
          <w:szCs w:val="28"/>
        </w:rPr>
        <w:t>12.7 GHz, 18.1</w:t>
      </w:r>
      <w:r w:rsidRPr="00CF7561">
        <w:rPr>
          <w:rFonts w:ascii="Cambria Math" w:hAnsi="Cambria Math" w:cs="Cambria Math"/>
          <w:szCs w:val="28"/>
        </w:rPr>
        <w:t>‐</w:t>
      </w:r>
      <w:r w:rsidRPr="00CF7561">
        <w:rPr>
          <w:szCs w:val="28"/>
        </w:rPr>
        <w:t>18.6 GHz and 18.8</w:t>
      </w:r>
      <w:r w:rsidRPr="00CF7561">
        <w:rPr>
          <w:rFonts w:ascii="Cambria Math" w:hAnsi="Cambria Math" w:cs="Cambria Math"/>
          <w:szCs w:val="28"/>
        </w:rPr>
        <w:t>‐</w:t>
      </w:r>
      <w:r w:rsidRPr="00CF7561">
        <w:rPr>
          <w:szCs w:val="28"/>
        </w:rPr>
        <w:t>20.2 GHz from the GSO or non</w:t>
      </w:r>
      <w:r w:rsidRPr="00CF7561">
        <w:rPr>
          <w:rFonts w:ascii="Cambria Math" w:hAnsi="Cambria Math" w:cs="Cambria Math"/>
          <w:szCs w:val="28"/>
        </w:rPr>
        <w:t>‐</w:t>
      </w:r>
      <w:r w:rsidRPr="00CF7561">
        <w:rPr>
          <w:szCs w:val="28"/>
        </w:rPr>
        <w:t>GSO FSS service provider space station to the non</w:t>
      </w:r>
      <w:r w:rsidRPr="00CF7561">
        <w:rPr>
          <w:rFonts w:ascii="Cambria Math" w:hAnsi="Cambria Math" w:cs="Cambria Math"/>
          <w:szCs w:val="28"/>
        </w:rPr>
        <w:t>‐</w:t>
      </w:r>
      <w:r w:rsidRPr="00CF7561">
        <w:rPr>
          <w:szCs w:val="28"/>
        </w:rPr>
        <w:t>GSO user space station would be identical in technical characteristic to the transmissions from GSO or non</w:t>
      </w:r>
      <w:r w:rsidRPr="00CF7561">
        <w:rPr>
          <w:rFonts w:ascii="Cambria Math" w:hAnsi="Cambria Math" w:cs="Cambria Math"/>
          <w:szCs w:val="28"/>
        </w:rPr>
        <w:t>‐</w:t>
      </w:r>
      <w:r w:rsidRPr="00CF7561">
        <w:rPr>
          <w:szCs w:val="28"/>
        </w:rPr>
        <w:t>GSO service providers to any ground</w:t>
      </w:r>
      <w:r w:rsidRPr="00CF7561">
        <w:rPr>
          <w:rFonts w:ascii="Cambria Math" w:hAnsi="Cambria Math" w:cs="Cambria Math"/>
          <w:szCs w:val="28"/>
        </w:rPr>
        <w:t>‐</w:t>
      </w:r>
      <w:r w:rsidRPr="00CF7561">
        <w:rPr>
          <w:szCs w:val="28"/>
        </w:rPr>
        <w:t>based user in the service provider’s network</w:t>
      </w:r>
    </w:p>
    <w:p w14:paraId="752A06D4" w14:textId="631D5CF1" w:rsidR="00DC7ABB" w:rsidRPr="00CF7561" w:rsidRDefault="00DC7ABB" w:rsidP="00CF7561">
      <w:pPr>
        <w:pStyle w:val="ListParagraph"/>
        <w:numPr>
          <w:ilvl w:val="0"/>
          <w:numId w:val="0"/>
        </w:numPr>
        <w:ind w:left="1960"/>
        <w:rPr>
          <w:rStyle w:val="Hyperlink"/>
          <w:sz w:val="22"/>
        </w:rPr>
      </w:pPr>
      <w:r w:rsidRPr="00CF7561">
        <w:rPr>
          <w:szCs w:val="28"/>
        </w:rPr>
        <w:t xml:space="preserve">Reference: </w:t>
      </w:r>
      <w:hyperlink r:id="rId16" w:history="1">
        <w:r w:rsidR="00060CD7">
          <w:rPr>
            <w:rStyle w:val="Hyperlink"/>
            <w:szCs w:val="28"/>
          </w:rPr>
          <w:t>Status of CEPT Preparation for WRC-23 / RA-23</w:t>
        </w:r>
      </w:hyperlink>
      <w:r w:rsidRPr="00CF7561">
        <w:rPr>
          <w:szCs w:val="28"/>
        </w:rPr>
        <w:t xml:space="preserve">, December 2020 </w:t>
      </w:r>
    </w:p>
    <w:p w14:paraId="0DA13704" w14:textId="7CCCC3ED" w:rsidR="00E92D3C" w:rsidRPr="00270876" w:rsidRDefault="00E92D3C" w:rsidP="00270876">
      <w:pPr>
        <w:pStyle w:val="ListParagraph"/>
        <w:numPr>
          <w:ilvl w:val="0"/>
          <w:numId w:val="0"/>
        </w:numPr>
        <w:ind w:left="720"/>
        <w:rPr>
          <w:color w:val="0070C0"/>
        </w:rPr>
      </w:pPr>
    </w:p>
    <w:p w14:paraId="4EBBC3BA" w14:textId="061960D6" w:rsidR="001C7B2B" w:rsidRPr="00270876" w:rsidRDefault="001C7B2B" w:rsidP="00174B8D">
      <w:pPr>
        <w:ind w:left="720"/>
        <w:rPr>
          <w:color w:val="0070C0"/>
        </w:rPr>
      </w:pPr>
    </w:p>
    <w:p w14:paraId="79275DF9" w14:textId="77777777" w:rsidR="00DC7ABB" w:rsidRPr="000D0221" w:rsidRDefault="00C14DC6" w:rsidP="00DC7ABB">
      <w:pPr>
        <w:pStyle w:val="H3"/>
        <w:rPr>
          <w:rFonts w:ascii="Times New Roman" w:hAnsi="Times New Roman"/>
        </w:rPr>
      </w:pPr>
      <w:r w:rsidRPr="000D0221">
        <w:rPr>
          <w:rFonts w:ascii="Times New Roman" w:hAnsi="Times New Roman"/>
        </w:rPr>
        <w:t>3.4</w:t>
      </w:r>
      <w:r w:rsidRPr="000D0221">
        <w:rPr>
          <w:rFonts w:ascii="Times New Roman" w:hAnsi="Times New Roman"/>
        </w:rPr>
        <w:tab/>
      </w:r>
      <w:r w:rsidR="00E92D3C" w:rsidRPr="000D0221">
        <w:rPr>
          <w:rFonts w:ascii="Times New Roman" w:hAnsi="Times New Roman"/>
        </w:rPr>
        <w:t xml:space="preserve">CITEL </w:t>
      </w:r>
      <w:r w:rsidR="00DC7ABB" w:rsidRPr="000D0221">
        <w:rPr>
          <w:rFonts w:ascii="Times New Roman" w:hAnsi="Times New Roman"/>
        </w:rPr>
        <w:t>(as of December 2020)</w:t>
      </w:r>
    </w:p>
    <w:p w14:paraId="26814E53" w14:textId="77777777" w:rsidR="00CF7561" w:rsidRPr="00CF7561" w:rsidRDefault="00CF7561" w:rsidP="009927B4">
      <w:pPr>
        <w:pStyle w:val="ListParagraph"/>
        <w:numPr>
          <w:ilvl w:val="0"/>
          <w:numId w:val="4"/>
        </w:numPr>
        <w:rPr>
          <w:szCs w:val="28"/>
        </w:rPr>
      </w:pPr>
      <w:r w:rsidRPr="00CF7561">
        <w:rPr>
          <w:szCs w:val="28"/>
        </w:rPr>
        <w:t>Some administrations support studies under the terms of Resolution 773 (WRC-19) to consider appropriate regulatory actions for the provision of satellite-to-satellite links in the FSS in the frequency bands 11.7-12.7 GHz, 18.1-18.6 GHz, 18.8-20.2 GHz, and 27.5-30 GHz</w:t>
      </w:r>
    </w:p>
    <w:p w14:paraId="176EAF4B" w14:textId="171AC191" w:rsidR="00CF7561" w:rsidRPr="00CF7561" w:rsidRDefault="00CF7561" w:rsidP="00F57C2E">
      <w:pPr>
        <w:ind w:firstLine="720"/>
        <w:rPr>
          <w:lang w:val="en-NZ"/>
        </w:rPr>
      </w:pPr>
      <w:r w:rsidRPr="00CF7561">
        <w:rPr>
          <w:lang w:val="en-NZ"/>
        </w:rPr>
        <w:t xml:space="preserve">Reference: </w:t>
      </w:r>
      <w:hyperlink r:id="rId17" w:history="1">
        <w:r w:rsidRPr="00CF7561">
          <w:rPr>
            <w:rStyle w:val="Hyperlink"/>
            <w:lang w:val="en-NZ"/>
          </w:rPr>
          <w:t>36 Meeting of PCC.II, 30 November to 4 December</w:t>
        </w:r>
      </w:hyperlink>
      <w:r w:rsidRPr="00CF7561">
        <w:rPr>
          <w:lang w:val="en-NZ"/>
        </w:rPr>
        <w:t xml:space="preserve">, 2020 </w:t>
      </w:r>
    </w:p>
    <w:p w14:paraId="17941286" w14:textId="77777777" w:rsidR="003F0193" w:rsidRDefault="003F0193" w:rsidP="002358F1">
      <w:pPr>
        <w:rPr>
          <w:lang w:val="en-NZ"/>
        </w:rPr>
      </w:pPr>
    </w:p>
    <w:p w14:paraId="7EAF2955" w14:textId="27029521" w:rsidR="00FD5FE1" w:rsidRDefault="00FD5FE1" w:rsidP="00174B8D">
      <w:pPr>
        <w:ind w:left="720"/>
        <w:rPr>
          <w:lang w:val="en-NZ"/>
        </w:rPr>
      </w:pPr>
    </w:p>
    <w:p w14:paraId="291FDCCB" w14:textId="46662E5D" w:rsidR="000642B0" w:rsidRDefault="000642B0" w:rsidP="00174B8D">
      <w:pPr>
        <w:ind w:left="720"/>
        <w:rPr>
          <w:lang w:val="en-NZ"/>
        </w:rPr>
      </w:pPr>
    </w:p>
    <w:p w14:paraId="590D7EB9" w14:textId="75C37059" w:rsidR="000642B0" w:rsidRDefault="000642B0" w:rsidP="00174B8D">
      <w:pPr>
        <w:ind w:left="720"/>
        <w:rPr>
          <w:lang w:val="en-NZ"/>
        </w:rPr>
      </w:pPr>
    </w:p>
    <w:p w14:paraId="65B9EACF" w14:textId="77777777" w:rsidR="000642B0" w:rsidRPr="00CF7561" w:rsidRDefault="000642B0" w:rsidP="00174B8D">
      <w:pPr>
        <w:ind w:left="720"/>
        <w:rPr>
          <w:lang w:val="en-NZ"/>
        </w:rPr>
      </w:pPr>
    </w:p>
    <w:p w14:paraId="50D93498" w14:textId="6D8F21E3" w:rsidR="00E92D3C" w:rsidRPr="000D0221" w:rsidRDefault="00C14DC6" w:rsidP="00F110CF">
      <w:pPr>
        <w:pStyle w:val="H3"/>
        <w:rPr>
          <w:rFonts w:ascii="Times New Roman" w:hAnsi="Times New Roman"/>
        </w:rPr>
      </w:pPr>
      <w:r w:rsidRPr="000D0221">
        <w:rPr>
          <w:rFonts w:ascii="Times New Roman" w:hAnsi="Times New Roman"/>
        </w:rPr>
        <w:lastRenderedPageBreak/>
        <w:t>3.5</w:t>
      </w:r>
      <w:r w:rsidRPr="000D0221">
        <w:rPr>
          <w:rFonts w:ascii="Times New Roman" w:hAnsi="Times New Roman"/>
        </w:rPr>
        <w:tab/>
      </w:r>
      <w:r w:rsidR="00E92D3C" w:rsidRPr="000D0221">
        <w:rPr>
          <w:rFonts w:ascii="Times New Roman" w:hAnsi="Times New Roman"/>
        </w:rPr>
        <w:t>RCC (as of September 2020)</w:t>
      </w:r>
    </w:p>
    <w:p w14:paraId="385A8F3B" w14:textId="77777777" w:rsidR="005B0CDB" w:rsidRPr="00FD5FE1" w:rsidRDefault="005B0CDB" w:rsidP="009927B4">
      <w:pPr>
        <w:pStyle w:val="ListParagraph"/>
        <w:numPr>
          <w:ilvl w:val="0"/>
          <w:numId w:val="4"/>
        </w:numPr>
        <w:rPr>
          <w:szCs w:val="28"/>
        </w:rPr>
      </w:pPr>
      <w:r w:rsidRPr="00FD5FE1">
        <w:rPr>
          <w:szCs w:val="28"/>
        </w:rPr>
        <w:t xml:space="preserve">The RCC Administrations consider that the use of inter-satellite links in the frequency bands 11.7-12.7 GHz, 18.1-18.6 GHz, 18.8-20.2 GHz, and 27.5-30 GHz may impose severe constraints on the use of the existing and future systems/networks of FSS, inter alia, over the national territories. </w:t>
      </w:r>
    </w:p>
    <w:p w14:paraId="05359418" w14:textId="77777777" w:rsidR="005B0CDB" w:rsidRPr="00FD5FE1" w:rsidRDefault="005B0CDB" w:rsidP="009927B4">
      <w:pPr>
        <w:pStyle w:val="ListParagraph"/>
        <w:numPr>
          <w:ilvl w:val="0"/>
          <w:numId w:val="4"/>
        </w:numPr>
        <w:rPr>
          <w:szCs w:val="28"/>
        </w:rPr>
      </w:pPr>
      <w:r w:rsidRPr="00FD5FE1">
        <w:rPr>
          <w:szCs w:val="28"/>
        </w:rPr>
        <w:t>The RCC Administrations support the studies of technical and operational characteristics, including spectrum requirements, off-axis e.i.r.p. values and out-of-band emission limits, for inter-satellite links in the frequency bands 11.7-12.7 GHz, 18.1-18.6 GHz, 18.8-20.2 GHz and 27.5-30 GHz.</w:t>
      </w:r>
    </w:p>
    <w:p w14:paraId="737EFF08" w14:textId="77777777" w:rsidR="005B0CDB" w:rsidRPr="00FD5FE1" w:rsidRDefault="005B0CDB" w:rsidP="009927B4">
      <w:pPr>
        <w:pStyle w:val="ListParagraph"/>
        <w:numPr>
          <w:ilvl w:val="0"/>
          <w:numId w:val="4"/>
        </w:numPr>
        <w:rPr>
          <w:szCs w:val="28"/>
        </w:rPr>
      </w:pPr>
      <w:r w:rsidRPr="00FD5FE1">
        <w:rPr>
          <w:szCs w:val="28"/>
        </w:rPr>
        <w:t>The RCC Administrations support the sharing and compatibility studies between inter-satellite links in the frequency bands 11.7-12.7 GHz, 18.1-18.6 GHz, 18.8-20.2 GHz and 27.5-30 GHz, and existing and future stations of the FSS and other existing services allocated in same frequency bands and adjacent bands, including passive services, with a view to ensuring protection of the primary services. The results of these ITU-R studies should be agreed by Member States by consensus.</w:t>
      </w:r>
    </w:p>
    <w:p w14:paraId="6A0ADD73" w14:textId="77777777" w:rsidR="005B0CDB" w:rsidRPr="00FD5FE1" w:rsidRDefault="005B0CDB" w:rsidP="009927B4">
      <w:pPr>
        <w:pStyle w:val="ListParagraph"/>
        <w:numPr>
          <w:ilvl w:val="0"/>
          <w:numId w:val="4"/>
        </w:numPr>
        <w:rPr>
          <w:szCs w:val="28"/>
        </w:rPr>
      </w:pPr>
      <w:r w:rsidRPr="00FD5FE1">
        <w:rPr>
          <w:szCs w:val="28"/>
        </w:rPr>
        <w:t>The RCC Administrations consider that technical conditions and regulatory provisions should be developed for different types of space stations for satellite-to-satellite operations in the frequency bands 11.7-12.7 GHz, 18.1-18.6 GHz, 18.8-20.2 GHz and 27.5-30 GHz, or portions thereof, including new ISS allocations, as appropriate, taking into account the results of the studies above.</w:t>
      </w:r>
    </w:p>
    <w:p w14:paraId="1A44BE04" w14:textId="607F730F" w:rsidR="005B0CDB" w:rsidRDefault="005B0CDB" w:rsidP="00FD5FE1">
      <w:pPr>
        <w:ind w:left="720"/>
        <w:rPr>
          <w:szCs w:val="28"/>
        </w:rPr>
      </w:pPr>
      <w:r w:rsidRPr="00FD5FE1">
        <w:rPr>
          <w:szCs w:val="28"/>
        </w:rPr>
        <w:t xml:space="preserve">Reference: </w:t>
      </w:r>
      <w:hyperlink r:id="rId18" w:history="1">
        <w:r w:rsidRPr="00FD5FE1">
          <w:rPr>
            <w:rStyle w:val="Hyperlink"/>
            <w:szCs w:val="28"/>
          </w:rPr>
          <w:t>Preliminary Position of the RCC Administrations on Agenda Items of the World Radiocommunication Conference 2023</w:t>
        </w:r>
      </w:hyperlink>
      <w:r w:rsidRPr="00FD5FE1">
        <w:rPr>
          <w:szCs w:val="28"/>
        </w:rPr>
        <w:t>, 4 September 2020</w:t>
      </w:r>
    </w:p>
    <w:p w14:paraId="0A785338" w14:textId="77777777" w:rsidR="007B5A38" w:rsidRPr="00FD5FE1" w:rsidRDefault="007B5A38" w:rsidP="00FD5FE1">
      <w:pPr>
        <w:ind w:left="720"/>
        <w:rPr>
          <w:szCs w:val="28"/>
        </w:rPr>
      </w:pPr>
    </w:p>
    <w:p w14:paraId="354D2D75" w14:textId="77777777" w:rsidR="00E92D3C" w:rsidRPr="00270876" w:rsidRDefault="00E92D3C" w:rsidP="003F0193">
      <w:pPr>
        <w:jc w:val="both"/>
        <w:rPr>
          <w:b/>
          <w:color w:val="0070C0"/>
          <w:lang w:eastAsia="ko-KR"/>
        </w:rPr>
      </w:pPr>
    </w:p>
    <w:p w14:paraId="38163E2C" w14:textId="4504C7B6" w:rsidR="00E92D3C" w:rsidRPr="000D0221" w:rsidRDefault="00C14DC6" w:rsidP="00234294">
      <w:pPr>
        <w:pStyle w:val="Heading2"/>
        <w:rPr>
          <w:rFonts w:ascii="Times New Roman" w:hAnsi="Times New Roman"/>
        </w:rPr>
      </w:pPr>
      <w:r w:rsidRPr="000D0221">
        <w:rPr>
          <w:rFonts w:ascii="Times New Roman" w:hAnsi="Times New Roman"/>
        </w:rPr>
        <w:t>4.</w:t>
      </w:r>
      <w:r w:rsidRPr="000D0221">
        <w:rPr>
          <w:rFonts w:ascii="Times New Roman" w:hAnsi="Times New Roman"/>
        </w:rPr>
        <w:tab/>
      </w:r>
      <w:r w:rsidR="00E92D3C" w:rsidRPr="000D0221">
        <w:rPr>
          <w:rFonts w:ascii="Times New Roman" w:hAnsi="Times New Roman"/>
        </w:rPr>
        <w:t>Position of International Organizations (if available)</w:t>
      </w:r>
    </w:p>
    <w:p w14:paraId="340C4E83" w14:textId="3C49B397" w:rsidR="00E92D3C" w:rsidRPr="000D0221" w:rsidRDefault="00E92D3C" w:rsidP="009927B4">
      <w:pPr>
        <w:pStyle w:val="H3"/>
        <w:numPr>
          <w:ilvl w:val="2"/>
          <w:numId w:val="5"/>
        </w:numPr>
        <w:rPr>
          <w:rFonts w:ascii="Times New Roman" w:hAnsi="Times New Roman"/>
        </w:rPr>
      </w:pPr>
      <w:r w:rsidRPr="000D0221">
        <w:rPr>
          <w:rFonts w:ascii="Times New Roman" w:hAnsi="Times New Roman"/>
        </w:rPr>
        <w:t>ICAO</w:t>
      </w:r>
      <w:r w:rsidR="001D6DE5">
        <w:rPr>
          <w:rFonts w:ascii="Times New Roman" w:hAnsi="Times New Roman"/>
        </w:rPr>
        <w:t xml:space="preserve"> (as of November</w:t>
      </w:r>
      <w:r w:rsidR="00021360">
        <w:rPr>
          <w:rFonts w:ascii="Times New Roman" w:hAnsi="Times New Roman"/>
        </w:rPr>
        <w:t xml:space="preserve"> 202</w:t>
      </w:r>
      <w:r w:rsidR="001D6DE5">
        <w:rPr>
          <w:rFonts w:ascii="Times New Roman" w:hAnsi="Times New Roman" w:cs="Angsana New"/>
          <w:szCs w:val="30"/>
          <w:lang w:val="en-US" w:bidi="th-TH"/>
        </w:rPr>
        <w:t>0</w:t>
      </w:r>
      <w:r w:rsidRPr="000D0221">
        <w:rPr>
          <w:rFonts w:ascii="Times New Roman" w:hAnsi="Times New Roman"/>
        </w:rPr>
        <w:t>)</w:t>
      </w:r>
    </w:p>
    <w:p w14:paraId="5D912132" w14:textId="218A97EC" w:rsidR="00021360" w:rsidRPr="00FD5FE1" w:rsidRDefault="001D6DE5" w:rsidP="009927B4">
      <w:pPr>
        <w:pStyle w:val="ListParagraph"/>
        <w:numPr>
          <w:ilvl w:val="0"/>
          <w:numId w:val="4"/>
        </w:numPr>
        <w:rPr>
          <w:szCs w:val="28"/>
        </w:rPr>
      </w:pPr>
      <w:r w:rsidRPr="00FD5FE1">
        <w:rPr>
          <w:szCs w:val="28"/>
        </w:rPr>
        <w:t>To ensure that any radio regulatory action taken as a result of this agenda item does not adversely affect the provision of UAS CNPC under Resolution 155 (Rev. WRC-19)</w:t>
      </w:r>
    </w:p>
    <w:p w14:paraId="1C880D1F" w14:textId="38D5F182" w:rsidR="00021360" w:rsidRPr="00FD5FE1" w:rsidRDefault="00021360" w:rsidP="00FD5FE1">
      <w:pPr>
        <w:pStyle w:val="ListParagraph"/>
        <w:numPr>
          <w:ilvl w:val="0"/>
          <w:numId w:val="0"/>
        </w:numPr>
        <w:ind w:left="1120" w:hanging="400"/>
        <w:rPr>
          <w:szCs w:val="28"/>
        </w:rPr>
      </w:pPr>
      <w:r w:rsidRPr="00FD5FE1">
        <w:rPr>
          <w:szCs w:val="28"/>
        </w:rPr>
        <w:t xml:space="preserve">Reference: </w:t>
      </w:r>
      <w:r w:rsidR="001D6DE5" w:rsidRPr="00FD5FE1">
        <w:rPr>
          <w:szCs w:val="28"/>
        </w:rPr>
        <w:t>Draft ICAO Position for ITU WRC-23</w:t>
      </w:r>
      <w:r w:rsidR="00E7028A" w:rsidRPr="00FD5FE1">
        <w:rPr>
          <w:szCs w:val="28"/>
        </w:rPr>
        <w:t xml:space="preserve"> </w:t>
      </w:r>
      <w:hyperlink r:id="rId19" w:history="1">
        <w:r w:rsidR="001D6DE5" w:rsidRPr="00FD5FE1">
          <w:rPr>
            <w:rStyle w:val="Hyperlink"/>
            <w:szCs w:val="28"/>
          </w:rPr>
          <w:t>(Document 5B/191-E)</w:t>
        </w:r>
      </w:hyperlink>
    </w:p>
    <w:p w14:paraId="433CA3DC" w14:textId="77777777" w:rsidR="00021360" w:rsidRPr="00021360" w:rsidRDefault="00021360" w:rsidP="00021360">
      <w:pPr>
        <w:pStyle w:val="ListParagraph"/>
        <w:widowControl w:val="0"/>
        <w:numPr>
          <w:ilvl w:val="0"/>
          <w:numId w:val="0"/>
        </w:numPr>
        <w:wordWrap w:val="0"/>
        <w:autoSpaceDE w:val="0"/>
        <w:autoSpaceDN w:val="0"/>
        <w:ind w:left="720"/>
        <w:jc w:val="both"/>
        <w:rPr>
          <w:rFonts w:cstheme="minorBidi"/>
          <w:szCs w:val="30"/>
          <w:cs/>
          <w:lang w:eastAsia="zh-CN" w:bidi="th-TH"/>
        </w:rPr>
      </w:pPr>
    </w:p>
    <w:p w14:paraId="4F75E0C6" w14:textId="67C38238" w:rsidR="00E92D3C" w:rsidRPr="000D0221" w:rsidRDefault="00C14DC6" w:rsidP="00F110CF">
      <w:pPr>
        <w:pStyle w:val="H3"/>
        <w:rPr>
          <w:rFonts w:ascii="Times New Roman" w:hAnsi="Times New Roman"/>
        </w:rPr>
      </w:pPr>
      <w:r w:rsidRPr="000D0221">
        <w:rPr>
          <w:rFonts w:ascii="Times New Roman" w:hAnsi="Times New Roman"/>
        </w:rPr>
        <w:t>4.2</w:t>
      </w:r>
      <w:r w:rsidRPr="000D0221">
        <w:rPr>
          <w:rFonts w:ascii="Times New Roman" w:hAnsi="Times New Roman"/>
        </w:rPr>
        <w:tab/>
      </w:r>
      <w:r w:rsidR="00E92D3C" w:rsidRPr="000D0221">
        <w:rPr>
          <w:rFonts w:ascii="Times New Roman" w:hAnsi="Times New Roman"/>
        </w:rPr>
        <w:t>IMO</w:t>
      </w:r>
    </w:p>
    <w:p w14:paraId="7457C893" w14:textId="77777777" w:rsidR="0059679F" w:rsidRPr="000D0221" w:rsidRDefault="0059679F" w:rsidP="009927B4">
      <w:pPr>
        <w:pStyle w:val="ListParagraph"/>
        <w:numPr>
          <w:ilvl w:val="0"/>
          <w:numId w:val="4"/>
        </w:numPr>
        <w:rPr>
          <w:lang w:val="en-NZ"/>
        </w:rPr>
      </w:pPr>
      <w:r w:rsidRPr="000D0221">
        <w:rPr>
          <w:rFonts w:eastAsia="Calibri"/>
        </w:rPr>
        <w:t>Not</w:t>
      </w:r>
      <w:r w:rsidRPr="000D0221">
        <w:rPr>
          <w:lang w:val="en-NZ"/>
        </w:rPr>
        <w:t xml:space="preserve"> </w:t>
      </w:r>
      <w:r w:rsidRPr="000D0221">
        <w:t>available</w:t>
      </w:r>
      <w:r w:rsidRPr="000D0221">
        <w:rPr>
          <w:lang w:val="en-NZ"/>
        </w:rPr>
        <w:t xml:space="preserve">. </w:t>
      </w:r>
    </w:p>
    <w:p w14:paraId="27E0C0F9" w14:textId="77777777" w:rsidR="0059679F" w:rsidRPr="000D0221" w:rsidRDefault="0059679F" w:rsidP="00174B8D">
      <w:pPr>
        <w:ind w:left="720"/>
      </w:pPr>
    </w:p>
    <w:p w14:paraId="545B7BD2" w14:textId="133C23BA" w:rsidR="00E92D3C" w:rsidRPr="000D0221" w:rsidRDefault="00C14DC6" w:rsidP="00F110CF">
      <w:pPr>
        <w:pStyle w:val="H3"/>
        <w:rPr>
          <w:rFonts w:ascii="Times New Roman" w:hAnsi="Times New Roman"/>
        </w:rPr>
      </w:pPr>
      <w:r w:rsidRPr="000D0221">
        <w:rPr>
          <w:rFonts w:ascii="Times New Roman" w:hAnsi="Times New Roman"/>
        </w:rPr>
        <w:t>4.3</w:t>
      </w:r>
      <w:r w:rsidRPr="000D0221">
        <w:rPr>
          <w:rFonts w:ascii="Times New Roman" w:hAnsi="Times New Roman"/>
        </w:rPr>
        <w:tab/>
      </w:r>
      <w:r w:rsidR="00E92D3C" w:rsidRPr="000D0221">
        <w:rPr>
          <w:rFonts w:ascii="Times New Roman" w:hAnsi="Times New Roman"/>
        </w:rPr>
        <w:t>WMO</w:t>
      </w:r>
      <w:r w:rsidR="00596B2F" w:rsidRPr="000D0221">
        <w:rPr>
          <w:rFonts w:ascii="Times New Roman" w:hAnsi="Times New Roman"/>
        </w:rPr>
        <w:t xml:space="preserve"> (2020)</w:t>
      </w:r>
    </w:p>
    <w:p w14:paraId="269DA892" w14:textId="6629E441" w:rsidR="0059679F" w:rsidRPr="000D0221" w:rsidRDefault="00596B2F" w:rsidP="009927B4">
      <w:pPr>
        <w:pStyle w:val="ListParagraph"/>
        <w:numPr>
          <w:ilvl w:val="0"/>
          <w:numId w:val="4"/>
        </w:numPr>
        <w:rPr>
          <w:lang w:val="en-NZ"/>
        </w:rPr>
      </w:pPr>
      <w:r w:rsidRPr="000D0221">
        <w:rPr>
          <w:rFonts w:eastAsia="Calibri"/>
        </w:rPr>
        <w:t>None.</w:t>
      </w:r>
    </w:p>
    <w:p w14:paraId="222F11B5" w14:textId="77777777" w:rsidR="00013C08" w:rsidRPr="000D0221" w:rsidRDefault="00013C08" w:rsidP="00174B8D">
      <w:pPr>
        <w:ind w:left="720"/>
        <w:rPr>
          <w:lang w:val="en-NZ"/>
        </w:rPr>
      </w:pPr>
    </w:p>
    <w:p w14:paraId="08146B5D" w14:textId="40B011A6" w:rsidR="0074260A" w:rsidRPr="001D6DE5" w:rsidRDefault="00C14DC6" w:rsidP="00F110CF">
      <w:pPr>
        <w:pStyle w:val="H3"/>
        <w:rPr>
          <w:rFonts w:ascii="Times New Roman" w:hAnsi="Times New Roman" w:cstheme="minorBidi"/>
          <w:szCs w:val="30"/>
          <w:cs/>
          <w:lang w:bidi="th-TH"/>
        </w:rPr>
      </w:pPr>
      <w:r w:rsidRPr="000D0221">
        <w:rPr>
          <w:rFonts w:ascii="Times New Roman" w:hAnsi="Times New Roman"/>
        </w:rPr>
        <w:t>4.4</w:t>
      </w:r>
      <w:r w:rsidRPr="000D0221">
        <w:rPr>
          <w:rFonts w:ascii="Times New Roman" w:hAnsi="Times New Roman"/>
        </w:rPr>
        <w:tab/>
      </w:r>
      <w:r w:rsidR="0074260A" w:rsidRPr="000D0221">
        <w:rPr>
          <w:rFonts w:ascii="Times New Roman" w:hAnsi="Times New Roman"/>
        </w:rPr>
        <w:t>IARU</w:t>
      </w:r>
    </w:p>
    <w:p w14:paraId="126770E2" w14:textId="77777777" w:rsidR="0074260A" w:rsidRPr="000D0221" w:rsidRDefault="0074260A" w:rsidP="009927B4">
      <w:pPr>
        <w:pStyle w:val="ListParagraph"/>
        <w:numPr>
          <w:ilvl w:val="0"/>
          <w:numId w:val="4"/>
        </w:numPr>
        <w:rPr>
          <w:lang w:val="en-NZ"/>
        </w:rPr>
      </w:pPr>
      <w:r w:rsidRPr="000D0221">
        <w:rPr>
          <w:rFonts w:eastAsia="Calibri"/>
        </w:rPr>
        <w:t>Not</w:t>
      </w:r>
      <w:r w:rsidRPr="000D0221">
        <w:rPr>
          <w:lang w:val="en-NZ"/>
        </w:rPr>
        <w:t xml:space="preserve"> available. </w:t>
      </w:r>
    </w:p>
    <w:p w14:paraId="1A3658B5" w14:textId="5F54D717" w:rsidR="002C7D37" w:rsidRPr="000D0221" w:rsidRDefault="002C7D37" w:rsidP="002C7D37">
      <w:pPr>
        <w:rPr>
          <w:lang w:val="en-NZ" w:eastAsia="ko-KR"/>
        </w:rPr>
      </w:pPr>
    </w:p>
    <w:p w14:paraId="7BBAEE20" w14:textId="17165F1C" w:rsidR="0074260A" w:rsidRPr="000D0221" w:rsidRDefault="0074260A" w:rsidP="0074260A">
      <w:pPr>
        <w:widowControl w:val="0"/>
        <w:autoSpaceDE w:val="0"/>
        <w:autoSpaceDN w:val="0"/>
        <w:ind w:left="360"/>
        <w:jc w:val="both"/>
        <w:rPr>
          <w:lang w:val="en-NZ"/>
        </w:rPr>
      </w:pPr>
    </w:p>
    <w:p w14:paraId="504B754F" w14:textId="79E0441E" w:rsidR="00AE0ADE" w:rsidRPr="000D0221" w:rsidRDefault="00AE0ADE" w:rsidP="0074260A">
      <w:pPr>
        <w:widowControl w:val="0"/>
        <w:autoSpaceDE w:val="0"/>
        <w:autoSpaceDN w:val="0"/>
        <w:ind w:left="360"/>
        <w:jc w:val="both"/>
        <w:rPr>
          <w:lang w:val="en-NZ"/>
        </w:rPr>
      </w:pPr>
    </w:p>
    <w:p w14:paraId="2BA22CBC" w14:textId="079AE943" w:rsidR="00AE0ADE" w:rsidRPr="000D0221" w:rsidRDefault="00AE0ADE" w:rsidP="0074260A">
      <w:pPr>
        <w:widowControl w:val="0"/>
        <w:autoSpaceDE w:val="0"/>
        <w:autoSpaceDN w:val="0"/>
        <w:ind w:left="360"/>
        <w:jc w:val="both"/>
        <w:rPr>
          <w:lang w:val="en-NZ"/>
        </w:rPr>
      </w:pPr>
    </w:p>
    <w:p w14:paraId="5CF37552" w14:textId="77615D9B" w:rsidR="00AE0ADE" w:rsidRPr="00270876" w:rsidRDefault="00AE0ADE" w:rsidP="00AE0ADE">
      <w:pPr>
        <w:widowControl w:val="0"/>
        <w:autoSpaceDE w:val="0"/>
        <w:autoSpaceDN w:val="0"/>
        <w:ind w:left="360"/>
        <w:jc w:val="center"/>
        <w:rPr>
          <w:color w:val="0070C0"/>
          <w:lang w:val="en-NZ"/>
        </w:rPr>
      </w:pPr>
      <w:r w:rsidRPr="000D0221">
        <w:rPr>
          <w:lang w:val="en-NZ"/>
        </w:rPr>
        <w:t>______________________</w:t>
      </w:r>
      <w:r w:rsidRPr="00270876">
        <w:rPr>
          <w:color w:val="0070C0"/>
          <w:lang w:val="en-NZ"/>
        </w:rPr>
        <w:t>_</w:t>
      </w:r>
    </w:p>
    <w:sectPr w:rsidR="00AE0ADE" w:rsidRPr="00270876" w:rsidSect="00FF72BB">
      <w:headerReference w:type="even" r:id="rId20"/>
      <w:headerReference w:type="default" r:id="rId21"/>
      <w:footerReference w:type="even" r:id="rId22"/>
      <w:footerReference w:type="default" r:id="rId23"/>
      <w:headerReference w:type="first" r:id="rId24"/>
      <w:footerReference w:type="first" r:id="rId2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8B81" w14:textId="77777777" w:rsidR="008D7E9C" w:rsidRDefault="008D7E9C">
      <w:r>
        <w:separator/>
      </w:r>
    </w:p>
    <w:p w14:paraId="7473987F" w14:textId="77777777" w:rsidR="008D7E9C" w:rsidRDefault="008D7E9C"/>
    <w:p w14:paraId="11AE28AA" w14:textId="77777777" w:rsidR="008D7E9C" w:rsidRDefault="008D7E9C" w:rsidP="007A47CA"/>
  </w:endnote>
  <w:endnote w:type="continuationSeparator" w:id="0">
    <w:p w14:paraId="7226769A" w14:textId="77777777" w:rsidR="008D7E9C" w:rsidRDefault="008D7E9C">
      <w:r>
        <w:continuationSeparator/>
      </w:r>
    </w:p>
    <w:p w14:paraId="48A0DF1E" w14:textId="77777777" w:rsidR="008D7E9C" w:rsidRDefault="008D7E9C"/>
    <w:p w14:paraId="5E9C4E66" w14:textId="77777777" w:rsidR="008D7E9C" w:rsidRDefault="008D7E9C" w:rsidP="007A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p w14:paraId="04F860E9" w14:textId="77777777" w:rsidR="007472D9" w:rsidRDefault="007472D9"/>
  <w:p w14:paraId="31FA4701" w14:textId="77777777" w:rsidR="007472D9" w:rsidRDefault="007472D9" w:rsidP="007A4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D363" w14:textId="492487A9" w:rsidR="007472D9" w:rsidRDefault="00640874" w:rsidP="00640874">
    <w:pPr>
      <w:pStyle w:val="Footer"/>
    </w:pPr>
    <w:r>
      <w:t>APG23-2/INF-31</w:t>
    </w:r>
    <w:r w:rsidR="000D6599">
      <w:t>(Rev.1)</w:t>
    </w:r>
    <w:r>
      <w:tab/>
    </w:r>
    <w:r>
      <w:tab/>
      <w:t xml:space="preserve">Page </w:t>
    </w:r>
    <w:r>
      <w:rPr>
        <w:b/>
        <w:bCs/>
      </w:rPr>
      <w:fldChar w:fldCharType="begin"/>
    </w:r>
    <w:r>
      <w:rPr>
        <w:b/>
        <w:bCs/>
      </w:rPr>
      <w:instrText xml:space="preserve"> PAGE  \* Arabic  \* MERGEFORMAT </w:instrText>
    </w:r>
    <w:r>
      <w:rPr>
        <w:b/>
        <w:bCs/>
      </w:rPr>
      <w:fldChar w:fldCharType="separate"/>
    </w:r>
    <w:r w:rsidR="001934FF">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934FF">
      <w:rPr>
        <w:b/>
        <w:bCs/>
        <w:noProof/>
      </w:rPr>
      <w:t>5</w:t>
    </w:r>
    <w:r>
      <w:rPr>
        <w:b/>
        <w:bCs/>
      </w:rPr>
      <w:fldChar w:fldCharType="end"/>
    </w:r>
  </w:p>
  <w:p w14:paraId="05BAC9A0" w14:textId="77777777" w:rsidR="007472D9" w:rsidRDefault="007472D9" w:rsidP="007A47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640874" w14:paraId="09F6504A" w14:textId="77777777" w:rsidTr="00BA1BA2">
      <w:trPr>
        <w:cantSplit/>
        <w:trHeight w:val="204"/>
        <w:jc w:val="center"/>
      </w:trPr>
      <w:tc>
        <w:tcPr>
          <w:tcW w:w="1152" w:type="dxa"/>
        </w:tcPr>
        <w:p w14:paraId="4F8FB92E" w14:textId="77777777" w:rsidR="00640874" w:rsidRDefault="00640874" w:rsidP="00640874">
          <w:pPr>
            <w:rPr>
              <w:b/>
              <w:bCs/>
            </w:rPr>
          </w:pPr>
          <w:r>
            <w:rPr>
              <w:b/>
              <w:bCs/>
            </w:rPr>
            <w:t>Contact:</w:t>
          </w:r>
        </w:p>
      </w:tc>
      <w:tc>
        <w:tcPr>
          <w:tcW w:w="5040" w:type="dxa"/>
        </w:tcPr>
        <w:p w14:paraId="57BFF1AD" w14:textId="77777777" w:rsidR="00640874" w:rsidRDefault="00640874" w:rsidP="00640874">
          <w:pPr>
            <w:pStyle w:val="Equation"/>
            <w:tabs>
              <w:tab w:val="clear" w:pos="794"/>
              <w:tab w:val="clear" w:pos="4820"/>
              <w:tab w:val="clear" w:pos="9639"/>
            </w:tabs>
            <w:spacing w:beforeLines="0"/>
            <w:rPr>
              <w:rFonts w:eastAsia="Batang"/>
            </w:rPr>
          </w:pPr>
          <w:r>
            <w:rPr>
              <w:rFonts w:eastAsia="Batang"/>
            </w:rPr>
            <w:t>Onanong Sa-nguantongalya</w:t>
          </w:r>
        </w:p>
        <w:p w14:paraId="79A75D20" w14:textId="77777777" w:rsidR="00640874" w:rsidRDefault="00640874" w:rsidP="00640874">
          <w:pPr>
            <w:pStyle w:val="Equation"/>
            <w:tabs>
              <w:tab w:val="clear" w:pos="794"/>
              <w:tab w:val="clear" w:pos="4820"/>
              <w:tab w:val="clear" w:pos="9639"/>
            </w:tabs>
            <w:spacing w:beforeLines="0"/>
            <w:rPr>
              <w:rFonts w:eastAsia="Batang"/>
            </w:rPr>
          </w:pPr>
          <w:r>
            <w:rPr>
              <w:rFonts w:eastAsia="Batang"/>
            </w:rPr>
            <w:t>Thaicom Plc., Thailand</w:t>
          </w:r>
        </w:p>
      </w:tc>
      <w:tc>
        <w:tcPr>
          <w:tcW w:w="3024" w:type="dxa"/>
        </w:tcPr>
        <w:p w14:paraId="24AC8851" w14:textId="77777777" w:rsidR="00640874" w:rsidRDefault="00640874" w:rsidP="00640874">
          <w:pPr>
            <w:rPr>
              <w:lang w:eastAsia="ja-JP"/>
            </w:rPr>
          </w:pPr>
          <w:r>
            <w:t>Email</w:t>
          </w:r>
          <w:r>
            <w:rPr>
              <w:rFonts w:hint="eastAsia"/>
            </w:rPr>
            <w:t>:</w:t>
          </w:r>
          <w:r>
            <w:t xml:space="preserve"> </w:t>
          </w:r>
          <w:hyperlink r:id="rId1" w:history="1">
            <w:r w:rsidRPr="000F31A3">
              <w:rPr>
                <w:rStyle w:val="Hyperlink"/>
              </w:rPr>
              <w:t>onanongp@thaicom.net</w:t>
            </w:r>
          </w:hyperlink>
          <w:r>
            <w:t xml:space="preserve"> </w:t>
          </w:r>
        </w:p>
      </w:tc>
    </w:tr>
  </w:tbl>
  <w:p w14:paraId="25B78C00" w14:textId="4647E7AD"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B5BB" w14:textId="77777777" w:rsidR="008D7E9C" w:rsidRDefault="008D7E9C">
      <w:r>
        <w:separator/>
      </w:r>
    </w:p>
    <w:p w14:paraId="426AB48E" w14:textId="77777777" w:rsidR="008D7E9C" w:rsidRDefault="008D7E9C"/>
    <w:p w14:paraId="129D7B8A" w14:textId="77777777" w:rsidR="008D7E9C" w:rsidRDefault="008D7E9C" w:rsidP="007A47CA"/>
  </w:footnote>
  <w:footnote w:type="continuationSeparator" w:id="0">
    <w:p w14:paraId="10082EE4" w14:textId="77777777" w:rsidR="008D7E9C" w:rsidRDefault="008D7E9C">
      <w:r>
        <w:continuationSeparator/>
      </w:r>
    </w:p>
    <w:p w14:paraId="24FBA3F7" w14:textId="77777777" w:rsidR="008D7E9C" w:rsidRDefault="008D7E9C"/>
    <w:p w14:paraId="64CE0AFA" w14:textId="77777777" w:rsidR="008D7E9C" w:rsidRDefault="008D7E9C" w:rsidP="007A4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7001" w14:textId="77777777" w:rsidR="000D6599" w:rsidRDefault="000D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p w14:paraId="1F510768" w14:textId="77777777" w:rsidR="007472D9" w:rsidRDefault="007472D9"/>
  <w:p w14:paraId="42EE4F94" w14:textId="77777777" w:rsidR="007472D9" w:rsidRDefault="007472D9" w:rsidP="007A47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8D9" w14:textId="77777777" w:rsidR="000D6599" w:rsidRDefault="000D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70862"/>
    <w:multiLevelType w:val="hybridMultilevel"/>
    <w:tmpl w:val="408ED182"/>
    <w:lvl w:ilvl="0" w:tplc="5BA0A5DE">
      <w:start w:val="1"/>
      <w:numFmt w:val="bullet"/>
      <w:pStyle w:val="ListParagraph"/>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FA8EE658">
      <w:start w:val="47"/>
      <w:numFmt w:val="bullet"/>
      <w:lvlText w:val="–"/>
      <w:lvlJc w:val="left"/>
      <w:pPr>
        <w:ind w:left="2160" w:hanging="360"/>
      </w:pPr>
      <w:rPr>
        <w:rFonts w:ascii="Times New Roman" w:eastAsia="SimSun" w:hAnsi="Times New Roman" w:cs="Times New Roman" w:hint="default"/>
      </w:rPr>
    </w:lvl>
    <w:lvl w:ilvl="3" w:tplc="DF041E34">
      <w:numFmt w:val="bullet"/>
      <w:lvlText w:val="–"/>
      <w:lvlJc w:val="left"/>
      <w:pPr>
        <w:ind w:left="2880" w:hanging="360"/>
      </w:pPr>
      <w:rPr>
        <w:rFonts w:ascii="Times New Roman" w:eastAsia="BatangChe"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B3C44"/>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01948"/>
    <w:multiLevelType w:val="hybridMultilevel"/>
    <w:tmpl w:val="38CAE8CA"/>
    <w:lvl w:ilvl="0" w:tplc="B0426F7E">
      <w:start w:val="1"/>
      <w:numFmt w:val="bullet"/>
      <w:lvlText w:val="-"/>
      <w:lvlJc w:val="left"/>
      <w:pPr>
        <w:ind w:left="1120" w:hanging="360"/>
      </w:pPr>
      <w:rPr>
        <w:rFonts w:ascii="Calibri" w:eastAsiaTheme="minorEastAsia" w:hAnsi="Calibri" w:cs="Calibri" w:hint="default"/>
      </w:rPr>
    </w:lvl>
    <w:lvl w:ilvl="1" w:tplc="04090005">
      <w:start w:val="1"/>
      <w:numFmt w:val="bullet"/>
      <w:lvlText w:val=""/>
      <w:lvlJc w:val="left"/>
      <w:pPr>
        <w:ind w:left="1560" w:hanging="400"/>
      </w:pPr>
      <w:rPr>
        <w:rFonts w:ascii="Wingdings" w:hAnsi="Wingdings" w:hint="default"/>
      </w:rPr>
    </w:lvl>
    <w:lvl w:ilvl="2" w:tplc="04090003">
      <w:start w:val="1"/>
      <w:numFmt w:val="bullet"/>
      <w:lvlText w:val="o"/>
      <w:lvlJc w:val="left"/>
      <w:pPr>
        <w:ind w:left="1960" w:hanging="400"/>
      </w:pPr>
      <w:rPr>
        <w:rFonts w:ascii="Courier New" w:hAnsi="Courier New" w:cs="Courier New"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3D0246BD"/>
    <w:multiLevelType w:val="multilevel"/>
    <w:tmpl w:val="25D49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0A9A"/>
    <w:rsid w:val="00013C08"/>
    <w:rsid w:val="0001546B"/>
    <w:rsid w:val="00021360"/>
    <w:rsid w:val="0002163B"/>
    <w:rsid w:val="00021E8D"/>
    <w:rsid w:val="00021FAB"/>
    <w:rsid w:val="000227B3"/>
    <w:rsid w:val="0003595B"/>
    <w:rsid w:val="00036385"/>
    <w:rsid w:val="00042A6B"/>
    <w:rsid w:val="00051427"/>
    <w:rsid w:val="00051E1E"/>
    <w:rsid w:val="00054C56"/>
    <w:rsid w:val="00060CD7"/>
    <w:rsid w:val="00063DF8"/>
    <w:rsid w:val="000642B0"/>
    <w:rsid w:val="000713CF"/>
    <w:rsid w:val="000748E2"/>
    <w:rsid w:val="00075C14"/>
    <w:rsid w:val="00094B87"/>
    <w:rsid w:val="00095902"/>
    <w:rsid w:val="000964D0"/>
    <w:rsid w:val="000A1F8C"/>
    <w:rsid w:val="000A363A"/>
    <w:rsid w:val="000A5418"/>
    <w:rsid w:val="000A754D"/>
    <w:rsid w:val="000B1E8C"/>
    <w:rsid w:val="000B4EB3"/>
    <w:rsid w:val="000B595C"/>
    <w:rsid w:val="000D0221"/>
    <w:rsid w:val="000D6599"/>
    <w:rsid w:val="000D7C75"/>
    <w:rsid w:val="000E2229"/>
    <w:rsid w:val="000F517C"/>
    <w:rsid w:val="000F5540"/>
    <w:rsid w:val="00100F2F"/>
    <w:rsid w:val="00106B56"/>
    <w:rsid w:val="00112B60"/>
    <w:rsid w:val="00115711"/>
    <w:rsid w:val="00122653"/>
    <w:rsid w:val="00124EAB"/>
    <w:rsid w:val="00125217"/>
    <w:rsid w:val="00130A94"/>
    <w:rsid w:val="00131FCA"/>
    <w:rsid w:val="00133947"/>
    <w:rsid w:val="00134CC7"/>
    <w:rsid w:val="00135C32"/>
    <w:rsid w:val="001433F1"/>
    <w:rsid w:val="001539DD"/>
    <w:rsid w:val="0016175C"/>
    <w:rsid w:val="00164353"/>
    <w:rsid w:val="00174B8D"/>
    <w:rsid w:val="00175BD2"/>
    <w:rsid w:val="0018114D"/>
    <w:rsid w:val="001832C2"/>
    <w:rsid w:val="001923E8"/>
    <w:rsid w:val="001934FF"/>
    <w:rsid w:val="00194C82"/>
    <w:rsid w:val="00196568"/>
    <w:rsid w:val="00197B92"/>
    <w:rsid w:val="001A2F16"/>
    <w:rsid w:val="001A34FF"/>
    <w:rsid w:val="001B0741"/>
    <w:rsid w:val="001B18C2"/>
    <w:rsid w:val="001C7B2B"/>
    <w:rsid w:val="001D5D7E"/>
    <w:rsid w:val="001D6DE5"/>
    <w:rsid w:val="001E1432"/>
    <w:rsid w:val="001F5947"/>
    <w:rsid w:val="002055E4"/>
    <w:rsid w:val="0021588B"/>
    <w:rsid w:val="0022001F"/>
    <w:rsid w:val="002216AC"/>
    <w:rsid w:val="002219FD"/>
    <w:rsid w:val="002235D6"/>
    <w:rsid w:val="002271F0"/>
    <w:rsid w:val="0023010A"/>
    <w:rsid w:val="00230738"/>
    <w:rsid w:val="00234294"/>
    <w:rsid w:val="00234735"/>
    <w:rsid w:val="002358F1"/>
    <w:rsid w:val="00241BCF"/>
    <w:rsid w:val="00254A1B"/>
    <w:rsid w:val="0026736F"/>
    <w:rsid w:val="00270876"/>
    <w:rsid w:val="002736D7"/>
    <w:rsid w:val="00275ED2"/>
    <w:rsid w:val="0028454D"/>
    <w:rsid w:val="00286912"/>
    <w:rsid w:val="00287A2A"/>
    <w:rsid w:val="00291C9E"/>
    <w:rsid w:val="002926D4"/>
    <w:rsid w:val="002B1EEF"/>
    <w:rsid w:val="002B375D"/>
    <w:rsid w:val="002C07DA"/>
    <w:rsid w:val="002C7D37"/>
    <w:rsid w:val="002C7EA9"/>
    <w:rsid w:val="002F0578"/>
    <w:rsid w:val="002F2F9A"/>
    <w:rsid w:val="00305A98"/>
    <w:rsid w:val="003131A3"/>
    <w:rsid w:val="00336A0D"/>
    <w:rsid w:val="00342F20"/>
    <w:rsid w:val="00343067"/>
    <w:rsid w:val="00350EC2"/>
    <w:rsid w:val="003540E0"/>
    <w:rsid w:val="003548C2"/>
    <w:rsid w:val="0037421D"/>
    <w:rsid w:val="00377647"/>
    <w:rsid w:val="003809C7"/>
    <w:rsid w:val="003829E0"/>
    <w:rsid w:val="003932D2"/>
    <w:rsid w:val="003A3AE3"/>
    <w:rsid w:val="003A6F36"/>
    <w:rsid w:val="003B03B2"/>
    <w:rsid w:val="003B6263"/>
    <w:rsid w:val="003B6428"/>
    <w:rsid w:val="003C64A7"/>
    <w:rsid w:val="003D25E1"/>
    <w:rsid w:val="003D3FDA"/>
    <w:rsid w:val="003D73B5"/>
    <w:rsid w:val="003E4F33"/>
    <w:rsid w:val="003F0193"/>
    <w:rsid w:val="003F6D48"/>
    <w:rsid w:val="003F7BBE"/>
    <w:rsid w:val="00403CE4"/>
    <w:rsid w:val="00412DE3"/>
    <w:rsid w:val="00420822"/>
    <w:rsid w:val="0042126E"/>
    <w:rsid w:val="00422D11"/>
    <w:rsid w:val="004323BB"/>
    <w:rsid w:val="00433925"/>
    <w:rsid w:val="004404C0"/>
    <w:rsid w:val="00440BEE"/>
    <w:rsid w:val="00444170"/>
    <w:rsid w:val="0045458F"/>
    <w:rsid w:val="00455FD4"/>
    <w:rsid w:val="004633B4"/>
    <w:rsid w:val="0046589F"/>
    <w:rsid w:val="00483317"/>
    <w:rsid w:val="004854EE"/>
    <w:rsid w:val="00490946"/>
    <w:rsid w:val="004A4DE4"/>
    <w:rsid w:val="004B3553"/>
    <w:rsid w:val="004D0D9B"/>
    <w:rsid w:val="004F733C"/>
    <w:rsid w:val="00512F9B"/>
    <w:rsid w:val="00515050"/>
    <w:rsid w:val="0051686D"/>
    <w:rsid w:val="005201CA"/>
    <w:rsid w:val="00521BF0"/>
    <w:rsid w:val="005235E2"/>
    <w:rsid w:val="005263C8"/>
    <w:rsid w:val="00530E8C"/>
    <w:rsid w:val="00542DF4"/>
    <w:rsid w:val="005442A4"/>
    <w:rsid w:val="00545933"/>
    <w:rsid w:val="0054610B"/>
    <w:rsid w:val="00550099"/>
    <w:rsid w:val="005549C9"/>
    <w:rsid w:val="00557544"/>
    <w:rsid w:val="005606F6"/>
    <w:rsid w:val="005614DC"/>
    <w:rsid w:val="00575CDC"/>
    <w:rsid w:val="00577C0A"/>
    <w:rsid w:val="00587875"/>
    <w:rsid w:val="0059679F"/>
    <w:rsid w:val="00596B2F"/>
    <w:rsid w:val="005A72BA"/>
    <w:rsid w:val="005B0CDB"/>
    <w:rsid w:val="005B1E77"/>
    <w:rsid w:val="005B1E95"/>
    <w:rsid w:val="005B244E"/>
    <w:rsid w:val="005C5EB6"/>
    <w:rsid w:val="005D3914"/>
    <w:rsid w:val="005D6B2F"/>
    <w:rsid w:val="005D7451"/>
    <w:rsid w:val="005E3896"/>
    <w:rsid w:val="005E6C90"/>
    <w:rsid w:val="005F0BDF"/>
    <w:rsid w:val="00607E2B"/>
    <w:rsid w:val="006139D6"/>
    <w:rsid w:val="00615999"/>
    <w:rsid w:val="00616C09"/>
    <w:rsid w:val="00623CE1"/>
    <w:rsid w:val="006272B0"/>
    <w:rsid w:val="0063062B"/>
    <w:rsid w:val="00636BAD"/>
    <w:rsid w:val="00640874"/>
    <w:rsid w:val="00651828"/>
    <w:rsid w:val="00656876"/>
    <w:rsid w:val="0066388B"/>
    <w:rsid w:val="00667229"/>
    <w:rsid w:val="00675C31"/>
    <w:rsid w:val="006769C2"/>
    <w:rsid w:val="00682BE5"/>
    <w:rsid w:val="00683879"/>
    <w:rsid w:val="006843DA"/>
    <w:rsid w:val="00690FED"/>
    <w:rsid w:val="006939A5"/>
    <w:rsid w:val="006A15A4"/>
    <w:rsid w:val="006B6778"/>
    <w:rsid w:val="006C02BF"/>
    <w:rsid w:val="006C2D39"/>
    <w:rsid w:val="006E12FC"/>
    <w:rsid w:val="006F375E"/>
    <w:rsid w:val="00705C2D"/>
    <w:rsid w:val="00705E61"/>
    <w:rsid w:val="00712451"/>
    <w:rsid w:val="00716FFC"/>
    <w:rsid w:val="00731041"/>
    <w:rsid w:val="00732F08"/>
    <w:rsid w:val="007350E2"/>
    <w:rsid w:val="0074190C"/>
    <w:rsid w:val="00742242"/>
    <w:rsid w:val="0074260A"/>
    <w:rsid w:val="007472D9"/>
    <w:rsid w:val="00762576"/>
    <w:rsid w:val="007711E7"/>
    <w:rsid w:val="00776CB2"/>
    <w:rsid w:val="00791060"/>
    <w:rsid w:val="007941F6"/>
    <w:rsid w:val="007A1BDE"/>
    <w:rsid w:val="007A3E29"/>
    <w:rsid w:val="007A47CA"/>
    <w:rsid w:val="007B3299"/>
    <w:rsid w:val="007B3720"/>
    <w:rsid w:val="007B3D18"/>
    <w:rsid w:val="007B5626"/>
    <w:rsid w:val="007B5A38"/>
    <w:rsid w:val="007B5E37"/>
    <w:rsid w:val="007D29E5"/>
    <w:rsid w:val="007D5C3F"/>
    <w:rsid w:val="007E1FDD"/>
    <w:rsid w:val="007E7497"/>
    <w:rsid w:val="007F08FF"/>
    <w:rsid w:val="007F1651"/>
    <w:rsid w:val="007F367C"/>
    <w:rsid w:val="00801354"/>
    <w:rsid w:val="00803C99"/>
    <w:rsid w:val="0080570B"/>
    <w:rsid w:val="00813B44"/>
    <w:rsid w:val="008148E1"/>
    <w:rsid w:val="00816F4E"/>
    <w:rsid w:val="0082468B"/>
    <w:rsid w:val="00831716"/>
    <w:rsid w:val="008319BF"/>
    <w:rsid w:val="008337EA"/>
    <w:rsid w:val="00834533"/>
    <w:rsid w:val="00850E1C"/>
    <w:rsid w:val="00855B65"/>
    <w:rsid w:val="008624ED"/>
    <w:rsid w:val="00870944"/>
    <w:rsid w:val="008824F1"/>
    <w:rsid w:val="008926F0"/>
    <w:rsid w:val="008950FB"/>
    <w:rsid w:val="00897849"/>
    <w:rsid w:val="008A423E"/>
    <w:rsid w:val="008A73CD"/>
    <w:rsid w:val="008D084B"/>
    <w:rsid w:val="008D0E09"/>
    <w:rsid w:val="008D7E9C"/>
    <w:rsid w:val="008E3821"/>
    <w:rsid w:val="008F2153"/>
    <w:rsid w:val="008F301D"/>
    <w:rsid w:val="009056A4"/>
    <w:rsid w:val="009148F3"/>
    <w:rsid w:val="00914EA1"/>
    <w:rsid w:val="009306C7"/>
    <w:rsid w:val="00953737"/>
    <w:rsid w:val="00957294"/>
    <w:rsid w:val="009601CF"/>
    <w:rsid w:val="00970F14"/>
    <w:rsid w:val="00972289"/>
    <w:rsid w:val="0097432A"/>
    <w:rsid w:val="0097693B"/>
    <w:rsid w:val="00992081"/>
    <w:rsid w:val="009927B4"/>
    <w:rsid w:val="00993355"/>
    <w:rsid w:val="009A35C6"/>
    <w:rsid w:val="009A46BF"/>
    <w:rsid w:val="009A4A6D"/>
    <w:rsid w:val="009A5BD6"/>
    <w:rsid w:val="009B49B9"/>
    <w:rsid w:val="009B74AC"/>
    <w:rsid w:val="009C0B35"/>
    <w:rsid w:val="009C361C"/>
    <w:rsid w:val="009C5A3D"/>
    <w:rsid w:val="009D4844"/>
    <w:rsid w:val="009E1925"/>
    <w:rsid w:val="00A0503B"/>
    <w:rsid w:val="00A13265"/>
    <w:rsid w:val="00A13AE8"/>
    <w:rsid w:val="00A145C8"/>
    <w:rsid w:val="00A1510C"/>
    <w:rsid w:val="00A160B3"/>
    <w:rsid w:val="00A20980"/>
    <w:rsid w:val="00A31185"/>
    <w:rsid w:val="00A50943"/>
    <w:rsid w:val="00A51B59"/>
    <w:rsid w:val="00A61885"/>
    <w:rsid w:val="00A71136"/>
    <w:rsid w:val="00A77EA6"/>
    <w:rsid w:val="00A86CB7"/>
    <w:rsid w:val="00A9049F"/>
    <w:rsid w:val="00AA14BF"/>
    <w:rsid w:val="00AA2D8E"/>
    <w:rsid w:val="00AA474C"/>
    <w:rsid w:val="00AB0EAD"/>
    <w:rsid w:val="00AB1EA6"/>
    <w:rsid w:val="00AB2572"/>
    <w:rsid w:val="00AC19BB"/>
    <w:rsid w:val="00AC49EE"/>
    <w:rsid w:val="00AD7E5F"/>
    <w:rsid w:val="00AE0ADE"/>
    <w:rsid w:val="00AF6E67"/>
    <w:rsid w:val="00B01AA1"/>
    <w:rsid w:val="00B0639C"/>
    <w:rsid w:val="00B14222"/>
    <w:rsid w:val="00B14F66"/>
    <w:rsid w:val="00B24089"/>
    <w:rsid w:val="00B30C81"/>
    <w:rsid w:val="00B34275"/>
    <w:rsid w:val="00B3474C"/>
    <w:rsid w:val="00B36E5E"/>
    <w:rsid w:val="00B4793B"/>
    <w:rsid w:val="00B50237"/>
    <w:rsid w:val="00B54758"/>
    <w:rsid w:val="00B60D50"/>
    <w:rsid w:val="00B66740"/>
    <w:rsid w:val="00B676EF"/>
    <w:rsid w:val="00B77FA2"/>
    <w:rsid w:val="00B806B1"/>
    <w:rsid w:val="00B9055B"/>
    <w:rsid w:val="00B95D84"/>
    <w:rsid w:val="00B97AC9"/>
    <w:rsid w:val="00BB7E96"/>
    <w:rsid w:val="00BC7506"/>
    <w:rsid w:val="00BD6D81"/>
    <w:rsid w:val="00BF2A27"/>
    <w:rsid w:val="00C10749"/>
    <w:rsid w:val="00C140A6"/>
    <w:rsid w:val="00C14DC6"/>
    <w:rsid w:val="00C15633"/>
    <w:rsid w:val="00C15799"/>
    <w:rsid w:val="00C20F4D"/>
    <w:rsid w:val="00C256E8"/>
    <w:rsid w:val="00C26745"/>
    <w:rsid w:val="00C357AD"/>
    <w:rsid w:val="00C3644A"/>
    <w:rsid w:val="00C6069C"/>
    <w:rsid w:val="00C61625"/>
    <w:rsid w:val="00C73F61"/>
    <w:rsid w:val="00C75805"/>
    <w:rsid w:val="00C85119"/>
    <w:rsid w:val="00CA47D3"/>
    <w:rsid w:val="00CC56C6"/>
    <w:rsid w:val="00CD517F"/>
    <w:rsid w:val="00CD5431"/>
    <w:rsid w:val="00CE19F0"/>
    <w:rsid w:val="00CE6DD9"/>
    <w:rsid w:val="00CF243D"/>
    <w:rsid w:val="00CF2491"/>
    <w:rsid w:val="00CF2CBA"/>
    <w:rsid w:val="00CF3030"/>
    <w:rsid w:val="00CF5DDC"/>
    <w:rsid w:val="00CF7561"/>
    <w:rsid w:val="00D02429"/>
    <w:rsid w:val="00D06742"/>
    <w:rsid w:val="00D1252E"/>
    <w:rsid w:val="00D12C0F"/>
    <w:rsid w:val="00D12CE1"/>
    <w:rsid w:val="00D2444D"/>
    <w:rsid w:val="00D31452"/>
    <w:rsid w:val="00D34CE9"/>
    <w:rsid w:val="00D423DE"/>
    <w:rsid w:val="00D500B1"/>
    <w:rsid w:val="00D50E84"/>
    <w:rsid w:val="00D5307B"/>
    <w:rsid w:val="00D57772"/>
    <w:rsid w:val="00D64C2B"/>
    <w:rsid w:val="00D651AB"/>
    <w:rsid w:val="00D72AE3"/>
    <w:rsid w:val="00D75A4D"/>
    <w:rsid w:val="00D8478B"/>
    <w:rsid w:val="00D84CEE"/>
    <w:rsid w:val="00D86151"/>
    <w:rsid w:val="00D91215"/>
    <w:rsid w:val="00DA3CC4"/>
    <w:rsid w:val="00DA6571"/>
    <w:rsid w:val="00DA7595"/>
    <w:rsid w:val="00DB0A68"/>
    <w:rsid w:val="00DB13B0"/>
    <w:rsid w:val="00DB28C8"/>
    <w:rsid w:val="00DB4A1C"/>
    <w:rsid w:val="00DB4C0F"/>
    <w:rsid w:val="00DC43A3"/>
    <w:rsid w:val="00DC7ABB"/>
    <w:rsid w:val="00DD7C09"/>
    <w:rsid w:val="00DE54CF"/>
    <w:rsid w:val="00DF669F"/>
    <w:rsid w:val="00DF791C"/>
    <w:rsid w:val="00DF7FFA"/>
    <w:rsid w:val="00E0124F"/>
    <w:rsid w:val="00E02E0D"/>
    <w:rsid w:val="00E06286"/>
    <w:rsid w:val="00E078D0"/>
    <w:rsid w:val="00E1718F"/>
    <w:rsid w:val="00E17376"/>
    <w:rsid w:val="00E21682"/>
    <w:rsid w:val="00E238D6"/>
    <w:rsid w:val="00E23D98"/>
    <w:rsid w:val="00E27D47"/>
    <w:rsid w:val="00E37AB2"/>
    <w:rsid w:val="00E403B9"/>
    <w:rsid w:val="00E41BE2"/>
    <w:rsid w:val="00E5341E"/>
    <w:rsid w:val="00E545D9"/>
    <w:rsid w:val="00E65FC2"/>
    <w:rsid w:val="00E674D3"/>
    <w:rsid w:val="00E7028A"/>
    <w:rsid w:val="00E70FD0"/>
    <w:rsid w:val="00E80263"/>
    <w:rsid w:val="00E916FF"/>
    <w:rsid w:val="00E92D3C"/>
    <w:rsid w:val="00E931A1"/>
    <w:rsid w:val="00EA0BBD"/>
    <w:rsid w:val="00EA2574"/>
    <w:rsid w:val="00EA7027"/>
    <w:rsid w:val="00EB07F2"/>
    <w:rsid w:val="00EB2081"/>
    <w:rsid w:val="00EC249E"/>
    <w:rsid w:val="00EC4897"/>
    <w:rsid w:val="00ED310E"/>
    <w:rsid w:val="00EE3496"/>
    <w:rsid w:val="00EF2406"/>
    <w:rsid w:val="00F00257"/>
    <w:rsid w:val="00F110CF"/>
    <w:rsid w:val="00F27A79"/>
    <w:rsid w:val="00F5332C"/>
    <w:rsid w:val="00F55E0A"/>
    <w:rsid w:val="00F57C2E"/>
    <w:rsid w:val="00F626B7"/>
    <w:rsid w:val="00F650EB"/>
    <w:rsid w:val="00F84067"/>
    <w:rsid w:val="00F871F5"/>
    <w:rsid w:val="00F9193D"/>
    <w:rsid w:val="00FC156A"/>
    <w:rsid w:val="00FC7A38"/>
    <w:rsid w:val="00FD5FE1"/>
    <w:rsid w:val="00FD67DC"/>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ListParagraph"/>
    <w:next w:val="Normal"/>
    <w:qFormat/>
    <w:rsid w:val="009A35C6"/>
    <w:pPr>
      <w:numPr>
        <w:numId w:val="0"/>
      </w:numPr>
      <w:spacing w:before="480" w:after="120"/>
      <w:outlineLvl w:val="0"/>
    </w:pPr>
    <w:rPr>
      <w:rFonts w:ascii="Times New Roman Bold" w:hAnsi="Times New Roman Bold"/>
      <w:b/>
      <w:bCs/>
      <w:lang w:val="en-NZ" w:eastAsia="ko-KR"/>
    </w:rPr>
  </w:style>
  <w:style w:type="paragraph" w:styleId="Heading2">
    <w:name w:val="heading 2"/>
    <w:basedOn w:val="Heading1"/>
    <w:next w:val="Normal"/>
    <w:link w:val="Heading2Char"/>
    <w:unhideWhenUsed/>
    <w:qFormat/>
    <w:rsid w:val="009A35C6"/>
    <w:pPr>
      <w:spacing w:before="0"/>
      <w:outlineLvl w:val="1"/>
    </w:pPr>
  </w:style>
  <w:style w:type="paragraph" w:styleId="Heading3">
    <w:name w:val="heading 3"/>
    <w:basedOn w:val="Normal"/>
    <w:next w:val="Normal"/>
    <w:link w:val="Heading3Char"/>
    <w:semiHidden/>
    <w:unhideWhenUsed/>
    <w:qFormat/>
    <w:rsid w:val="00112B60"/>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74B8D"/>
    <w:pPr>
      <w:numPr>
        <w:numId w:val="1"/>
      </w:numPr>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174B8D"/>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customStyle="1" w:styleId="fontstyle01">
    <w:name w:val="fontstyle01"/>
    <w:basedOn w:val="DefaultParagraphFont"/>
    <w:rsid w:val="00AB1EA6"/>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AB1EA6"/>
    <w:rPr>
      <w:rFonts w:ascii="Calibri-Bold" w:hAnsi="Calibri-Bold" w:hint="default"/>
      <w:b/>
      <w:bCs/>
      <w:i w:val="0"/>
      <w:iCs w:val="0"/>
      <w:color w:val="000000"/>
      <w:sz w:val="20"/>
      <w:szCs w:val="20"/>
    </w:rPr>
  </w:style>
  <w:style w:type="character" w:customStyle="1" w:styleId="Heading2Char">
    <w:name w:val="Heading 2 Char"/>
    <w:basedOn w:val="DefaultParagraphFont"/>
    <w:link w:val="Heading2"/>
    <w:rsid w:val="009A35C6"/>
    <w:rPr>
      <w:rFonts w:ascii="Times New Roman Bold" w:eastAsia="BatangChe" w:hAnsi="Times New Roman Bold"/>
      <w:b/>
      <w:bCs/>
      <w:sz w:val="24"/>
      <w:szCs w:val="24"/>
      <w:lang w:val="en-NZ" w:eastAsia="ko-KR"/>
    </w:rPr>
  </w:style>
  <w:style w:type="paragraph" w:styleId="Title">
    <w:name w:val="Title"/>
    <w:basedOn w:val="Normal"/>
    <w:next w:val="Normal"/>
    <w:link w:val="TitleChar"/>
    <w:qFormat/>
    <w:rsid w:val="00E238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8D6"/>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EC4897"/>
    <w:rPr>
      <w:rFonts w:eastAsia="BatangChe"/>
      <w:sz w:val="24"/>
      <w:szCs w:val="24"/>
    </w:rPr>
  </w:style>
  <w:style w:type="paragraph" w:customStyle="1" w:styleId="Normalaftertitle">
    <w:name w:val="Normal_after_title"/>
    <w:basedOn w:val="Normal"/>
    <w:next w:val="Normal"/>
    <w:rsid w:val="00CF243D"/>
    <w:pPr>
      <w:tabs>
        <w:tab w:val="left" w:pos="1134"/>
        <w:tab w:val="left" w:pos="1871"/>
        <w:tab w:val="left" w:pos="2268"/>
      </w:tabs>
      <w:overflowPunct w:val="0"/>
      <w:autoSpaceDE w:val="0"/>
      <w:autoSpaceDN w:val="0"/>
      <w:adjustRightInd w:val="0"/>
      <w:spacing w:before="360"/>
    </w:pPr>
    <w:rPr>
      <w:rFonts w:eastAsia="Times New Roman"/>
      <w:szCs w:val="20"/>
      <w:lang w:val="en-GB"/>
    </w:rPr>
  </w:style>
  <w:style w:type="paragraph" w:customStyle="1" w:styleId="EditorsNote">
    <w:name w:val="EditorsNote"/>
    <w:basedOn w:val="Normal"/>
    <w:rsid w:val="00100F2F"/>
    <w:pPr>
      <w:tabs>
        <w:tab w:val="left" w:pos="1134"/>
        <w:tab w:val="left" w:pos="1871"/>
        <w:tab w:val="left" w:pos="2268"/>
      </w:tabs>
      <w:overflowPunct w:val="0"/>
      <w:autoSpaceDE w:val="0"/>
      <w:autoSpaceDN w:val="0"/>
      <w:adjustRightInd w:val="0"/>
      <w:spacing w:before="240" w:after="240"/>
    </w:pPr>
    <w:rPr>
      <w:rFonts w:eastAsia="Times New Roman"/>
      <w:i/>
      <w:iCs/>
      <w:szCs w:val="20"/>
      <w:lang w:val="en-GB"/>
    </w:rPr>
  </w:style>
  <w:style w:type="paragraph" w:customStyle="1" w:styleId="Annextitle">
    <w:name w:val="Annex_title"/>
    <w:basedOn w:val="Normal"/>
    <w:next w:val="Normal"/>
    <w:rsid w:val="00550099"/>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Reasons">
    <w:name w:val="Reasons"/>
    <w:basedOn w:val="Normal"/>
    <w:rsid w:val="008926F0"/>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NoSpacing">
    <w:name w:val="No Spacing"/>
    <w:uiPriority w:val="1"/>
    <w:qFormat/>
    <w:rsid w:val="00EA2574"/>
    <w:rPr>
      <w:rFonts w:eastAsia="BatangChe"/>
      <w:sz w:val="24"/>
      <w:szCs w:val="24"/>
    </w:rPr>
  </w:style>
  <w:style w:type="paragraph" w:customStyle="1" w:styleId="H3">
    <w:name w:val="H3"/>
    <w:basedOn w:val="Heading1"/>
    <w:link w:val="H3Char"/>
    <w:qFormat/>
    <w:rsid w:val="00F110CF"/>
    <w:pPr>
      <w:spacing w:before="0"/>
      <w:outlineLvl w:val="2"/>
    </w:pPr>
  </w:style>
  <w:style w:type="paragraph" w:customStyle="1" w:styleId="enumlev2">
    <w:name w:val="enumlev2"/>
    <w:basedOn w:val="enumlev1"/>
    <w:rsid w:val="0097432A"/>
    <w:pPr>
      <w:ind w:left="1871" w:hanging="737"/>
    </w:pPr>
    <w:rPr>
      <w:rFonts w:eastAsia="Times New Roman"/>
    </w:rPr>
  </w:style>
  <w:style w:type="character" w:customStyle="1" w:styleId="Heading3Char">
    <w:name w:val="Heading 3 Char"/>
    <w:basedOn w:val="DefaultParagraphFont"/>
    <w:link w:val="Heading3"/>
    <w:semiHidden/>
    <w:rsid w:val="00112B60"/>
    <w:rPr>
      <w:rFonts w:asciiTheme="majorHAnsi" w:eastAsiaTheme="majorEastAsia" w:hAnsiTheme="majorHAnsi" w:cstheme="majorBidi"/>
      <w:color w:val="243F60" w:themeColor="accent1" w:themeShade="7F"/>
      <w:sz w:val="24"/>
      <w:szCs w:val="24"/>
    </w:rPr>
  </w:style>
  <w:style w:type="character" w:customStyle="1" w:styleId="H3Char">
    <w:name w:val="H3 Char"/>
    <w:basedOn w:val="Heading3Char"/>
    <w:link w:val="H3"/>
    <w:rsid w:val="00F110CF"/>
    <w:rPr>
      <w:rFonts w:ascii="Times New Roman Bold" w:eastAsia="BatangChe" w:hAnsi="Times New Roman Bold" w:cstheme="majorBidi"/>
      <w:b/>
      <w:bCs/>
      <w:color w:val="243F60" w:themeColor="accent1" w:themeShade="7F"/>
      <w:sz w:val="24"/>
      <w:szCs w:val="24"/>
      <w:lang w:val="en-NZ" w:eastAsia="ko-KR"/>
    </w:rPr>
  </w:style>
  <w:style w:type="paragraph" w:customStyle="1" w:styleId="ECCBulletsLv1">
    <w:name w:val="ECC Bullets Lv1"/>
    <w:basedOn w:val="Normal"/>
    <w:qFormat/>
    <w:rsid w:val="00234294"/>
    <w:pPr>
      <w:numPr>
        <w:numId w:val="2"/>
      </w:numPr>
      <w:tabs>
        <w:tab w:val="left" w:pos="340"/>
      </w:tabs>
      <w:spacing w:before="60"/>
      <w:jc w:val="both"/>
    </w:pPr>
    <w:rPr>
      <w:rFonts w:ascii="Arial" w:eastAsia="Calibri" w:hAnsi="Arial"/>
      <w:sz w:val="20"/>
      <w:szCs w:val="22"/>
      <w:lang w:val="en-GB"/>
    </w:rPr>
  </w:style>
  <w:style w:type="character" w:customStyle="1" w:styleId="ECCHLyellow">
    <w:name w:val="ECC HL yellow"/>
    <w:basedOn w:val="DefaultParagraphFont"/>
    <w:uiPriority w:val="1"/>
    <w:qFormat/>
    <w:rsid w:val="00234294"/>
    <w:rPr>
      <w:rFonts w:eastAsia="Calibri"/>
      <w:i w:val="0"/>
      <w:szCs w:val="22"/>
      <w:bdr w:val="none" w:sz="0" w:space="0" w:color="auto"/>
      <w:shd w:val="solid" w:color="FFFF00" w:fill="auto"/>
      <w:lang w:val="en-GB"/>
    </w:rPr>
  </w:style>
  <w:style w:type="character" w:styleId="Emphasis">
    <w:name w:val="Emphasis"/>
    <w:aliases w:val="ECC HL italics"/>
    <w:uiPriority w:val="1"/>
    <w:qFormat/>
    <w:rsid w:val="00234294"/>
    <w:rPr>
      <w:i/>
    </w:rPr>
  </w:style>
  <w:style w:type="character" w:customStyle="1" w:styleId="cf01">
    <w:name w:val="cf01"/>
    <w:basedOn w:val="DefaultParagraphFont"/>
    <w:rsid w:val="000227B3"/>
    <w:rPr>
      <w:rFonts w:ascii="Segoe UI" w:hAnsi="Segoe UI" w:cs="Segoe UI" w:hint="default"/>
      <w:b/>
      <w:bCs/>
      <w:color w:val="262626"/>
      <w:sz w:val="28"/>
      <w:szCs w:val="28"/>
    </w:rPr>
  </w:style>
  <w:style w:type="character" w:customStyle="1" w:styleId="FooterChar">
    <w:name w:val="Footer Char"/>
    <w:basedOn w:val="DefaultParagraphFont"/>
    <w:link w:val="Footer"/>
    <w:rsid w:val="00742242"/>
    <w:rPr>
      <w:rFonts w:eastAsia="BatangChe"/>
      <w:sz w:val="24"/>
      <w:szCs w:val="24"/>
    </w:rPr>
  </w:style>
  <w:style w:type="paragraph" w:customStyle="1" w:styleId="ApptoAnnex">
    <w:name w:val="App_to_Annex"/>
    <w:basedOn w:val="Normal"/>
    <w:next w:val="Normal"/>
    <w:qFormat/>
    <w:rsid w:val="00DA657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character" w:styleId="FollowedHyperlink">
    <w:name w:val="FollowedHyperlink"/>
    <w:basedOn w:val="DefaultParagraphFont"/>
    <w:semiHidden/>
    <w:unhideWhenUsed/>
    <w:rsid w:val="00E931A1"/>
    <w:rPr>
      <w:color w:val="800080" w:themeColor="followedHyperlink"/>
      <w:u w:val="single"/>
    </w:rPr>
  </w:style>
  <w:style w:type="character" w:customStyle="1" w:styleId="UnresolvedMention2">
    <w:name w:val="Unresolved Mention2"/>
    <w:basedOn w:val="DefaultParagraphFont"/>
    <w:uiPriority w:val="99"/>
    <w:semiHidden/>
    <w:unhideWhenUsed/>
    <w:rsid w:val="0064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116">
      <w:bodyDiv w:val="1"/>
      <w:marLeft w:val="0"/>
      <w:marRight w:val="0"/>
      <w:marTop w:val="0"/>
      <w:marBottom w:val="0"/>
      <w:divBdr>
        <w:top w:val="none" w:sz="0" w:space="0" w:color="auto"/>
        <w:left w:val="none" w:sz="0" w:space="0" w:color="auto"/>
        <w:bottom w:val="none" w:sz="0" w:space="0" w:color="auto"/>
        <w:right w:val="none" w:sz="0" w:space="0" w:color="auto"/>
      </w:divBdr>
    </w:div>
    <w:div w:id="199784566">
      <w:bodyDiv w:val="1"/>
      <w:marLeft w:val="0"/>
      <w:marRight w:val="0"/>
      <w:marTop w:val="0"/>
      <w:marBottom w:val="0"/>
      <w:divBdr>
        <w:top w:val="none" w:sz="0" w:space="0" w:color="auto"/>
        <w:left w:val="none" w:sz="0" w:space="0" w:color="auto"/>
        <w:bottom w:val="none" w:sz="0" w:space="0" w:color="auto"/>
        <w:right w:val="none" w:sz="0" w:space="0" w:color="auto"/>
      </w:divBdr>
    </w:div>
    <w:div w:id="330301824">
      <w:bodyDiv w:val="1"/>
      <w:marLeft w:val="0"/>
      <w:marRight w:val="0"/>
      <w:marTop w:val="0"/>
      <w:marBottom w:val="0"/>
      <w:divBdr>
        <w:top w:val="none" w:sz="0" w:space="0" w:color="auto"/>
        <w:left w:val="none" w:sz="0" w:space="0" w:color="auto"/>
        <w:bottom w:val="none" w:sz="0" w:space="0" w:color="auto"/>
        <w:right w:val="none" w:sz="0" w:space="0" w:color="auto"/>
      </w:divBdr>
    </w:div>
    <w:div w:id="485975366">
      <w:bodyDiv w:val="1"/>
      <w:marLeft w:val="0"/>
      <w:marRight w:val="0"/>
      <w:marTop w:val="0"/>
      <w:marBottom w:val="0"/>
      <w:divBdr>
        <w:top w:val="none" w:sz="0" w:space="0" w:color="auto"/>
        <w:left w:val="none" w:sz="0" w:space="0" w:color="auto"/>
        <w:bottom w:val="none" w:sz="0" w:space="0" w:color="auto"/>
        <w:right w:val="none" w:sz="0" w:space="0" w:color="auto"/>
      </w:divBdr>
    </w:div>
    <w:div w:id="500660911">
      <w:bodyDiv w:val="1"/>
      <w:marLeft w:val="0"/>
      <w:marRight w:val="0"/>
      <w:marTop w:val="0"/>
      <w:marBottom w:val="0"/>
      <w:divBdr>
        <w:top w:val="none" w:sz="0" w:space="0" w:color="auto"/>
        <w:left w:val="none" w:sz="0" w:space="0" w:color="auto"/>
        <w:bottom w:val="none" w:sz="0" w:space="0" w:color="auto"/>
        <w:right w:val="none" w:sz="0" w:space="0" w:color="auto"/>
      </w:divBdr>
    </w:div>
    <w:div w:id="505944564">
      <w:bodyDiv w:val="1"/>
      <w:marLeft w:val="0"/>
      <w:marRight w:val="0"/>
      <w:marTop w:val="0"/>
      <w:marBottom w:val="0"/>
      <w:divBdr>
        <w:top w:val="none" w:sz="0" w:space="0" w:color="auto"/>
        <w:left w:val="none" w:sz="0" w:space="0" w:color="auto"/>
        <w:bottom w:val="none" w:sz="0" w:space="0" w:color="auto"/>
        <w:right w:val="none" w:sz="0" w:space="0" w:color="auto"/>
      </w:divBdr>
    </w:div>
    <w:div w:id="960304238">
      <w:bodyDiv w:val="1"/>
      <w:marLeft w:val="0"/>
      <w:marRight w:val="0"/>
      <w:marTop w:val="0"/>
      <w:marBottom w:val="0"/>
      <w:divBdr>
        <w:top w:val="none" w:sz="0" w:space="0" w:color="auto"/>
        <w:left w:val="none" w:sz="0" w:space="0" w:color="auto"/>
        <w:bottom w:val="none" w:sz="0" w:space="0" w:color="auto"/>
        <w:right w:val="none" w:sz="0" w:space="0" w:color="auto"/>
      </w:divBdr>
    </w:div>
    <w:div w:id="1003509057">
      <w:bodyDiv w:val="1"/>
      <w:marLeft w:val="0"/>
      <w:marRight w:val="0"/>
      <w:marTop w:val="0"/>
      <w:marBottom w:val="0"/>
      <w:divBdr>
        <w:top w:val="none" w:sz="0" w:space="0" w:color="auto"/>
        <w:left w:val="none" w:sz="0" w:space="0" w:color="auto"/>
        <w:bottom w:val="none" w:sz="0" w:space="0" w:color="auto"/>
        <w:right w:val="none" w:sz="0" w:space="0" w:color="auto"/>
      </w:divBdr>
    </w:div>
    <w:div w:id="1064108677">
      <w:bodyDiv w:val="1"/>
      <w:marLeft w:val="0"/>
      <w:marRight w:val="0"/>
      <w:marTop w:val="0"/>
      <w:marBottom w:val="0"/>
      <w:divBdr>
        <w:top w:val="none" w:sz="0" w:space="0" w:color="auto"/>
        <w:left w:val="none" w:sz="0" w:space="0" w:color="auto"/>
        <w:bottom w:val="none" w:sz="0" w:space="0" w:color="auto"/>
        <w:right w:val="none" w:sz="0" w:space="0" w:color="auto"/>
      </w:divBdr>
    </w:div>
    <w:div w:id="13201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CookieAuth.dll?GetLogon?curl=Z2Fdms_tiesZ2Fitu-rZ2FmdZ2F19Z2Fwp4aZ2FcZ2FR19-WP4A-C-0246Z21N33Z21MSW-E.docx&amp;reason=0&amp;formdir=10" TargetMode="External"/><Relationship Id="rId18" Type="http://schemas.openxmlformats.org/officeDocument/2006/relationships/hyperlink" Target="https://www.itu.int/oth/R0A0200000B/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CookieAuth.dll?GetLogon?curl=Z2Fdms_tiesZ2Fitu-rZ2FmdZ2F19Z2Fwp4aZ2FcZ2FR19-WP4A-C-0246Z21N26Z21MSW-E.docx&amp;reason=0&amp;formdir=10" TargetMode="External"/><Relationship Id="rId17" Type="http://schemas.openxmlformats.org/officeDocument/2006/relationships/hyperlink" Target="https://cept.org/Documents/cpg/61939/cpg-20-info-26_citels-preparation-for-world-radiocommunication-conferen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ept.org/files/4200/2021-01-14%20Status%20of%20CEPT%20prepararation%20for%20WRC-23%20(December%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4a/c/R19-WP4A-C-0246!N21!MSW-E.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dms_pub/itu-r/oth/0A/0A/R0A0A0000170001PDFE.pdf" TargetMode="External"/><Relationship Id="rId23" Type="http://schemas.openxmlformats.org/officeDocument/2006/relationships/footer" Target="footer2.xml"/><Relationship Id="rId10" Type="http://schemas.openxmlformats.org/officeDocument/2006/relationships/hyperlink" Target="https://www.itu.int/dms_pub/itu-r/md/16/wrc19/c/R16-WRC19-C-0011!A24-A16!MSW-E.docx" TargetMode="External"/><Relationship Id="rId19" Type="http://schemas.openxmlformats.org/officeDocument/2006/relationships/hyperlink" Target="https://www.itu.int/md/R19-WP5B-C-0191/en" TargetMode="External"/><Relationship Id="rId4" Type="http://schemas.openxmlformats.org/officeDocument/2006/relationships/settings" Target="settings.xml"/><Relationship Id="rId9" Type="http://schemas.openxmlformats.org/officeDocument/2006/relationships/hyperlink" Target="https://www.itu.int/dms_pub/itu-r/md/16/wrc19/c/R16-WRC19-C-0016!A24!MSW-A.docx" TargetMode="External"/><Relationship Id="rId14" Type="http://schemas.openxmlformats.org/officeDocument/2006/relationships/hyperlink" Target="https://www.itu.int/CookieAuth.dll?GetLogon?curl=Z2Fdms_tiesZ2Fitu-rZ2FmdZ2F19Z2Fwp4aZ2FcZ2FR19-WP4A-C-0246Z21N34Z21MSW-E.docx&amp;reason=0&amp;formdir=1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onanongp@thaico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E609-CA6B-45F0-AE7F-C229CE69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5</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cp:revision>
  <cp:lastPrinted>2021-04-18T15:51:00Z</cp:lastPrinted>
  <dcterms:created xsi:type="dcterms:W3CDTF">2021-04-19T02:04:00Z</dcterms:created>
  <dcterms:modified xsi:type="dcterms:W3CDTF">2021-04-19T02:53:00Z</dcterms:modified>
</cp:coreProperties>
</file>