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14:paraId="41241FD3" w14:textId="77777777" w:rsidTr="00194A2D">
        <w:trPr>
          <w:cantSplit/>
          <w:trHeight w:val="288"/>
        </w:trPr>
        <w:tc>
          <w:tcPr>
            <w:tcW w:w="1399" w:type="dxa"/>
            <w:vMerge w:val="restart"/>
          </w:tcPr>
          <w:p w14:paraId="4C84714D" w14:textId="77777777" w:rsidR="00C516C7" w:rsidRPr="00891D0B" w:rsidRDefault="00C516C7" w:rsidP="00194A2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544667C" wp14:editId="1C1C74A5">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0FFB86FE" w14:textId="77777777" w:rsidR="00C516C7" w:rsidRPr="00E86131" w:rsidRDefault="00C516C7" w:rsidP="00194A2D">
            <w:r w:rsidRPr="00E86131">
              <w:t>ASIA-PACIFIC TELECOMMUNITY</w:t>
            </w:r>
          </w:p>
        </w:tc>
        <w:tc>
          <w:tcPr>
            <w:tcW w:w="2160" w:type="dxa"/>
          </w:tcPr>
          <w:p w14:paraId="3F7686F4" w14:textId="77777777" w:rsidR="00C516C7" w:rsidRPr="00723BE9" w:rsidRDefault="00C516C7" w:rsidP="00194A2D">
            <w:pPr>
              <w:rPr>
                <w:b/>
                <w:sz w:val="22"/>
                <w:szCs w:val="22"/>
              </w:rPr>
            </w:pPr>
            <w:r w:rsidRPr="00723BE9">
              <w:rPr>
                <w:b/>
              </w:rPr>
              <w:t>Document No:</w:t>
            </w:r>
          </w:p>
        </w:tc>
      </w:tr>
      <w:tr w:rsidR="00C516C7" w:rsidRPr="00C15799" w14:paraId="398807B8" w14:textId="77777777" w:rsidTr="00194A2D">
        <w:trPr>
          <w:cantSplit/>
          <w:trHeight w:val="504"/>
        </w:trPr>
        <w:tc>
          <w:tcPr>
            <w:tcW w:w="1399" w:type="dxa"/>
            <w:vMerge/>
          </w:tcPr>
          <w:p w14:paraId="21E5ABAF" w14:textId="77777777" w:rsidR="00C516C7" w:rsidRPr="00891D0B" w:rsidRDefault="00C516C7" w:rsidP="00194A2D"/>
        </w:tc>
        <w:tc>
          <w:tcPr>
            <w:tcW w:w="5760" w:type="dxa"/>
          </w:tcPr>
          <w:p w14:paraId="02F81DBD" w14:textId="77777777" w:rsidR="00C516C7" w:rsidRDefault="00C516C7" w:rsidP="00194A2D">
            <w:pPr>
              <w:spacing w:line="0" w:lineRule="atLeast"/>
              <w:rPr>
                <w:b/>
              </w:rPr>
            </w:pPr>
            <w:r>
              <w:rPr>
                <w:b/>
              </w:rPr>
              <w:t xml:space="preserve">The </w:t>
            </w:r>
            <w:r w:rsidR="007F0AE6">
              <w:rPr>
                <w:b/>
              </w:rPr>
              <w:t>2nd</w:t>
            </w:r>
            <w:r>
              <w:rPr>
                <w:b/>
              </w:rPr>
              <w:t xml:space="preserve"> Meeting of the APT Conference Preparatory</w:t>
            </w:r>
          </w:p>
          <w:p w14:paraId="039981E1" w14:textId="77777777" w:rsidR="00C516C7" w:rsidRPr="00891D0B" w:rsidRDefault="00C516C7" w:rsidP="00194A2D">
            <w:pPr>
              <w:spacing w:line="0" w:lineRule="atLeast"/>
            </w:pPr>
            <w:r>
              <w:rPr>
                <w:b/>
              </w:rPr>
              <w:t>Group for WRC-</w:t>
            </w:r>
            <w:r w:rsidR="007F0AE6">
              <w:rPr>
                <w:b/>
              </w:rPr>
              <w:t>23</w:t>
            </w:r>
            <w:r>
              <w:rPr>
                <w:b/>
              </w:rPr>
              <w:t xml:space="preserve"> (APG</w:t>
            </w:r>
            <w:r w:rsidR="007F0AE6">
              <w:rPr>
                <w:b/>
              </w:rPr>
              <w:t>23</w:t>
            </w:r>
            <w:r>
              <w:rPr>
                <w:b/>
              </w:rPr>
              <w:t>-</w:t>
            </w:r>
            <w:r w:rsidR="007F0AE6">
              <w:rPr>
                <w:b/>
              </w:rPr>
              <w:t>2</w:t>
            </w:r>
            <w:r>
              <w:rPr>
                <w:b/>
              </w:rPr>
              <w:t>)</w:t>
            </w:r>
          </w:p>
        </w:tc>
        <w:tc>
          <w:tcPr>
            <w:tcW w:w="2160" w:type="dxa"/>
          </w:tcPr>
          <w:p w14:paraId="33183A48" w14:textId="120C2B62" w:rsidR="00C516C7" w:rsidRPr="00277B8F" w:rsidRDefault="00C516C7" w:rsidP="00194A2D">
            <w:pPr>
              <w:rPr>
                <w:rFonts w:cs="Angsana New"/>
                <w:b/>
                <w:bCs/>
                <w:szCs w:val="30"/>
                <w:lang w:bidi="th-TH"/>
              </w:rPr>
            </w:pPr>
            <w:r w:rsidRPr="00C96104">
              <w:rPr>
                <w:b/>
                <w:bCs/>
                <w:lang w:val="fr-FR"/>
              </w:rPr>
              <w:t>AP</w:t>
            </w:r>
            <w:r>
              <w:rPr>
                <w:b/>
                <w:bCs/>
                <w:lang w:val="fr-FR"/>
              </w:rPr>
              <w:t>G</w:t>
            </w:r>
            <w:r w:rsidR="007F0AE6">
              <w:rPr>
                <w:b/>
                <w:bCs/>
                <w:lang w:val="fr-FR"/>
              </w:rPr>
              <w:t>23</w:t>
            </w:r>
            <w:r>
              <w:rPr>
                <w:b/>
                <w:bCs/>
                <w:lang w:val="fr-FR"/>
              </w:rPr>
              <w:t>-</w:t>
            </w:r>
            <w:r w:rsidR="007F0AE6">
              <w:rPr>
                <w:b/>
                <w:bCs/>
                <w:lang w:val="fr-FR"/>
              </w:rPr>
              <w:t>2</w:t>
            </w:r>
            <w:r>
              <w:rPr>
                <w:b/>
                <w:bCs/>
                <w:lang w:val="fr-FR"/>
              </w:rPr>
              <w:t>/</w:t>
            </w:r>
            <w:r w:rsidR="00412A1F">
              <w:rPr>
                <w:b/>
                <w:bCs/>
                <w:lang w:val="fr-FR"/>
              </w:rPr>
              <w:t>OUT</w:t>
            </w:r>
            <w:r>
              <w:rPr>
                <w:b/>
                <w:bCs/>
                <w:lang w:val="fr-FR"/>
              </w:rPr>
              <w:t>-</w:t>
            </w:r>
            <w:r w:rsidR="00412A1F">
              <w:rPr>
                <w:rFonts w:cs="Angsana New"/>
                <w:b/>
                <w:bCs/>
                <w:szCs w:val="30"/>
                <w:lang w:bidi="th-TH"/>
              </w:rPr>
              <w:t>07</w:t>
            </w:r>
          </w:p>
          <w:p w14:paraId="4380A6B3" w14:textId="77777777" w:rsidR="00C516C7" w:rsidRDefault="00C516C7" w:rsidP="00194A2D">
            <w:pPr>
              <w:spacing w:line="0" w:lineRule="atLeast"/>
              <w:rPr>
                <w:b/>
              </w:rPr>
            </w:pPr>
          </w:p>
        </w:tc>
      </w:tr>
      <w:tr w:rsidR="00C516C7" w:rsidRPr="00891D0B" w14:paraId="1B6DDFD4" w14:textId="77777777" w:rsidTr="00194A2D">
        <w:trPr>
          <w:cantSplit/>
          <w:trHeight w:val="288"/>
        </w:trPr>
        <w:tc>
          <w:tcPr>
            <w:tcW w:w="1399" w:type="dxa"/>
            <w:vMerge/>
          </w:tcPr>
          <w:p w14:paraId="329CE22E" w14:textId="77777777" w:rsidR="00C516C7" w:rsidRPr="007E1FDD" w:rsidRDefault="00C516C7" w:rsidP="00194A2D">
            <w:pPr>
              <w:rPr>
                <w:lang w:val="en-GB"/>
              </w:rPr>
            </w:pPr>
          </w:p>
        </w:tc>
        <w:tc>
          <w:tcPr>
            <w:tcW w:w="5760" w:type="dxa"/>
            <w:vAlign w:val="bottom"/>
          </w:tcPr>
          <w:p w14:paraId="479DCB5D" w14:textId="77777777" w:rsidR="00C516C7" w:rsidRPr="007F0AE6" w:rsidRDefault="007F0AE6" w:rsidP="00194A2D">
            <w:pPr>
              <w:rPr>
                <w:bCs/>
              </w:rPr>
            </w:pPr>
            <w:r>
              <w:t>19</w:t>
            </w:r>
            <w:r w:rsidR="00C516C7">
              <w:t xml:space="preserve"> – 2</w:t>
            </w:r>
            <w:r>
              <w:t>3</w:t>
            </w:r>
            <w:r w:rsidR="00C516C7">
              <w:t xml:space="preserve"> </w:t>
            </w:r>
            <w:r>
              <w:t>April</w:t>
            </w:r>
            <w:r w:rsidR="00C516C7">
              <w:t xml:space="preserve"> 20</w:t>
            </w:r>
            <w:r>
              <w:t>21</w:t>
            </w:r>
            <w:r w:rsidR="00C516C7" w:rsidRPr="00891D0B">
              <w:t xml:space="preserve">, </w:t>
            </w:r>
            <w:r>
              <w:rPr>
                <w:bCs/>
              </w:rPr>
              <w:t>Virtual/Online Meeting</w:t>
            </w:r>
          </w:p>
        </w:tc>
        <w:tc>
          <w:tcPr>
            <w:tcW w:w="2160" w:type="dxa"/>
            <w:vAlign w:val="bottom"/>
          </w:tcPr>
          <w:p w14:paraId="0B8F81A9" w14:textId="7946986B" w:rsidR="00C516C7" w:rsidRDefault="007F0AE6" w:rsidP="00C966C3">
            <w:r>
              <w:rPr>
                <w:bCs/>
              </w:rPr>
              <w:t>2</w:t>
            </w:r>
            <w:r w:rsidR="00086BBC">
              <w:rPr>
                <w:bCs/>
              </w:rPr>
              <w:t>3</w:t>
            </w:r>
            <w:r w:rsidR="00C516C7" w:rsidRPr="007E1FDD">
              <w:rPr>
                <w:bCs/>
              </w:rPr>
              <w:t xml:space="preserve"> </w:t>
            </w:r>
            <w:r>
              <w:rPr>
                <w:bCs/>
              </w:rPr>
              <w:t xml:space="preserve">April </w:t>
            </w:r>
            <w:r w:rsidR="00C516C7" w:rsidRPr="007E1FDD">
              <w:rPr>
                <w:bCs/>
              </w:rPr>
              <w:t>20</w:t>
            </w:r>
            <w:r>
              <w:rPr>
                <w:bCs/>
              </w:rPr>
              <w:t>21</w:t>
            </w:r>
          </w:p>
        </w:tc>
      </w:tr>
    </w:tbl>
    <w:p w14:paraId="61307AAA" w14:textId="77777777" w:rsidR="00311E8A" w:rsidRDefault="00311E8A" w:rsidP="0072518B">
      <w:pPr>
        <w:jc w:val="center"/>
        <w:rPr>
          <w:lang w:val="en-NZ"/>
        </w:rPr>
      </w:pPr>
    </w:p>
    <w:p w14:paraId="1BDEC3DF" w14:textId="4193B0F1" w:rsidR="00B64A60" w:rsidRPr="002A0111" w:rsidRDefault="00412A1F" w:rsidP="00717F5F">
      <w:pPr>
        <w:jc w:val="center"/>
        <w:rPr>
          <w:lang w:val="en-NZ" w:eastAsia="ko-KR"/>
        </w:rPr>
      </w:pPr>
      <w:r>
        <w:rPr>
          <w:lang w:val="en-NZ" w:eastAsia="ko-KR"/>
        </w:rPr>
        <w:t>Working Party 1</w:t>
      </w:r>
    </w:p>
    <w:p w14:paraId="4C0CFC01" w14:textId="77777777" w:rsidR="00B64A60" w:rsidRPr="002A0111" w:rsidRDefault="00B64A60" w:rsidP="00B64A60">
      <w:pPr>
        <w:jc w:val="center"/>
        <w:rPr>
          <w:bCs/>
          <w:caps/>
          <w:lang w:val="en-NZ"/>
        </w:rPr>
      </w:pPr>
    </w:p>
    <w:p w14:paraId="292CA2D5" w14:textId="59F7EB82" w:rsidR="00B64A60" w:rsidRPr="00441526" w:rsidRDefault="00B64A60" w:rsidP="00717F5F">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717F5F">
        <w:rPr>
          <w:b/>
          <w:bCs/>
          <w:caps/>
          <w:lang w:val="en-NZ"/>
        </w:rPr>
        <w:t>3</w:t>
      </w:r>
    </w:p>
    <w:p w14:paraId="306F9182" w14:textId="77777777" w:rsidR="00B64A60" w:rsidRPr="00441526" w:rsidRDefault="00B64A60" w:rsidP="00264566">
      <w:pPr>
        <w:spacing w:after="120"/>
        <w:rPr>
          <w:lang w:val="en-NZ"/>
        </w:rPr>
      </w:pPr>
    </w:p>
    <w:p w14:paraId="432DF0AF" w14:textId="77777777" w:rsidR="002A0111" w:rsidRPr="00441526" w:rsidRDefault="002A0111" w:rsidP="0043506A">
      <w:pPr>
        <w:spacing w:after="120"/>
        <w:jc w:val="both"/>
        <w:rPr>
          <w:lang w:val="en-NZ"/>
        </w:rPr>
      </w:pPr>
      <w:r w:rsidRPr="00441526">
        <w:rPr>
          <w:b/>
          <w:lang w:val="en-NZ"/>
        </w:rPr>
        <w:t>Agenda Item 1.</w:t>
      </w:r>
      <w:r w:rsidR="0043506A">
        <w:rPr>
          <w:b/>
          <w:lang w:val="en-NZ"/>
        </w:rPr>
        <w:t>3</w:t>
      </w:r>
      <w:r w:rsidRPr="00441526">
        <w:rPr>
          <w:b/>
          <w:lang w:val="en-NZ"/>
        </w:rPr>
        <w:t xml:space="preserve">: </w:t>
      </w:r>
    </w:p>
    <w:p w14:paraId="547735DA" w14:textId="77777777" w:rsidR="002A0111" w:rsidRPr="00441526" w:rsidRDefault="0043506A" w:rsidP="002A0111">
      <w:pPr>
        <w:spacing w:after="120"/>
        <w:jc w:val="both"/>
        <w:rPr>
          <w:i/>
          <w:lang w:val="en-NZ"/>
        </w:rPr>
      </w:pPr>
      <w:r w:rsidRPr="000C39C6">
        <w:rPr>
          <w:i/>
          <w:lang w:val="en-NZ"/>
        </w:rPr>
        <w:t>to consider primary allocation of the band 3 600</w:t>
      </w:r>
      <w:r w:rsidRPr="000C39C6">
        <w:rPr>
          <w:i/>
          <w:lang w:val="en-NZ"/>
        </w:rPr>
        <w:noBreakHyphen/>
        <w:t>3 800 MHz to mobile service within Region 1 and take appropriate regulatory actions, in accordance with Resolution </w:t>
      </w:r>
      <w:r w:rsidRPr="000C39C6">
        <w:rPr>
          <w:b/>
          <w:i/>
          <w:lang w:val="en-NZ"/>
        </w:rPr>
        <w:t>246 (WRC</w:t>
      </w:r>
      <w:r w:rsidRPr="000C39C6">
        <w:rPr>
          <w:b/>
          <w:i/>
          <w:lang w:val="en-NZ"/>
        </w:rPr>
        <w:noBreakHyphen/>
        <w:t>19</w:t>
      </w:r>
      <w:proofErr w:type="gramStart"/>
      <w:r w:rsidRPr="000C39C6">
        <w:rPr>
          <w:i/>
          <w:lang w:val="en-NZ"/>
        </w:rPr>
        <w:t>);</w:t>
      </w:r>
      <w:proofErr w:type="gramEnd"/>
    </w:p>
    <w:p w14:paraId="7C59C296" w14:textId="77777777" w:rsidR="002A0111" w:rsidRPr="00441526" w:rsidRDefault="002A0111" w:rsidP="004F446E">
      <w:pPr>
        <w:spacing w:before="120" w:after="120"/>
        <w:jc w:val="both"/>
        <w:rPr>
          <w:b/>
          <w:lang w:val="en-NZ" w:eastAsia="ko-KR"/>
        </w:rPr>
      </w:pPr>
      <w:r w:rsidRPr="00441526">
        <w:rPr>
          <w:b/>
          <w:lang w:val="en-NZ" w:eastAsia="ko-KR"/>
        </w:rPr>
        <w:t xml:space="preserve">1. </w:t>
      </w:r>
      <w:r w:rsidRPr="00441526">
        <w:rPr>
          <w:b/>
          <w:lang w:val="en-NZ" w:eastAsia="ko-KR"/>
        </w:rPr>
        <w:tab/>
        <w:t>Background</w:t>
      </w:r>
    </w:p>
    <w:p w14:paraId="1A8ADEE5" w14:textId="77777777" w:rsidR="0044086E" w:rsidRDefault="0044086E" w:rsidP="00610D9B">
      <w:pPr>
        <w:jc w:val="both"/>
      </w:pPr>
      <w:r>
        <w:t xml:space="preserve">At </w:t>
      </w:r>
      <w:r w:rsidRPr="0044086E">
        <w:rPr>
          <w:lang w:val="en-NZ"/>
        </w:rPr>
        <w:t>WRC</w:t>
      </w:r>
      <w:r>
        <w:t>-19, ASMG</w:t>
      </w:r>
      <w:r w:rsidR="001B4285">
        <w:t>,</w:t>
      </w:r>
      <w:r>
        <w:t xml:space="preserve"> </w:t>
      </w:r>
      <w:r w:rsidR="001B4285">
        <w:t xml:space="preserve">in </w:t>
      </w:r>
      <w:hyperlink r:id="rId9" w:history="1">
        <w:r w:rsidR="001B4285" w:rsidRPr="00FA5C45">
          <w:rPr>
            <w:rStyle w:val="Hyperlink"/>
          </w:rPr>
          <w:t>Document 29</w:t>
        </w:r>
      </w:hyperlink>
      <w:r w:rsidR="001B4285">
        <w:t xml:space="preserve"> (Add.24-Add.</w:t>
      </w:r>
      <w:r w:rsidR="00652A65">
        <w:t>4</w:t>
      </w:r>
      <w:r w:rsidR="001B4285">
        <w:t xml:space="preserve">), and a number of African countries, in </w:t>
      </w:r>
      <w:hyperlink r:id="rId10" w:history="1">
        <w:r w:rsidR="001B4285" w:rsidRPr="00FA5C45">
          <w:rPr>
            <w:rStyle w:val="Hyperlink"/>
          </w:rPr>
          <w:t>Document 94</w:t>
        </w:r>
      </w:hyperlink>
      <w:r w:rsidR="001B4285">
        <w:t>, p</w:t>
      </w:r>
      <w:r>
        <w:t xml:space="preserve">roposed </w:t>
      </w:r>
      <w:r w:rsidR="00652A65">
        <w:t>this</w:t>
      </w:r>
      <w:r>
        <w:t xml:space="preserve"> agenda item for WRC-23</w:t>
      </w:r>
      <w:r w:rsidR="00652A65">
        <w:t xml:space="preserve">. </w:t>
      </w:r>
      <w:proofErr w:type="gramStart"/>
      <w:r w:rsidR="00610D9B">
        <w:t xml:space="preserve">Resolution </w:t>
      </w:r>
      <w:r w:rsidR="00610D9B" w:rsidRPr="00610D9B">
        <w:rPr>
          <w:b/>
          <w:bCs/>
        </w:rPr>
        <w:t>246</w:t>
      </w:r>
      <w:r w:rsidR="00610D9B">
        <w:rPr>
          <w:b/>
          <w:bCs/>
        </w:rPr>
        <w:t> </w:t>
      </w:r>
      <w:r w:rsidR="00610D9B" w:rsidRPr="00610D9B">
        <w:rPr>
          <w:b/>
          <w:bCs/>
        </w:rPr>
        <w:t>(WRC-19)</w:t>
      </w:r>
      <w:r>
        <w:t>,</w:t>
      </w:r>
      <w:proofErr w:type="gramEnd"/>
      <w:r>
        <w:t xml:space="preserve"> </w:t>
      </w:r>
      <w:bookmarkStart w:id="0" w:name="_Toc319401796"/>
      <w:bookmarkStart w:id="1" w:name="_Toc327364420"/>
      <w:r w:rsidR="00610D9B" w:rsidRPr="00DA5DE2">
        <w:t>resolves to invite ITU-R</w:t>
      </w:r>
      <w:r w:rsidR="00610D9B" w:rsidRPr="00DC3557">
        <w:rPr>
          <w:i/>
        </w:rPr>
        <w:t xml:space="preserve"> </w:t>
      </w:r>
      <w:r w:rsidR="00610D9B" w:rsidRPr="00DA5DE2">
        <w:t>to conduct sharing and compatibility studies in time for WRC</w:t>
      </w:r>
      <w:r w:rsidR="00610D9B" w:rsidRPr="00DA5DE2">
        <w:noBreakHyphen/>
        <w:t>23 between the mobile service and other services allocated on a primary basis within the frequency band 3 600-3 800 MHz and adjacent bands in Region 1, as appropriate, to ensure protection of those services to which the frequency band is allocated on a primary basis, and not impose undue constraints on the existing services and their future development</w:t>
      </w:r>
      <w:bookmarkEnd w:id="0"/>
      <w:bookmarkEnd w:id="1"/>
      <w:r>
        <w:t>.</w:t>
      </w:r>
    </w:p>
    <w:p w14:paraId="7459B872" w14:textId="7F935213" w:rsidR="00225813" w:rsidRPr="0011253E" w:rsidRDefault="004379AD" w:rsidP="00412A1F">
      <w:pPr>
        <w:spacing w:before="120" w:after="120"/>
        <w:jc w:val="both"/>
        <w:rPr>
          <w:lang w:val="en-NZ"/>
        </w:rPr>
      </w:pPr>
      <w:r>
        <w:rPr>
          <w:rFonts w:eastAsia="MS Mincho"/>
          <w:lang w:eastAsia="ja-JP"/>
        </w:rPr>
        <w:t>In accordance with the Resolution and the results of CPM 23-1 (</w:t>
      </w:r>
      <w:r w:rsidRPr="004379AD">
        <w:rPr>
          <w:iCs/>
          <w:lang w:val="en-NZ"/>
        </w:rPr>
        <w:t>Doc</w:t>
      </w:r>
      <w:r>
        <w:rPr>
          <w:iCs/>
          <w:lang w:val="en-NZ"/>
        </w:rPr>
        <w:t>.</w:t>
      </w:r>
      <w:r w:rsidRPr="004379AD">
        <w:rPr>
          <w:iCs/>
          <w:lang w:val="en-NZ"/>
        </w:rPr>
        <w:t xml:space="preserve"> </w:t>
      </w:r>
      <w:hyperlink r:id="rId11" w:history="1">
        <w:r w:rsidRPr="004379AD">
          <w:rPr>
            <w:rStyle w:val="Hyperlink"/>
            <w:iCs/>
            <w:lang w:val="en-NZ"/>
          </w:rPr>
          <w:t>CA/251</w:t>
        </w:r>
      </w:hyperlink>
      <w:r>
        <w:rPr>
          <w:rFonts w:eastAsia="MS Mincho"/>
          <w:lang w:eastAsia="ja-JP"/>
        </w:rPr>
        <w:t xml:space="preserve">), </w:t>
      </w:r>
      <w:r w:rsidR="00BE6931">
        <w:t xml:space="preserve">ITU-R </w:t>
      </w:r>
      <w:r w:rsidR="00E33F11">
        <w:t>Working Party (</w:t>
      </w:r>
      <w:r w:rsidR="00E33F11" w:rsidRPr="002D150B">
        <w:rPr>
          <w:b/>
          <w:bCs/>
        </w:rPr>
        <w:t>WP</w:t>
      </w:r>
      <w:r w:rsidR="00E33F11">
        <w:t xml:space="preserve">) </w:t>
      </w:r>
      <w:r w:rsidR="00E33F11" w:rsidRPr="002D150B">
        <w:rPr>
          <w:b/>
          <w:bCs/>
        </w:rPr>
        <w:t>5A</w:t>
      </w:r>
      <w:r w:rsidR="00E33F11">
        <w:t xml:space="preserve"> is the responsible group for conduction of predatory work for </w:t>
      </w:r>
      <w:r w:rsidR="00E33F11" w:rsidRPr="002D150B">
        <w:rPr>
          <w:b/>
          <w:bCs/>
        </w:rPr>
        <w:t>WRC-23</w:t>
      </w:r>
      <w:r w:rsidR="00E33F11">
        <w:t xml:space="preserve">. </w:t>
      </w:r>
      <w:r w:rsidR="00BE6931">
        <w:t xml:space="preserve">At its </w:t>
      </w:r>
      <w:r w:rsidR="00BE6931" w:rsidRPr="00953A5D">
        <w:t>November 2020</w:t>
      </w:r>
      <w:r w:rsidR="00BE6931">
        <w:t xml:space="preserve"> meeting, </w:t>
      </w:r>
      <w:hyperlink r:id="rId12" w:history="1">
        <w:r w:rsidR="00BE6931" w:rsidRPr="00DA5DE2">
          <w:rPr>
            <w:rStyle w:val="Hyperlink"/>
            <w:bCs/>
          </w:rPr>
          <w:t>WP</w:t>
        </w:r>
        <w:r w:rsidR="00BE6931" w:rsidRPr="00F80577">
          <w:rPr>
            <w:rStyle w:val="Hyperlink"/>
          </w:rPr>
          <w:t xml:space="preserve"> </w:t>
        </w:r>
        <w:r w:rsidR="00BE6931" w:rsidRPr="00DA5DE2">
          <w:rPr>
            <w:rStyle w:val="Hyperlink"/>
            <w:bCs/>
          </w:rPr>
          <w:t>5A</w:t>
        </w:r>
      </w:hyperlink>
      <w:r w:rsidR="00BE6931">
        <w:t xml:space="preserve"> created two </w:t>
      </w:r>
      <w:hyperlink r:id="rId13" w:history="1">
        <w:r w:rsidR="00BE6931" w:rsidRPr="008826AE">
          <w:rPr>
            <w:rStyle w:val="Hyperlink"/>
          </w:rPr>
          <w:t xml:space="preserve">Annexes </w:t>
        </w:r>
        <w:r w:rsidR="00BE6931" w:rsidRPr="00DA5DE2">
          <w:rPr>
            <w:rStyle w:val="Hyperlink"/>
            <w:bCs/>
          </w:rPr>
          <w:t>4</w:t>
        </w:r>
      </w:hyperlink>
      <w:r w:rsidR="00BE6931" w:rsidRPr="00953A5D">
        <w:t xml:space="preserve"> </w:t>
      </w:r>
      <w:r w:rsidR="00BE6931">
        <w:t xml:space="preserve">and </w:t>
      </w:r>
      <w:hyperlink r:id="rId14" w:history="1">
        <w:r w:rsidR="00BE6931" w:rsidRPr="00DA5DE2">
          <w:rPr>
            <w:rStyle w:val="Hyperlink"/>
            <w:bCs/>
          </w:rPr>
          <w:t>5</w:t>
        </w:r>
      </w:hyperlink>
      <w:r w:rsidR="00BE6931">
        <w:t xml:space="preserve"> </w:t>
      </w:r>
      <w:r w:rsidR="00BE6931" w:rsidRPr="00953A5D">
        <w:t xml:space="preserve">to </w:t>
      </w:r>
      <w:r w:rsidR="00BE6931">
        <w:t>the Chairman’s Report (</w:t>
      </w:r>
      <w:hyperlink r:id="rId15" w:history="1">
        <w:r w:rsidR="00BE6931" w:rsidRPr="008826AE">
          <w:rPr>
            <w:rStyle w:val="Hyperlink"/>
          </w:rPr>
          <w:t xml:space="preserve">Doc. </w:t>
        </w:r>
        <w:r w:rsidR="00BE6931" w:rsidRPr="00DA5DE2">
          <w:rPr>
            <w:rStyle w:val="Hyperlink"/>
            <w:bCs/>
          </w:rPr>
          <w:t>5A/221-E</w:t>
        </w:r>
      </w:hyperlink>
      <w:r w:rsidR="00BE6931">
        <w:t>) presenting “</w:t>
      </w:r>
      <w:r w:rsidR="00BE6931" w:rsidRPr="00F80577">
        <w:t xml:space="preserve">Working document towards preliminary </w:t>
      </w:r>
      <w:r w:rsidR="00BE6931" w:rsidRPr="00C66246">
        <w:t>draft CPM text</w:t>
      </w:r>
      <w:r w:rsidR="00BE6931">
        <w:t>” and “</w:t>
      </w:r>
      <w:r w:rsidR="00BE6931" w:rsidRPr="00524DD0">
        <w:t>W</w:t>
      </w:r>
      <w:r w:rsidR="00BE6931">
        <w:t xml:space="preserve">orkplan/Report” for this agenda item. Only the Background section of </w:t>
      </w:r>
      <w:r w:rsidR="00BE6931" w:rsidRPr="00C66246">
        <w:t>draft CPM text</w:t>
      </w:r>
      <w:r w:rsidR="00BE6931">
        <w:t xml:space="preserve"> has been given some texts using Resolution </w:t>
      </w:r>
      <w:r w:rsidR="00BE6931" w:rsidRPr="006308B5">
        <w:rPr>
          <w:b/>
          <w:iCs/>
          <w:lang w:val="en-NZ"/>
        </w:rPr>
        <w:t>246 (WRC</w:t>
      </w:r>
      <w:r w:rsidR="00BE6931" w:rsidRPr="006308B5">
        <w:rPr>
          <w:b/>
          <w:iCs/>
          <w:lang w:val="en-NZ"/>
        </w:rPr>
        <w:noBreakHyphen/>
        <w:t>19</w:t>
      </w:r>
      <w:r w:rsidR="00BE6931" w:rsidRPr="006308B5">
        <w:rPr>
          <w:iCs/>
          <w:lang w:val="en-NZ"/>
        </w:rPr>
        <w:t>)</w:t>
      </w:r>
      <w:r w:rsidR="00BE6931">
        <w:rPr>
          <w:iCs/>
          <w:lang w:val="en-NZ"/>
        </w:rPr>
        <w:t>,</w:t>
      </w:r>
      <w:r w:rsidR="00BE6931">
        <w:rPr>
          <w:i/>
          <w:lang w:val="en-NZ"/>
        </w:rPr>
        <w:t xml:space="preserve"> </w:t>
      </w:r>
      <w:r w:rsidR="00BE6931">
        <w:t xml:space="preserve">at this early stage. There would be possibility to complete draft CPM text during forthcoming four scheduled meetings of </w:t>
      </w:r>
      <w:r w:rsidR="00BE6931" w:rsidRPr="00DA5DE2">
        <w:rPr>
          <w:bCs/>
        </w:rPr>
        <w:t>WP 5A</w:t>
      </w:r>
      <w:r w:rsidR="00BE6931">
        <w:t>. No further working documents created.</w:t>
      </w:r>
      <w:r w:rsidR="00BE6931" w:rsidRPr="00BE6931">
        <w:t xml:space="preserve"> </w:t>
      </w:r>
      <w:r w:rsidR="00BE6931">
        <w:t xml:space="preserve">During next </w:t>
      </w:r>
      <w:r w:rsidR="00BE6931" w:rsidRPr="00DA5DE2">
        <w:rPr>
          <w:bCs/>
        </w:rPr>
        <w:t>WP 5A</w:t>
      </w:r>
      <w:r w:rsidR="00BE6931">
        <w:t xml:space="preserve"> meeting in May 2021, work would continue by analysis of existing Recommendations/Reports to decide on necessity for l</w:t>
      </w:r>
      <w:r w:rsidR="00BE6931" w:rsidRPr="00CD31FF">
        <w:t>iais</w:t>
      </w:r>
      <w:r w:rsidR="00BE6931">
        <w:t>ing</w:t>
      </w:r>
      <w:r w:rsidR="00BE6931" w:rsidRPr="00CD31FF">
        <w:t xml:space="preserve"> with contributing W</w:t>
      </w:r>
      <w:r w:rsidR="00BE6931">
        <w:t xml:space="preserve">orking </w:t>
      </w:r>
      <w:r w:rsidR="00BE6931" w:rsidRPr="00CD31FF">
        <w:t>P</w:t>
      </w:r>
      <w:r w:rsidR="00BE6931">
        <w:t>arties</w:t>
      </w:r>
      <w:r w:rsidR="00BE6931" w:rsidRPr="00CD31FF">
        <w:t xml:space="preserve"> regarding characteristics and protection criteria for </w:t>
      </w:r>
      <w:r w:rsidR="00BE6931">
        <w:t>this agenda item.</w:t>
      </w:r>
    </w:p>
    <w:p w14:paraId="3105E813" w14:textId="77777777" w:rsidR="002A0111" w:rsidRPr="00441526" w:rsidRDefault="002A0111" w:rsidP="004F446E">
      <w:pPr>
        <w:spacing w:before="120" w:after="120"/>
        <w:jc w:val="both"/>
        <w:rPr>
          <w:b/>
          <w:lang w:val="en-NZ" w:eastAsia="ko-KR"/>
        </w:rPr>
      </w:pPr>
      <w:r w:rsidRPr="00441526">
        <w:rPr>
          <w:b/>
          <w:lang w:val="en-NZ" w:eastAsia="ko-KR"/>
        </w:rPr>
        <w:t xml:space="preserve">2. </w:t>
      </w:r>
      <w:r w:rsidRPr="00441526">
        <w:rPr>
          <w:b/>
          <w:lang w:val="en-NZ" w:eastAsia="ko-KR"/>
        </w:rPr>
        <w:tab/>
        <w:t>Documents</w:t>
      </w:r>
    </w:p>
    <w:p w14:paraId="4AA4E1B7" w14:textId="77777777" w:rsidR="00EE3757" w:rsidRPr="004971D8" w:rsidRDefault="004379AD" w:rsidP="00207910">
      <w:pPr>
        <w:numPr>
          <w:ilvl w:val="0"/>
          <w:numId w:val="18"/>
        </w:numPr>
        <w:ind w:leftChars="145" w:left="708"/>
        <w:jc w:val="both"/>
        <w:rPr>
          <w:iCs/>
          <w:u w:val="single"/>
          <w:lang w:val="en-NZ"/>
        </w:rPr>
      </w:pPr>
      <w:r w:rsidRPr="004971D8">
        <w:rPr>
          <w:lang w:val="en-NZ"/>
        </w:rPr>
        <w:t xml:space="preserve">Input Documents </w:t>
      </w:r>
      <w:r w:rsidR="00947024" w:rsidRPr="004971D8">
        <w:rPr>
          <w:lang w:val="en-NZ"/>
        </w:rPr>
        <w:t>APG23-2</w:t>
      </w:r>
      <w:r w:rsidR="00207910" w:rsidRPr="004971D8">
        <w:rPr>
          <w:lang w:val="en-NZ"/>
        </w:rPr>
        <w:t>/</w:t>
      </w:r>
      <w:hyperlink r:id="rId16" w:history="1">
        <w:r w:rsidR="00207910" w:rsidRPr="004971D8">
          <w:rPr>
            <w:rStyle w:val="Hyperlink"/>
            <w:lang w:val="en-NZ"/>
          </w:rPr>
          <w:t>INP-1</w:t>
        </w:r>
        <w:r w:rsidR="00947024" w:rsidRPr="004971D8">
          <w:rPr>
            <w:rStyle w:val="Hyperlink"/>
            <w:lang w:val="en-NZ"/>
          </w:rPr>
          <w:t>0</w:t>
        </w:r>
      </w:hyperlink>
      <w:r w:rsidR="00947024" w:rsidRPr="004971D8">
        <w:rPr>
          <w:lang w:val="en-NZ"/>
        </w:rPr>
        <w:t xml:space="preserve"> (J), </w:t>
      </w:r>
      <w:hyperlink r:id="rId17" w:history="1">
        <w:r w:rsidR="00207910" w:rsidRPr="004971D8">
          <w:rPr>
            <w:rStyle w:val="Hyperlink"/>
            <w:rFonts w:eastAsia="MS Mincho"/>
            <w:lang w:eastAsia="ja-JP"/>
          </w:rPr>
          <w:t>INP-2</w:t>
        </w:r>
        <w:r w:rsidRPr="004971D8">
          <w:rPr>
            <w:rStyle w:val="Hyperlink"/>
            <w:rFonts w:eastAsia="MS Mincho"/>
            <w:lang w:eastAsia="ja-JP"/>
          </w:rPr>
          <w:t>4</w:t>
        </w:r>
      </w:hyperlink>
      <w:r w:rsidRPr="004971D8">
        <w:rPr>
          <w:rFonts w:eastAsia="MS Mincho"/>
          <w:lang w:eastAsia="ja-JP"/>
        </w:rPr>
        <w:t xml:space="preserve"> (AUS),</w:t>
      </w:r>
      <w:r w:rsidR="009D02BD" w:rsidRPr="004971D8">
        <w:rPr>
          <w:rFonts w:eastAsia="MS Mincho"/>
          <w:lang w:eastAsia="ja-JP"/>
        </w:rPr>
        <w:t xml:space="preserve"> </w:t>
      </w:r>
      <w:hyperlink r:id="rId18" w:history="1">
        <w:r w:rsidR="00207910" w:rsidRPr="004971D8">
          <w:rPr>
            <w:rStyle w:val="Hyperlink"/>
            <w:rFonts w:eastAsia="MS Mincho"/>
            <w:lang w:eastAsia="ja-JP"/>
          </w:rPr>
          <w:t>INP-3</w:t>
        </w:r>
        <w:r w:rsidR="009D02BD" w:rsidRPr="004971D8">
          <w:rPr>
            <w:rStyle w:val="Hyperlink"/>
            <w:rFonts w:eastAsia="MS Mincho"/>
            <w:lang w:eastAsia="ja-JP"/>
          </w:rPr>
          <w:t>0</w:t>
        </w:r>
      </w:hyperlink>
      <w:r w:rsidR="009D02BD" w:rsidRPr="004971D8">
        <w:rPr>
          <w:rFonts w:eastAsia="MS Mincho"/>
          <w:lang w:eastAsia="ja-JP"/>
        </w:rPr>
        <w:t xml:space="preserve"> (KOR),</w:t>
      </w:r>
      <w:r w:rsidR="000E5DBA" w:rsidRPr="004971D8">
        <w:rPr>
          <w:rFonts w:eastAsia="MS Mincho"/>
          <w:lang w:eastAsia="ja-JP"/>
        </w:rPr>
        <w:t xml:space="preserve"> </w:t>
      </w:r>
      <w:hyperlink r:id="rId19" w:history="1">
        <w:r w:rsidR="00207910" w:rsidRPr="004971D8">
          <w:rPr>
            <w:rStyle w:val="Hyperlink"/>
            <w:rFonts w:eastAsia="MS Mincho"/>
            <w:lang w:eastAsia="ja-JP"/>
          </w:rPr>
          <w:t>INP-4</w:t>
        </w:r>
        <w:r w:rsidR="000E5DBA" w:rsidRPr="004971D8">
          <w:rPr>
            <w:rStyle w:val="Hyperlink"/>
            <w:rFonts w:eastAsia="MS Mincho"/>
            <w:lang w:eastAsia="ja-JP"/>
          </w:rPr>
          <w:t>4</w:t>
        </w:r>
      </w:hyperlink>
      <w:r w:rsidR="000E5DBA" w:rsidRPr="004971D8">
        <w:rPr>
          <w:rFonts w:eastAsia="MS Mincho"/>
          <w:lang w:eastAsia="ja-JP"/>
        </w:rPr>
        <w:t xml:space="preserve"> (CHN),</w:t>
      </w:r>
      <w:r w:rsidRPr="004971D8">
        <w:rPr>
          <w:rFonts w:eastAsia="MS Mincho"/>
          <w:lang w:eastAsia="ja-JP"/>
        </w:rPr>
        <w:t xml:space="preserve"> </w:t>
      </w:r>
      <w:hyperlink r:id="rId20" w:history="1">
        <w:r w:rsidR="00207910" w:rsidRPr="004971D8">
          <w:rPr>
            <w:rStyle w:val="Hyperlink"/>
            <w:rFonts w:eastAsia="MS Mincho"/>
            <w:lang w:eastAsia="ja-JP"/>
          </w:rPr>
          <w:t>INP-5</w:t>
        </w:r>
        <w:r w:rsidRPr="004971D8">
          <w:rPr>
            <w:rStyle w:val="Hyperlink"/>
            <w:rFonts w:eastAsia="MS Mincho"/>
            <w:lang w:eastAsia="ja-JP"/>
          </w:rPr>
          <w:t>0</w:t>
        </w:r>
      </w:hyperlink>
      <w:r w:rsidRPr="004971D8">
        <w:rPr>
          <w:rFonts w:eastAsia="MS Mincho"/>
          <w:lang w:eastAsia="ja-JP"/>
        </w:rPr>
        <w:t xml:space="preserve"> (VTN)</w:t>
      </w:r>
    </w:p>
    <w:p w14:paraId="327407E4" w14:textId="77777777" w:rsidR="00790FEC" w:rsidRPr="004971D8" w:rsidRDefault="00790FEC" w:rsidP="005075D8">
      <w:pPr>
        <w:numPr>
          <w:ilvl w:val="0"/>
          <w:numId w:val="18"/>
        </w:numPr>
        <w:ind w:leftChars="145" w:left="708"/>
        <w:jc w:val="both"/>
        <w:rPr>
          <w:iCs/>
          <w:u w:val="single"/>
          <w:lang w:val="en-NZ"/>
        </w:rPr>
      </w:pPr>
      <w:r w:rsidRPr="004971D8">
        <w:rPr>
          <w:lang w:val="en-NZ"/>
        </w:rPr>
        <w:t>Information Documents APG23-2/</w:t>
      </w:r>
      <w:hyperlink r:id="rId21" w:history="1">
        <w:r w:rsidRPr="004971D8">
          <w:rPr>
            <w:rStyle w:val="Hyperlink"/>
            <w:lang w:val="en-NZ"/>
          </w:rPr>
          <w:t>INF-</w:t>
        </w:r>
        <w:r w:rsidR="006E2B54" w:rsidRPr="004971D8">
          <w:rPr>
            <w:rStyle w:val="Hyperlink"/>
            <w:lang w:val="en-NZ"/>
          </w:rPr>
          <w:t>10</w:t>
        </w:r>
      </w:hyperlink>
      <w:r w:rsidR="006E2B54" w:rsidRPr="004971D8">
        <w:rPr>
          <w:lang w:val="en-NZ"/>
        </w:rPr>
        <w:t xml:space="preserve"> (DG Chairman), </w:t>
      </w:r>
      <w:hyperlink r:id="rId22" w:history="1">
        <w:r w:rsidR="006E2B54" w:rsidRPr="004971D8">
          <w:rPr>
            <w:rStyle w:val="Hyperlink"/>
            <w:lang w:val="en-NZ"/>
          </w:rPr>
          <w:t>INF-25</w:t>
        </w:r>
      </w:hyperlink>
      <w:r w:rsidR="006E2B54" w:rsidRPr="004971D8">
        <w:rPr>
          <w:lang w:val="en-NZ"/>
        </w:rPr>
        <w:t xml:space="preserve"> (ASMG), </w:t>
      </w:r>
      <w:hyperlink r:id="rId23" w:history="1">
        <w:r w:rsidR="00914F92" w:rsidRPr="004971D8">
          <w:rPr>
            <w:rStyle w:val="Hyperlink"/>
            <w:lang w:val="en-NZ"/>
          </w:rPr>
          <w:t>INF-30</w:t>
        </w:r>
      </w:hyperlink>
      <w:r w:rsidR="00914F92" w:rsidRPr="004971D8">
        <w:rPr>
          <w:lang w:val="en-NZ"/>
        </w:rPr>
        <w:t xml:space="preserve"> (GSMA), </w:t>
      </w:r>
      <w:hyperlink r:id="rId24" w:history="1">
        <w:r w:rsidR="00914F92" w:rsidRPr="004971D8">
          <w:rPr>
            <w:rStyle w:val="Hyperlink"/>
            <w:lang w:val="en-NZ"/>
          </w:rPr>
          <w:t>INF-34</w:t>
        </w:r>
      </w:hyperlink>
      <w:r w:rsidR="00914F92" w:rsidRPr="004971D8">
        <w:rPr>
          <w:lang w:val="en-NZ"/>
        </w:rPr>
        <w:t xml:space="preserve"> (CITEL),</w:t>
      </w:r>
      <w:r w:rsidR="001F5B76" w:rsidRPr="004971D8">
        <w:rPr>
          <w:lang w:val="en-NZ"/>
        </w:rPr>
        <w:t xml:space="preserve"> </w:t>
      </w:r>
      <w:hyperlink r:id="rId25" w:history="1">
        <w:r w:rsidR="001F5B76" w:rsidRPr="004971D8">
          <w:rPr>
            <w:rStyle w:val="Hyperlink"/>
            <w:lang w:val="en-NZ"/>
          </w:rPr>
          <w:t>INF-35</w:t>
        </w:r>
      </w:hyperlink>
      <w:r w:rsidR="001F5B76" w:rsidRPr="004971D8">
        <w:rPr>
          <w:lang w:val="en-NZ"/>
        </w:rPr>
        <w:t xml:space="preserve"> (CEPT)</w:t>
      </w:r>
    </w:p>
    <w:p w14:paraId="285F8A93" w14:textId="77777777" w:rsidR="002A0111" w:rsidRPr="00441526" w:rsidRDefault="002A0111" w:rsidP="004F446E">
      <w:pPr>
        <w:spacing w:before="120"/>
        <w:rPr>
          <w:b/>
          <w:lang w:val="en-NZ" w:eastAsia="ko-KR"/>
        </w:rPr>
      </w:pPr>
      <w:r w:rsidRPr="00441526">
        <w:rPr>
          <w:b/>
          <w:lang w:val="en-NZ" w:eastAsia="ko-KR"/>
        </w:rPr>
        <w:t xml:space="preserve">3. </w:t>
      </w:r>
      <w:r w:rsidRPr="00441526">
        <w:rPr>
          <w:b/>
          <w:lang w:val="en-NZ" w:eastAsia="ko-KR"/>
        </w:rPr>
        <w:tab/>
        <w:t>Summary of discussions</w:t>
      </w:r>
    </w:p>
    <w:p w14:paraId="7453ED96" w14:textId="77777777"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52CE7892" w14:textId="77777777" w:rsidR="00947024" w:rsidRPr="006C0050" w:rsidRDefault="007F740E" w:rsidP="00920EC9">
      <w:pPr>
        <w:rPr>
          <w:b/>
          <w:bCs/>
          <w:iCs/>
          <w:lang w:val="en-NZ"/>
        </w:rPr>
      </w:pPr>
      <w:r>
        <w:rPr>
          <w:b/>
          <w:bCs/>
          <w:iCs/>
          <w:lang w:val="en-NZ"/>
        </w:rPr>
        <w:t>3.1.1</w:t>
      </w:r>
      <w:r w:rsidR="006C0050">
        <w:rPr>
          <w:b/>
          <w:bCs/>
          <w:iCs/>
          <w:lang w:val="en-NZ"/>
        </w:rPr>
        <w:tab/>
      </w:r>
      <w:r w:rsidR="006C0050" w:rsidRPr="006C0050">
        <w:rPr>
          <w:b/>
          <w:bCs/>
          <w:iCs/>
          <w:lang w:val="en-NZ"/>
        </w:rPr>
        <w:t>Japan – Document APG23-</w:t>
      </w:r>
      <w:r w:rsidR="00920EC9">
        <w:rPr>
          <w:b/>
          <w:bCs/>
          <w:iCs/>
          <w:lang w:val="en-NZ"/>
        </w:rPr>
        <w:t>2</w:t>
      </w:r>
      <w:r w:rsidR="006C0050" w:rsidRPr="006C0050">
        <w:rPr>
          <w:b/>
          <w:bCs/>
          <w:iCs/>
          <w:lang w:val="en-NZ"/>
        </w:rPr>
        <w:t>/</w:t>
      </w:r>
      <w:hyperlink r:id="rId26" w:history="1">
        <w:r w:rsidR="006C0050" w:rsidRPr="006C0050">
          <w:rPr>
            <w:rStyle w:val="Hyperlink"/>
            <w:b/>
            <w:bCs/>
            <w:iCs/>
            <w:lang w:val="en-NZ"/>
          </w:rPr>
          <w:t>INP-10(Rev.1)</w:t>
        </w:r>
      </w:hyperlink>
    </w:p>
    <w:p w14:paraId="55F4543A" w14:textId="77777777" w:rsidR="006C0050" w:rsidRDefault="006C0050" w:rsidP="006F31AE">
      <w:pPr>
        <w:spacing w:before="120"/>
        <w:jc w:val="both"/>
        <w:rPr>
          <w:rFonts w:eastAsia="MS Mincho"/>
          <w:lang w:eastAsia="ja-JP"/>
        </w:rPr>
      </w:pPr>
      <w:r>
        <w:rPr>
          <w:rFonts w:eastAsia="MS Mincho" w:hint="eastAsia"/>
          <w:lang w:eastAsia="ja-JP"/>
        </w:rPr>
        <w:t>Japan supports on</w:t>
      </w:r>
      <w:r>
        <w:rPr>
          <w:rFonts w:eastAsia="MS Mincho"/>
          <w:lang w:eastAsia="ja-JP"/>
        </w:rPr>
        <w:t xml:space="preserve">going </w:t>
      </w:r>
      <w:r>
        <w:rPr>
          <w:rFonts w:eastAsia="MS Mincho" w:hint="eastAsia"/>
          <w:lang w:eastAsia="ja-JP"/>
        </w:rPr>
        <w:t xml:space="preserve">sharing and </w:t>
      </w:r>
      <w:r>
        <w:rPr>
          <w:rFonts w:eastAsia="MS Mincho"/>
          <w:lang w:eastAsia="ja-JP"/>
        </w:rPr>
        <w:t>compatibility</w:t>
      </w:r>
      <w:r>
        <w:rPr>
          <w:rFonts w:eastAsia="MS Mincho" w:hint="eastAsia"/>
          <w:lang w:eastAsia="ja-JP"/>
        </w:rPr>
        <w:t xml:space="preserve"> </w:t>
      </w:r>
      <w:r>
        <w:rPr>
          <w:rFonts w:eastAsia="MS Mincho"/>
          <w:lang w:eastAsia="ja-JP"/>
        </w:rPr>
        <w:t xml:space="preserve">studies in ITU-R </w:t>
      </w:r>
      <w:r w:rsidRPr="007560B7">
        <w:rPr>
          <w:rFonts w:eastAsia="MS Mincho"/>
          <w:lang w:eastAsia="ja-JP"/>
        </w:rPr>
        <w:t>in accordance with Resolution</w:t>
      </w:r>
      <w:r>
        <w:rPr>
          <w:rFonts w:eastAsia="MS Mincho"/>
          <w:lang w:eastAsia="ja-JP"/>
        </w:rPr>
        <w:t xml:space="preserve"> </w:t>
      </w:r>
      <w:r w:rsidRPr="001D50DD">
        <w:rPr>
          <w:b/>
        </w:rPr>
        <w:t>246 (WRC-19)</w:t>
      </w:r>
      <w:r w:rsidRPr="00EA027D">
        <w:t xml:space="preserve">, which </w:t>
      </w:r>
      <w:r>
        <w:t xml:space="preserve">would be a basis </w:t>
      </w:r>
      <w:r w:rsidRPr="00C06E45">
        <w:rPr>
          <w:rFonts w:eastAsia="MS Mincho"/>
          <w:lang w:eastAsia="ja-JP"/>
        </w:rPr>
        <w:t>to consider the primary allocation to the mobile service in the band 3 600-3 800 MHz in Region 1</w:t>
      </w:r>
      <w:r>
        <w:rPr>
          <w:rFonts w:eastAsia="MS Mincho"/>
          <w:lang w:eastAsia="ja-JP"/>
        </w:rPr>
        <w:t xml:space="preserve"> at WRC-23.</w:t>
      </w:r>
    </w:p>
    <w:p w14:paraId="19501116" w14:textId="77777777" w:rsidR="006C0050" w:rsidRPr="006C0050" w:rsidRDefault="007F740E" w:rsidP="00920EC9">
      <w:pPr>
        <w:spacing w:before="120"/>
        <w:rPr>
          <w:b/>
          <w:bCs/>
          <w:iCs/>
          <w:lang w:val="en-NZ"/>
        </w:rPr>
      </w:pPr>
      <w:r>
        <w:rPr>
          <w:b/>
          <w:bCs/>
          <w:iCs/>
          <w:lang w:val="en-NZ"/>
        </w:rPr>
        <w:t>3.1.2</w:t>
      </w:r>
      <w:r w:rsidR="006C0050" w:rsidRPr="006C0050">
        <w:rPr>
          <w:b/>
          <w:bCs/>
          <w:iCs/>
          <w:lang w:val="en-NZ"/>
        </w:rPr>
        <w:tab/>
        <w:t>Australia – Document APG23-</w:t>
      </w:r>
      <w:r w:rsidR="00920EC9">
        <w:rPr>
          <w:b/>
          <w:bCs/>
          <w:iCs/>
          <w:lang w:val="en-NZ"/>
        </w:rPr>
        <w:t>2</w:t>
      </w:r>
      <w:r w:rsidR="006C0050" w:rsidRPr="006C0050">
        <w:rPr>
          <w:b/>
          <w:bCs/>
          <w:iCs/>
          <w:lang w:val="en-NZ"/>
        </w:rPr>
        <w:t>/</w:t>
      </w:r>
      <w:hyperlink r:id="rId27" w:history="1">
        <w:r w:rsidR="006C0050" w:rsidRPr="006C0050">
          <w:rPr>
            <w:rStyle w:val="Hyperlink"/>
            <w:b/>
            <w:bCs/>
            <w:iCs/>
            <w:lang w:val="en-NZ"/>
          </w:rPr>
          <w:t>INP-24</w:t>
        </w:r>
      </w:hyperlink>
    </w:p>
    <w:p w14:paraId="2FAC2E91" w14:textId="77777777" w:rsidR="006C0050" w:rsidRDefault="006C0050" w:rsidP="006F31AE">
      <w:pPr>
        <w:spacing w:before="120"/>
        <w:jc w:val="both"/>
        <w:rPr>
          <w:iCs/>
          <w:lang w:val="en-NZ"/>
        </w:rPr>
      </w:pPr>
      <w:r w:rsidRPr="00B37E8A">
        <w:t xml:space="preserve">Australia supports </w:t>
      </w:r>
      <w:proofErr w:type="spellStart"/>
      <w:r w:rsidRPr="00B37E8A">
        <w:t>harmonisation</w:t>
      </w:r>
      <w:proofErr w:type="spellEnd"/>
      <w:r w:rsidRPr="00B37E8A">
        <w:t xml:space="preserve"> of international spectrum use. Australia notes that this is a Region 1 issue and does not have a position on this agenda item. However, studies may assist to </w:t>
      </w:r>
      <w:r w:rsidRPr="00B37E8A">
        <w:lastRenderedPageBreak/>
        <w:t>inform a decision on allocation of the 3.6-3.8 GHz band to the mobile, except aeronautical mobile, service on a primary basis within Region 1.</w:t>
      </w:r>
    </w:p>
    <w:p w14:paraId="7B8345A4" w14:textId="77777777" w:rsidR="006C0050" w:rsidRPr="006C0050" w:rsidRDefault="007F740E" w:rsidP="00920EC9">
      <w:pPr>
        <w:spacing w:before="120"/>
        <w:rPr>
          <w:b/>
          <w:bCs/>
          <w:iCs/>
          <w:lang w:val="en-NZ"/>
        </w:rPr>
      </w:pPr>
      <w:r>
        <w:rPr>
          <w:b/>
          <w:bCs/>
          <w:iCs/>
          <w:lang w:val="en-NZ"/>
        </w:rPr>
        <w:t>3.1.3</w:t>
      </w:r>
      <w:r w:rsidR="006C0050" w:rsidRPr="006C0050">
        <w:rPr>
          <w:b/>
          <w:bCs/>
          <w:iCs/>
          <w:lang w:val="en-NZ"/>
        </w:rPr>
        <w:tab/>
        <w:t>Korea – Document APG23-</w:t>
      </w:r>
      <w:r w:rsidR="00920EC9">
        <w:rPr>
          <w:b/>
          <w:bCs/>
          <w:iCs/>
          <w:lang w:val="en-NZ"/>
        </w:rPr>
        <w:t>2</w:t>
      </w:r>
      <w:r w:rsidR="006C0050" w:rsidRPr="006C0050">
        <w:rPr>
          <w:b/>
          <w:bCs/>
          <w:iCs/>
          <w:lang w:val="en-NZ"/>
        </w:rPr>
        <w:t>/</w:t>
      </w:r>
      <w:hyperlink r:id="rId28" w:history="1">
        <w:r w:rsidR="006C0050" w:rsidRPr="006C0050">
          <w:rPr>
            <w:rStyle w:val="Hyperlink"/>
            <w:b/>
            <w:bCs/>
            <w:iCs/>
            <w:lang w:val="en-NZ"/>
          </w:rPr>
          <w:t>INP-30</w:t>
        </w:r>
      </w:hyperlink>
    </w:p>
    <w:p w14:paraId="7613A407" w14:textId="77777777" w:rsidR="006C0050" w:rsidRDefault="00920EC9" w:rsidP="006F31AE">
      <w:pPr>
        <w:spacing w:before="120"/>
        <w:jc w:val="both"/>
      </w:pPr>
      <w:r>
        <w:t>The Republic of Korea supports th</w:t>
      </w:r>
      <w:r>
        <w:rPr>
          <w:rFonts w:hint="eastAsia"/>
          <w:lang w:eastAsia="ko-KR"/>
        </w:rPr>
        <w:t>e</w:t>
      </w:r>
      <w:r>
        <w:t xml:space="preserve"> study on the </w:t>
      </w:r>
      <w:r w:rsidRPr="00DA5DE2">
        <w:t xml:space="preserve">possible </w:t>
      </w:r>
      <w:r>
        <w:t xml:space="preserve">primary </w:t>
      </w:r>
      <w:r w:rsidRPr="00DA5DE2">
        <w:t>allocation of the frequency band 3 600</w:t>
      </w:r>
      <w:r w:rsidRPr="00DA5DE2">
        <w:noBreakHyphen/>
        <w:t>3 800 MHz to the mobile service within Region 1</w:t>
      </w:r>
      <w:r>
        <w:t>,</w:t>
      </w:r>
      <w:r w:rsidRPr="005F687C">
        <w:t xml:space="preserve"> </w:t>
      </w:r>
      <w:proofErr w:type="gramStart"/>
      <w:r>
        <w:t>taking into account</w:t>
      </w:r>
      <w:proofErr w:type="gramEnd"/>
      <w:r>
        <w:t xml:space="preserve"> the benefit of global harmonization spectrum and the added value on worldwide economies of scale.</w:t>
      </w:r>
    </w:p>
    <w:p w14:paraId="6A889FB2" w14:textId="77777777" w:rsidR="00920EC9" w:rsidRPr="000E5DBA" w:rsidRDefault="007F740E" w:rsidP="006C0050">
      <w:pPr>
        <w:spacing w:before="120"/>
        <w:rPr>
          <w:b/>
          <w:bCs/>
        </w:rPr>
      </w:pPr>
      <w:r>
        <w:rPr>
          <w:b/>
          <w:bCs/>
        </w:rPr>
        <w:t>3.1.4</w:t>
      </w:r>
      <w:r w:rsidR="00920EC9" w:rsidRPr="000E5DBA">
        <w:rPr>
          <w:b/>
          <w:bCs/>
        </w:rPr>
        <w:tab/>
      </w:r>
      <w:r w:rsidR="000E5DBA" w:rsidRPr="000E5DBA">
        <w:rPr>
          <w:b/>
          <w:bCs/>
        </w:rPr>
        <w:t>China – Document APG23-2/</w:t>
      </w:r>
      <w:hyperlink r:id="rId29" w:history="1">
        <w:r w:rsidR="000E5DBA" w:rsidRPr="000E5DBA">
          <w:rPr>
            <w:rStyle w:val="Hyperlink"/>
            <w:b/>
            <w:bCs/>
          </w:rPr>
          <w:t>INP-44</w:t>
        </w:r>
      </w:hyperlink>
    </w:p>
    <w:p w14:paraId="166352F2" w14:textId="77777777" w:rsidR="0048419E" w:rsidRDefault="0048419E" w:rsidP="00790FEC">
      <w:pPr>
        <w:pStyle w:val="ListParagraph1"/>
        <w:numPr>
          <w:ilvl w:val="0"/>
          <w:numId w:val="24"/>
        </w:numPr>
        <w:spacing w:beforeLines="50" w:before="120" w:afterLines="50" w:after="120"/>
        <w:ind w:firstLineChars="0"/>
        <w:jc w:val="both"/>
        <w:rPr>
          <w:rFonts w:eastAsia="SimSun"/>
          <w:lang w:eastAsia="zh-CN"/>
        </w:rPr>
      </w:pPr>
      <w:r>
        <w:rPr>
          <w:rFonts w:eastAsia="SimSun" w:hint="eastAsia"/>
          <w:lang w:eastAsia="zh-CN"/>
        </w:rPr>
        <w:t xml:space="preserve">China </w:t>
      </w:r>
      <w:r>
        <w:rPr>
          <w:lang w:val="en-NZ"/>
        </w:rPr>
        <w:t>supports</w:t>
      </w:r>
      <w:r w:rsidR="00790FEC">
        <w:rPr>
          <w:lang w:val="en-NZ"/>
        </w:rPr>
        <w:t xml:space="preserve"> </w:t>
      </w:r>
      <w:r>
        <w:rPr>
          <w:lang w:val="en-NZ"/>
        </w:rPr>
        <w:t xml:space="preserve">studies being conducted in ITU-R in accordance with Resolution </w:t>
      </w:r>
      <w:r>
        <w:rPr>
          <w:rFonts w:eastAsia="SimSun" w:hint="eastAsia"/>
          <w:b/>
          <w:lang w:eastAsia="zh-CN"/>
        </w:rPr>
        <w:t>246</w:t>
      </w:r>
      <w:r>
        <w:rPr>
          <w:b/>
          <w:lang w:val="en-NZ"/>
        </w:rPr>
        <w:t xml:space="preserve"> (WRC-1</w:t>
      </w:r>
      <w:r>
        <w:rPr>
          <w:rFonts w:eastAsia="SimSun" w:hint="eastAsia"/>
          <w:b/>
          <w:lang w:eastAsia="zh-CN"/>
        </w:rPr>
        <w:t>9</w:t>
      </w:r>
      <w:r>
        <w:rPr>
          <w:b/>
          <w:lang w:val="en-NZ"/>
        </w:rPr>
        <w:t>)</w:t>
      </w:r>
      <w:r w:rsidR="00790FEC">
        <w:rPr>
          <w:b/>
          <w:lang w:val="en-NZ"/>
        </w:rPr>
        <w:t xml:space="preserve"> </w:t>
      </w:r>
      <w:r>
        <w:rPr>
          <w:color w:val="000000"/>
        </w:rPr>
        <w:t>including sharing</w:t>
      </w:r>
      <w:r>
        <w:t xml:space="preserve"> and compatibility studies between the mobile service and other services allocated on a primary basis within the frequency band 3</w:t>
      </w:r>
      <w:r w:rsidR="00790FEC">
        <w:t> </w:t>
      </w:r>
      <w:r>
        <w:t>600-3</w:t>
      </w:r>
      <w:r w:rsidR="00790FEC">
        <w:t> </w:t>
      </w:r>
      <w:r>
        <w:t>800 MHz and adjacent bands in Region 1, as appropriate, to ensure protection of those services to which the frequency band is allocated on a primary basis, and not impose undue constraints on the existing services and their future development</w:t>
      </w:r>
      <w:r>
        <w:rPr>
          <w:color w:val="000000"/>
        </w:rPr>
        <w:t>.</w:t>
      </w:r>
    </w:p>
    <w:p w14:paraId="7B71DB3D" w14:textId="77777777" w:rsidR="000E5DBA" w:rsidRDefault="0048419E" w:rsidP="0048419E">
      <w:pPr>
        <w:pStyle w:val="ListParagraph1"/>
        <w:numPr>
          <w:ilvl w:val="0"/>
          <w:numId w:val="24"/>
        </w:numPr>
        <w:spacing w:beforeLines="50" w:before="120" w:afterLines="50" w:after="120"/>
        <w:ind w:firstLineChars="0"/>
        <w:jc w:val="both"/>
        <w:rPr>
          <w:rFonts w:eastAsia="SimSun"/>
          <w:lang w:eastAsia="zh-CN"/>
        </w:rPr>
      </w:pPr>
      <w:r>
        <w:rPr>
          <w:rFonts w:eastAsia="SimSun" w:hint="eastAsia"/>
          <w:lang w:eastAsia="zh-CN"/>
        </w:rPr>
        <w:t xml:space="preserve">China considers the allocation changes of service should </w:t>
      </w:r>
      <w:r w:rsidRPr="00FC4EE9">
        <w:rPr>
          <w:rFonts w:eastAsia="SimSun"/>
          <w:lang w:eastAsia="zh-CN"/>
        </w:rPr>
        <w:t xml:space="preserve">not impose undue constraints on the existing </w:t>
      </w:r>
      <w:r w:rsidRPr="0048419E">
        <w:t>services</w:t>
      </w:r>
      <w:r w:rsidRPr="00FC4EE9">
        <w:rPr>
          <w:rFonts w:eastAsia="SimSun"/>
          <w:lang w:eastAsia="zh-CN"/>
        </w:rPr>
        <w:t xml:space="preserve"> and their future development in Region </w:t>
      </w:r>
      <w:r>
        <w:rPr>
          <w:rFonts w:eastAsia="SimSun" w:hint="eastAsia"/>
          <w:lang w:eastAsia="zh-CN"/>
        </w:rPr>
        <w:t>3</w:t>
      </w:r>
      <w:r w:rsidRPr="00FC4EE9">
        <w:rPr>
          <w:rFonts w:eastAsia="SimSun"/>
          <w:lang w:eastAsia="zh-CN"/>
        </w:rPr>
        <w:t>.</w:t>
      </w:r>
    </w:p>
    <w:p w14:paraId="59F49E62" w14:textId="77777777" w:rsidR="00DB5358" w:rsidRPr="00DB5358" w:rsidRDefault="00DB5358" w:rsidP="00DB5358">
      <w:pPr>
        <w:spacing w:before="120"/>
        <w:rPr>
          <w:b/>
          <w:bCs/>
        </w:rPr>
      </w:pPr>
      <w:r w:rsidRPr="00DB5358">
        <w:rPr>
          <w:b/>
          <w:bCs/>
        </w:rPr>
        <w:t>3.1.</w:t>
      </w:r>
      <w:r>
        <w:rPr>
          <w:b/>
          <w:bCs/>
        </w:rPr>
        <w:t>5</w:t>
      </w:r>
      <w:r w:rsidRPr="00DB5358">
        <w:rPr>
          <w:b/>
          <w:bCs/>
        </w:rPr>
        <w:tab/>
      </w:r>
      <w:r>
        <w:rPr>
          <w:b/>
          <w:bCs/>
        </w:rPr>
        <w:t>Viet Nam</w:t>
      </w:r>
      <w:r w:rsidRPr="00DB5358">
        <w:rPr>
          <w:b/>
          <w:bCs/>
        </w:rPr>
        <w:t xml:space="preserve"> – Document APG23-2/</w:t>
      </w:r>
      <w:hyperlink r:id="rId30" w:history="1">
        <w:r w:rsidRPr="00DB5358">
          <w:rPr>
            <w:rStyle w:val="Hyperlink"/>
            <w:b/>
            <w:bCs/>
          </w:rPr>
          <w:t>INP-50</w:t>
        </w:r>
      </w:hyperlink>
    </w:p>
    <w:p w14:paraId="186CECBF" w14:textId="77777777" w:rsidR="00DB5358" w:rsidRDefault="00DB5358" w:rsidP="00DB5358">
      <w:pPr>
        <w:spacing w:before="120"/>
        <w:jc w:val="both"/>
      </w:pPr>
      <w:r>
        <w:rPr>
          <w:lang w:val="en-GB"/>
        </w:rPr>
        <w:t xml:space="preserve">Viet Nam </w:t>
      </w:r>
      <w:r w:rsidRPr="00B63763">
        <w:rPr>
          <w:lang w:val="en-GB"/>
        </w:rPr>
        <w:t xml:space="preserve">supports studies </w:t>
      </w:r>
      <w:r w:rsidRPr="001C5635">
        <w:t xml:space="preserve">to consider the primary allocation to the mobile service in the </w:t>
      </w:r>
      <w:r>
        <w:t xml:space="preserve">frequency </w:t>
      </w:r>
      <w:r w:rsidRPr="001C5635">
        <w:t xml:space="preserve">band 3 600-3 800 MHz in Region 1 while ensuring the protection of </w:t>
      </w:r>
      <w:r>
        <w:rPr>
          <w:color w:val="201F1E"/>
          <w:shd w:val="clear" w:color="auto" w:fill="FFFFFF"/>
        </w:rPr>
        <w:t>the</w:t>
      </w:r>
      <w:r w:rsidRPr="00A53BCA">
        <w:rPr>
          <w:color w:val="201F1E"/>
          <w:shd w:val="clear" w:color="auto" w:fill="FFFFFF"/>
        </w:rPr>
        <w:t xml:space="preserve"> existing primary services</w:t>
      </w:r>
      <w:r>
        <w:rPr>
          <w:color w:val="201F1E"/>
          <w:shd w:val="clear" w:color="auto" w:fill="FFFFFF"/>
        </w:rPr>
        <w:t xml:space="preserve"> from harmful interference</w:t>
      </w:r>
      <w:r w:rsidRPr="00A53BCA">
        <w:rPr>
          <w:color w:val="201F1E"/>
          <w:shd w:val="clear" w:color="auto" w:fill="FFFFFF"/>
        </w:rPr>
        <w:t xml:space="preserve"> </w:t>
      </w:r>
      <w:r>
        <w:rPr>
          <w:color w:val="201F1E"/>
          <w:shd w:val="clear" w:color="auto" w:fill="FFFFFF"/>
        </w:rPr>
        <w:t xml:space="preserve">and that these existing primary services </w:t>
      </w:r>
      <w:r w:rsidRPr="00A53BCA">
        <w:rPr>
          <w:color w:val="201F1E"/>
          <w:shd w:val="clear" w:color="auto" w:fill="FFFFFF"/>
        </w:rPr>
        <w:t xml:space="preserve">can continue operations without having additional regulatory or technical constraints imposed on these </w:t>
      </w:r>
      <w:proofErr w:type="gramStart"/>
      <w:r w:rsidRPr="00A53BCA">
        <w:rPr>
          <w:color w:val="201F1E"/>
          <w:shd w:val="clear" w:color="auto" w:fill="FFFFFF"/>
        </w:rPr>
        <w:t>services</w:t>
      </w:r>
      <w:proofErr w:type="gramEnd"/>
    </w:p>
    <w:p w14:paraId="25C31861" w14:textId="77777777" w:rsidR="00DB5358" w:rsidRPr="002B0157" w:rsidRDefault="00DB5358" w:rsidP="00DB5358">
      <w:pPr>
        <w:pStyle w:val="BodyText"/>
        <w:spacing w:before="120"/>
        <w:ind w:right="158"/>
      </w:pPr>
      <w:r w:rsidRPr="00AF5FCE">
        <w:rPr>
          <w:color w:val="201F1E"/>
          <w:shd w:val="clear" w:color="auto" w:fill="FFFFFF"/>
        </w:rPr>
        <w:t xml:space="preserve">Taking the above into account, </w:t>
      </w:r>
      <w:r>
        <w:rPr>
          <w:color w:val="201F1E"/>
          <w:shd w:val="clear" w:color="auto" w:fill="FFFFFF"/>
        </w:rPr>
        <w:t>Viet Nam</w:t>
      </w:r>
      <w:r w:rsidRPr="00AF5FCE">
        <w:rPr>
          <w:color w:val="201F1E"/>
          <w:shd w:val="clear" w:color="auto" w:fill="FFFFFF"/>
        </w:rPr>
        <w:t xml:space="preserve"> supports appropriate action at WRC-23.</w:t>
      </w:r>
    </w:p>
    <w:p w14:paraId="488B1588" w14:textId="77777777" w:rsidR="002A0111" w:rsidRPr="0011253E" w:rsidRDefault="002A0111" w:rsidP="0011253E">
      <w:pPr>
        <w:pStyle w:val="ListParagraph"/>
        <w:numPr>
          <w:ilvl w:val="1"/>
          <w:numId w:val="26"/>
        </w:numPr>
        <w:spacing w:before="120" w:after="120"/>
        <w:jc w:val="both"/>
        <w:rPr>
          <w:b/>
          <w:lang w:val="en-NZ"/>
        </w:rPr>
      </w:pPr>
      <w:r w:rsidRPr="0011253E">
        <w:rPr>
          <w:b/>
          <w:lang w:val="en-NZ"/>
        </w:rPr>
        <w:tab/>
        <w:t>S</w:t>
      </w:r>
      <w:r w:rsidRPr="0011253E">
        <w:rPr>
          <w:b/>
          <w:lang w:val="en-NZ" w:eastAsia="ko-KR"/>
        </w:rPr>
        <w:t>ummary of issues raised du</w:t>
      </w:r>
      <w:r w:rsidRPr="0011253E">
        <w:rPr>
          <w:b/>
          <w:lang w:val="en-NZ"/>
        </w:rPr>
        <w:t xml:space="preserve">ring the </w:t>
      </w:r>
      <w:proofErr w:type="gramStart"/>
      <w:r w:rsidRPr="0011253E">
        <w:rPr>
          <w:b/>
          <w:lang w:val="en-NZ"/>
        </w:rPr>
        <w:t>meeting</w:t>
      </w:r>
      <w:proofErr w:type="gramEnd"/>
    </w:p>
    <w:p w14:paraId="1AC5E983" w14:textId="48D0A0C0" w:rsidR="004971D8" w:rsidRPr="004C7D09" w:rsidRDefault="0011253E" w:rsidP="004C7D09">
      <w:pPr>
        <w:pStyle w:val="ListParagraph"/>
        <w:numPr>
          <w:ilvl w:val="0"/>
          <w:numId w:val="18"/>
        </w:numPr>
        <w:jc w:val="both"/>
        <w:rPr>
          <w:lang w:val="en-NZ"/>
        </w:rPr>
      </w:pPr>
      <w:r w:rsidRPr="004C7D09">
        <w:rPr>
          <w:lang w:val="en-NZ"/>
        </w:rPr>
        <w:t xml:space="preserve">Due to </w:t>
      </w:r>
      <w:r w:rsidR="009C2345" w:rsidRPr="004C7D09">
        <w:rPr>
          <w:lang w:val="en-NZ"/>
        </w:rPr>
        <w:t xml:space="preserve">possibility of </w:t>
      </w:r>
      <w:r w:rsidRPr="004C7D09">
        <w:rPr>
          <w:lang w:val="en-NZ"/>
        </w:rPr>
        <w:t xml:space="preserve">contiguous </w:t>
      </w:r>
      <w:r w:rsidR="009C2345" w:rsidRPr="004C7D09">
        <w:rPr>
          <w:lang w:val="en-NZ"/>
        </w:rPr>
        <w:t xml:space="preserve">utilization of the frequency band 3 600 – 3 800 MHz with the lower and upper adjacent frequency bands by the various applications of </w:t>
      </w:r>
      <w:r w:rsidR="00B461E5" w:rsidRPr="004C7D09">
        <w:rPr>
          <w:lang w:val="en-NZ"/>
        </w:rPr>
        <w:t xml:space="preserve">the </w:t>
      </w:r>
      <w:r w:rsidR="009C2345" w:rsidRPr="004C7D09">
        <w:rPr>
          <w:lang w:val="en-NZ"/>
        </w:rPr>
        <w:t xml:space="preserve">mobile service, it is more desirable to satisfy this agenda item </w:t>
      </w:r>
      <w:r w:rsidR="00B461E5" w:rsidRPr="004C7D09">
        <w:rPr>
          <w:lang w:val="en-NZ"/>
        </w:rPr>
        <w:t xml:space="preserve">in WRC-23 </w:t>
      </w:r>
      <w:r w:rsidR="009C2345" w:rsidRPr="004C7D09">
        <w:rPr>
          <w:lang w:val="en-NZ"/>
        </w:rPr>
        <w:t xml:space="preserve">with similar technical and regulatory conditions. As an </w:t>
      </w:r>
      <w:proofErr w:type="gramStart"/>
      <w:r w:rsidR="009C2345" w:rsidRPr="004C7D09">
        <w:rPr>
          <w:lang w:val="en-NZ"/>
        </w:rPr>
        <w:t>example</w:t>
      </w:r>
      <w:proofErr w:type="gramEnd"/>
      <w:r w:rsidR="009C2345" w:rsidRPr="004C7D09">
        <w:rPr>
          <w:lang w:val="en-NZ"/>
        </w:rPr>
        <w:t xml:space="preserve"> guideline, such conditions could be found in RR No. 5.430A</w:t>
      </w:r>
      <w:r w:rsidR="00635483">
        <w:rPr>
          <w:lang w:val="en-NZ"/>
        </w:rPr>
        <w:t xml:space="preserve"> relevant to the allocation of the band in this agenda item</w:t>
      </w:r>
      <w:r w:rsidR="009C2345" w:rsidRPr="004C7D09">
        <w:rPr>
          <w:lang w:val="en-NZ"/>
        </w:rPr>
        <w:t>.</w:t>
      </w:r>
    </w:p>
    <w:p w14:paraId="359BF7AB" w14:textId="77777777" w:rsidR="004C7D09" w:rsidRPr="004C7D09" w:rsidRDefault="004C7D09" w:rsidP="00FA5A7D">
      <w:pPr>
        <w:pStyle w:val="ListParagraph"/>
        <w:numPr>
          <w:ilvl w:val="0"/>
          <w:numId w:val="18"/>
        </w:numPr>
        <w:jc w:val="both"/>
        <w:rPr>
          <w:lang w:val="en-NZ"/>
        </w:rPr>
      </w:pPr>
      <w:r>
        <w:rPr>
          <w:lang w:val="en-NZ"/>
        </w:rPr>
        <w:t xml:space="preserve">The </w:t>
      </w:r>
      <w:r w:rsidR="000E3EE9">
        <w:t>non-overlapping scope of agenda items 1.2 and 1.3 in the dealing with the frequency band 3 600-3 800 MHz discussed.</w:t>
      </w:r>
    </w:p>
    <w:p w14:paraId="734C0421" w14:textId="77777777" w:rsidR="00850737" w:rsidRDefault="00850737" w:rsidP="003E55B6">
      <w:pPr>
        <w:spacing w:before="120" w:after="120"/>
        <w:jc w:val="both"/>
        <w:rPr>
          <w:b/>
          <w:lang w:val="en-NZ" w:eastAsia="ko-KR"/>
        </w:rPr>
      </w:pPr>
    </w:p>
    <w:p w14:paraId="3B7933FD" w14:textId="4D2082F0" w:rsidR="002A0111" w:rsidRPr="00441526" w:rsidRDefault="002A0111" w:rsidP="003E55B6">
      <w:pPr>
        <w:spacing w:before="120" w:after="120"/>
        <w:jc w:val="both"/>
        <w:rPr>
          <w:b/>
          <w:lang w:val="en-NZ" w:eastAsia="ko-KR"/>
        </w:rPr>
      </w:pPr>
      <w:r w:rsidRPr="00441526">
        <w:rPr>
          <w:b/>
          <w:lang w:val="en-NZ" w:eastAsia="ko-KR"/>
        </w:rPr>
        <w:t xml:space="preserve">4. </w:t>
      </w:r>
      <w:r w:rsidRPr="00441526">
        <w:rPr>
          <w:b/>
          <w:lang w:val="en-NZ" w:eastAsia="ko-KR"/>
        </w:rPr>
        <w:tab/>
        <w:t>APT Preliminary View(s)</w:t>
      </w:r>
    </w:p>
    <w:p w14:paraId="33CC34B9" w14:textId="022DA7FB" w:rsidR="008D0FF3" w:rsidRDefault="008D0FF3" w:rsidP="00CF3D5B">
      <w:pPr>
        <w:spacing w:before="120"/>
        <w:jc w:val="both"/>
        <w:rPr>
          <w:lang w:val="en-NZ"/>
        </w:rPr>
      </w:pPr>
      <w:r>
        <w:rPr>
          <w:rFonts w:eastAsia="SimSun"/>
          <w:lang w:eastAsia="zh-CN"/>
        </w:rPr>
        <w:t xml:space="preserve">APT </w:t>
      </w:r>
      <w:r w:rsidR="00850737">
        <w:rPr>
          <w:rFonts w:eastAsia="SimSun"/>
          <w:lang w:eastAsia="zh-CN"/>
        </w:rPr>
        <w:t>M</w:t>
      </w:r>
      <w:r>
        <w:rPr>
          <w:rFonts w:eastAsia="SimSun"/>
          <w:lang w:eastAsia="zh-CN"/>
        </w:rPr>
        <w:t xml:space="preserve">embers are of the view that </w:t>
      </w:r>
      <w:r>
        <w:rPr>
          <w:rFonts w:eastAsia="SimSun" w:hint="eastAsia"/>
          <w:lang w:eastAsia="zh-CN"/>
        </w:rPr>
        <w:t xml:space="preserve">the allocation </w:t>
      </w:r>
      <w:r>
        <w:rPr>
          <w:rFonts w:eastAsia="SimSun"/>
          <w:lang w:eastAsia="zh-CN"/>
        </w:rPr>
        <w:t xml:space="preserve">of </w:t>
      </w:r>
      <w:r w:rsidRPr="00DA5DE2">
        <w:t>the frequency band 3 600</w:t>
      </w:r>
      <w:r w:rsidRPr="00DA5DE2">
        <w:noBreakHyphen/>
        <w:t xml:space="preserve">3 800 MHz to the mobile service </w:t>
      </w:r>
      <w:r>
        <w:t xml:space="preserve">on a primary basis </w:t>
      </w:r>
      <w:r w:rsidRPr="00DA5DE2">
        <w:t>within Region 1</w:t>
      </w:r>
      <w:r>
        <w:t xml:space="preserve">, </w:t>
      </w:r>
      <w:r>
        <w:rPr>
          <w:rFonts w:eastAsia="SimSun" w:hint="eastAsia"/>
          <w:lang w:eastAsia="zh-CN"/>
        </w:rPr>
        <w:t xml:space="preserve">should </w:t>
      </w:r>
      <w:r w:rsidRPr="00FC4EE9">
        <w:rPr>
          <w:rFonts w:eastAsia="SimSun"/>
          <w:lang w:eastAsia="zh-CN"/>
        </w:rPr>
        <w:t xml:space="preserve">not </w:t>
      </w:r>
      <w:r w:rsidR="005A1C21">
        <w:rPr>
          <w:rFonts w:eastAsia="SimSun"/>
          <w:lang w:eastAsia="zh-CN"/>
        </w:rPr>
        <w:t xml:space="preserve">have any </w:t>
      </w:r>
      <w:r>
        <w:rPr>
          <w:rFonts w:eastAsia="SimSun"/>
          <w:lang w:eastAsia="zh-CN"/>
        </w:rPr>
        <w:t xml:space="preserve">adverse </w:t>
      </w:r>
      <w:r w:rsidR="00CF3D5B">
        <w:rPr>
          <w:rFonts w:eastAsia="SimSun"/>
          <w:lang w:eastAsia="zh-CN"/>
        </w:rPr>
        <w:t>e</w:t>
      </w:r>
      <w:r>
        <w:rPr>
          <w:rFonts w:eastAsia="SimSun"/>
          <w:lang w:eastAsia="zh-CN"/>
        </w:rPr>
        <w:t>ffect</w:t>
      </w:r>
      <w:r w:rsidRPr="00FC4EE9">
        <w:rPr>
          <w:rFonts w:eastAsia="SimSun"/>
          <w:lang w:eastAsia="zh-CN"/>
        </w:rPr>
        <w:t xml:space="preserve"> on </w:t>
      </w:r>
      <w:r w:rsidR="005A1C21">
        <w:rPr>
          <w:rFonts w:eastAsia="SimSun"/>
          <w:lang w:eastAsia="zh-CN"/>
        </w:rPr>
        <w:t xml:space="preserve">the allocation of </w:t>
      </w:r>
      <w:r w:rsidRPr="00FC4EE9">
        <w:rPr>
          <w:rFonts w:eastAsia="SimSun"/>
          <w:lang w:eastAsia="zh-CN"/>
        </w:rPr>
        <w:t xml:space="preserve">the existing </w:t>
      </w:r>
      <w:r w:rsidRPr="0048419E">
        <w:t>services</w:t>
      </w:r>
      <w:r w:rsidRPr="00FC4EE9">
        <w:rPr>
          <w:rFonts w:eastAsia="SimSun"/>
          <w:lang w:eastAsia="zh-CN"/>
        </w:rPr>
        <w:t xml:space="preserve"> and their future development in Region </w:t>
      </w:r>
      <w:r>
        <w:rPr>
          <w:rFonts w:eastAsia="SimSun" w:hint="eastAsia"/>
          <w:lang w:eastAsia="zh-CN"/>
        </w:rPr>
        <w:t>3</w:t>
      </w:r>
      <w:r w:rsidRPr="00FC4EE9">
        <w:rPr>
          <w:rFonts w:eastAsia="SimSun"/>
          <w:lang w:eastAsia="zh-CN"/>
        </w:rPr>
        <w:t>.</w:t>
      </w:r>
    </w:p>
    <w:p w14:paraId="758D69CB" w14:textId="77777777" w:rsidR="00850737" w:rsidRDefault="00850737" w:rsidP="003E55B6">
      <w:pPr>
        <w:spacing w:before="120" w:after="120"/>
        <w:jc w:val="both"/>
        <w:rPr>
          <w:b/>
          <w:lang w:val="en-NZ" w:eastAsia="ko-KR"/>
        </w:rPr>
      </w:pPr>
    </w:p>
    <w:p w14:paraId="34CD61C5" w14:textId="2C91EF13" w:rsidR="002A0111" w:rsidRPr="00441526" w:rsidRDefault="002A0111" w:rsidP="003E55B6">
      <w:pPr>
        <w:spacing w:before="120"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462C95BD" w14:textId="77777777" w:rsidR="002A0111" w:rsidRPr="00441526" w:rsidRDefault="004971D8" w:rsidP="00412A1F">
      <w:pPr>
        <w:spacing w:after="120"/>
        <w:jc w:val="both"/>
        <w:rPr>
          <w:lang w:val="en-NZ"/>
        </w:rPr>
      </w:pPr>
      <w:r>
        <w:rPr>
          <w:lang w:val="en-NZ"/>
        </w:rPr>
        <w:t>None</w:t>
      </w:r>
      <w:r w:rsidR="002A0111" w:rsidRPr="00441526">
        <w:rPr>
          <w:lang w:val="en-NZ"/>
        </w:rPr>
        <w:t>.</w:t>
      </w:r>
    </w:p>
    <w:p w14:paraId="3C985294" w14:textId="77777777" w:rsidR="00850737" w:rsidRDefault="00850737" w:rsidP="002A0111">
      <w:pPr>
        <w:spacing w:after="120"/>
        <w:jc w:val="both"/>
        <w:rPr>
          <w:b/>
          <w:lang w:val="en-NZ" w:eastAsia="ko-KR"/>
        </w:rPr>
      </w:pPr>
    </w:p>
    <w:p w14:paraId="37793EF7" w14:textId="4647691D"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41715243" w14:textId="77777777" w:rsidR="002A0111" w:rsidRPr="0011253E" w:rsidRDefault="0011253E" w:rsidP="0011253E">
      <w:pPr>
        <w:spacing w:before="120" w:after="120"/>
        <w:jc w:val="both"/>
        <w:rPr>
          <w:rFonts w:eastAsia="SimSun"/>
          <w:lang w:eastAsia="zh-CN"/>
        </w:rPr>
      </w:pPr>
      <w:r w:rsidRPr="0011253E">
        <w:rPr>
          <w:rFonts w:eastAsia="SimSun"/>
          <w:lang w:eastAsia="zh-CN"/>
        </w:rPr>
        <w:t>APT Members are encouraged to submit their contributions for further considerations in the next APG</w:t>
      </w:r>
      <w:r>
        <w:rPr>
          <w:rFonts w:eastAsia="SimSun"/>
          <w:lang w:eastAsia="zh-CN"/>
        </w:rPr>
        <w:t>23-3</w:t>
      </w:r>
      <w:r w:rsidRPr="0011253E">
        <w:rPr>
          <w:rFonts w:eastAsia="SimSun"/>
          <w:lang w:eastAsia="zh-CN"/>
        </w:rPr>
        <w:t xml:space="preserve"> meeting, </w:t>
      </w:r>
      <w:proofErr w:type="gramStart"/>
      <w:r w:rsidRPr="0011253E">
        <w:rPr>
          <w:rFonts w:eastAsia="SimSun"/>
          <w:lang w:eastAsia="zh-CN"/>
        </w:rPr>
        <w:t>taking into account</w:t>
      </w:r>
      <w:proofErr w:type="gramEnd"/>
      <w:r w:rsidRPr="0011253E">
        <w:rPr>
          <w:rFonts w:eastAsia="SimSun"/>
          <w:lang w:eastAsia="zh-CN"/>
        </w:rPr>
        <w:t xml:space="preserve"> progress of ITU-R studies.</w:t>
      </w:r>
    </w:p>
    <w:p w14:paraId="336DA796" w14:textId="77777777" w:rsidR="002A0111" w:rsidRPr="006F518F" w:rsidRDefault="002A0111" w:rsidP="0011253E">
      <w:pPr>
        <w:spacing w:after="120"/>
        <w:jc w:val="both"/>
        <w:rPr>
          <w:lang w:val="en-NZ"/>
        </w:rPr>
      </w:pPr>
      <w:r>
        <w:rPr>
          <w:b/>
          <w:lang w:val="en-NZ"/>
        </w:rPr>
        <w:lastRenderedPageBreak/>
        <w:t>7</w:t>
      </w:r>
      <w:r w:rsidRPr="00441526">
        <w:rPr>
          <w:b/>
          <w:lang w:val="en-NZ"/>
        </w:rPr>
        <w:t xml:space="preserve">. </w:t>
      </w:r>
      <w:r w:rsidRPr="00441526">
        <w:rPr>
          <w:b/>
          <w:lang w:val="en-NZ"/>
        </w:rPr>
        <w:tab/>
        <w:t>Views from Other Organisations</w:t>
      </w:r>
    </w:p>
    <w:p w14:paraId="10C2F7C4" w14:textId="77777777" w:rsidR="002A0111" w:rsidRPr="00441526" w:rsidRDefault="005206E9" w:rsidP="000B1DD5">
      <w:pPr>
        <w:spacing w:before="120"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22A7DE9D" w14:textId="77777777" w:rsidR="002A0111" w:rsidRPr="00441526" w:rsidRDefault="005206E9" w:rsidP="006E2B54">
      <w:pPr>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Document APG</w:t>
      </w:r>
      <w:r w:rsidR="006B09DB">
        <w:rPr>
          <w:b/>
          <w:lang w:val="en-NZ" w:eastAsia="ko-KR"/>
        </w:rPr>
        <w:t>23-2</w:t>
      </w:r>
      <w:r w:rsidR="002A0111" w:rsidRPr="00441526">
        <w:rPr>
          <w:b/>
          <w:lang w:val="en-NZ" w:eastAsia="ko-KR"/>
        </w:rPr>
        <w:t>/</w:t>
      </w:r>
      <w:hyperlink r:id="rId31" w:history="1">
        <w:r w:rsidR="002A0111" w:rsidRPr="006E2B54">
          <w:rPr>
            <w:rStyle w:val="Hyperlink"/>
            <w:b/>
            <w:lang w:val="en-NZ" w:eastAsia="ko-KR"/>
          </w:rPr>
          <w:t>INF-</w:t>
        </w:r>
        <w:r w:rsidR="006E2B54" w:rsidRPr="006E2B54">
          <w:rPr>
            <w:rStyle w:val="Hyperlink"/>
            <w:b/>
            <w:lang w:val="en-NZ" w:eastAsia="ko-KR"/>
          </w:rPr>
          <w:t>25</w:t>
        </w:r>
      </w:hyperlink>
    </w:p>
    <w:p w14:paraId="1D1400A8" w14:textId="77777777" w:rsidR="006E2B54" w:rsidRPr="006E2B54" w:rsidRDefault="006E2B54" w:rsidP="006E2B54">
      <w:pPr>
        <w:spacing w:before="120"/>
        <w:jc w:val="both"/>
        <w:rPr>
          <w:rFonts w:eastAsia="SimSun"/>
          <w:lang w:eastAsia="zh-CN"/>
        </w:rPr>
      </w:pPr>
      <w:r w:rsidRPr="006E2B54">
        <w:rPr>
          <w:rFonts w:eastAsia="SimSun"/>
          <w:lang w:eastAsia="zh-CN"/>
        </w:rPr>
        <w:t xml:space="preserve">Support to elevate the status of the frequency band 3 600 3 800 MHz for the mobile service, </w:t>
      </w:r>
      <w:proofErr w:type="gramStart"/>
      <w:r w:rsidRPr="006E2B54">
        <w:rPr>
          <w:rFonts w:eastAsia="SimSun"/>
          <w:lang w:eastAsia="zh-CN"/>
        </w:rPr>
        <w:t>with the exception of</w:t>
      </w:r>
      <w:proofErr w:type="gramEnd"/>
      <w:r w:rsidRPr="006E2B54">
        <w:rPr>
          <w:rFonts w:eastAsia="SimSun"/>
          <w:lang w:eastAsia="zh-CN"/>
        </w:rPr>
        <w:t xml:space="preserve"> aeronautical mobile, on a primary basis in Region 1, without imposing unnecessary restrictions on existing services and future development.</w:t>
      </w:r>
    </w:p>
    <w:p w14:paraId="2369FBC8" w14:textId="77777777" w:rsidR="002A0111" w:rsidRPr="00CE5335" w:rsidRDefault="002A0111" w:rsidP="00BF0C0F">
      <w:pPr>
        <w:pStyle w:val="ListParagraph"/>
        <w:numPr>
          <w:ilvl w:val="2"/>
          <w:numId w:val="25"/>
        </w:numPr>
        <w:spacing w:before="120" w:after="120"/>
        <w:jc w:val="both"/>
        <w:rPr>
          <w:b/>
          <w:lang w:val="en-NZ" w:eastAsia="ko-KR"/>
        </w:rPr>
      </w:pPr>
      <w:r w:rsidRPr="00CE5335">
        <w:rPr>
          <w:b/>
          <w:lang w:val="en-NZ" w:eastAsia="ko-KR"/>
        </w:rPr>
        <w:t xml:space="preserve">ATU </w:t>
      </w:r>
      <w:r w:rsidRPr="00441526">
        <w:t xml:space="preserve">- </w:t>
      </w:r>
      <w:r w:rsidRPr="00CE5335">
        <w:rPr>
          <w:b/>
          <w:lang w:val="en-NZ" w:eastAsia="ko-KR"/>
        </w:rPr>
        <w:t>Document APG</w:t>
      </w:r>
      <w:r w:rsidR="006B09DB" w:rsidRPr="00CE5335">
        <w:rPr>
          <w:b/>
          <w:lang w:val="en-NZ" w:eastAsia="ko-KR"/>
        </w:rPr>
        <w:t>23</w:t>
      </w:r>
      <w:r w:rsidRPr="00CE5335">
        <w:rPr>
          <w:b/>
          <w:lang w:val="en-NZ" w:eastAsia="ko-KR"/>
        </w:rPr>
        <w:t>-</w:t>
      </w:r>
      <w:r w:rsidR="006B09DB" w:rsidRPr="00CE5335">
        <w:rPr>
          <w:b/>
          <w:lang w:val="en-NZ" w:eastAsia="ko-KR"/>
        </w:rPr>
        <w:t>2</w:t>
      </w:r>
      <w:r w:rsidRPr="00CE5335">
        <w:rPr>
          <w:b/>
          <w:lang w:val="en-NZ" w:eastAsia="ko-KR"/>
        </w:rPr>
        <w:t>/</w:t>
      </w:r>
      <w:hyperlink r:id="rId32" w:history="1">
        <w:r w:rsidRPr="00CE5335">
          <w:rPr>
            <w:rStyle w:val="Hyperlink"/>
            <w:b/>
            <w:lang w:val="en-NZ" w:eastAsia="ko-KR"/>
          </w:rPr>
          <w:t>INF-</w:t>
        </w:r>
        <w:r w:rsidR="00CE5335" w:rsidRPr="00CE5335">
          <w:rPr>
            <w:rStyle w:val="Hyperlink"/>
            <w:b/>
            <w:lang w:val="en-NZ" w:eastAsia="ko-KR"/>
          </w:rPr>
          <w:t>26</w:t>
        </w:r>
      </w:hyperlink>
    </w:p>
    <w:p w14:paraId="33ECFDD3" w14:textId="77777777" w:rsidR="002A0111" w:rsidRPr="00441526" w:rsidRDefault="00CE5335" w:rsidP="00BF0C0F">
      <w:pPr>
        <w:rPr>
          <w:lang w:val="en-NZ"/>
        </w:rPr>
      </w:pPr>
      <w:r>
        <w:rPr>
          <w:lang w:val="en-NZ"/>
        </w:rPr>
        <w:t xml:space="preserve">Will be provided </w:t>
      </w:r>
      <w:r w:rsidR="00BF0C0F">
        <w:rPr>
          <w:lang w:val="en-NZ"/>
        </w:rPr>
        <w:t>in July 2021 meeting.</w:t>
      </w:r>
    </w:p>
    <w:p w14:paraId="25D25D26" w14:textId="77777777" w:rsidR="002A0111" w:rsidRPr="00441526" w:rsidRDefault="002A0111" w:rsidP="00A74410">
      <w:pPr>
        <w:pStyle w:val="ListParagraph"/>
        <w:numPr>
          <w:ilvl w:val="2"/>
          <w:numId w:val="25"/>
        </w:numPr>
        <w:spacing w:before="120" w:after="120"/>
        <w:jc w:val="both"/>
        <w:rPr>
          <w:b/>
          <w:lang w:val="en-NZ" w:eastAsia="ko-KR"/>
        </w:rPr>
      </w:pPr>
      <w:r w:rsidRPr="00441526">
        <w:rPr>
          <w:b/>
          <w:lang w:val="en-NZ" w:eastAsia="ko-KR"/>
        </w:rPr>
        <w:t xml:space="preserve">CEPT </w:t>
      </w:r>
      <w:r w:rsidRPr="00441526">
        <w:t xml:space="preserve">- </w:t>
      </w:r>
      <w:r w:rsidRPr="00441526">
        <w:rPr>
          <w:b/>
          <w:lang w:val="en-NZ" w:eastAsia="ko-KR"/>
        </w:rPr>
        <w:t>Document APG</w:t>
      </w:r>
      <w:r w:rsidR="006B09DB">
        <w:rPr>
          <w:b/>
          <w:lang w:val="en-NZ" w:eastAsia="ko-KR"/>
        </w:rPr>
        <w:t>23</w:t>
      </w:r>
      <w:r w:rsidRPr="00441526">
        <w:rPr>
          <w:b/>
          <w:lang w:val="en-NZ" w:eastAsia="ko-KR"/>
        </w:rPr>
        <w:t>-</w:t>
      </w:r>
      <w:r w:rsidR="006B09DB">
        <w:rPr>
          <w:b/>
          <w:lang w:val="en-NZ" w:eastAsia="ko-KR"/>
        </w:rPr>
        <w:t>2</w:t>
      </w:r>
      <w:r w:rsidR="00A74410">
        <w:rPr>
          <w:b/>
          <w:lang w:val="en-NZ" w:eastAsia="ko-KR"/>
        </w:rPr>
        <w:t>/</w:t>
      </w:r>
      <w:hyperlink r:id="rId33" w:history="1">
        <w:r w:rsidR="00A74410" w:rsidRPr="001F5B76">
          <w:rPr>
            <w:rStyle w:val="Hyperlink"/>
            <w:b/>
            <w:bCs/>
            <w:lang w:val="en-NZ"/>
          </w:rPr>
          <w:t>INF-35</w:t>
        </w:r>
      </w:hyperlink>
    </w:p>
    <w:p w14:paraId="124C37F3" w14:textId="77777777" w:rsidR="002A0111" w:rsidRPr="00441526" w:rsidRDefault="001F5B76" w:rsidP="006F31AE">
      <w:pPr>
        <w:jc w:val="both"/>
        <w:rPr>
          <w:lang w:val="en-NZ"/>
        </w:rPr>
      </w:pPr>
      <w:r w:rsidRPr="001F5B76">
        <w:rPr>
          <w:lang w:val="en-NZ"/>
        </w:rPr>
        <w:t>CEPT is considering [to support] an upgrade of the mobile, except aeronautical mobile, allocation to primary to</w:t>
      </w:r>
      <w:r>
        <w:rPr>
          <w:lang w:val="en-NZ"/>
        </w:rPr>
        <w:t xml:space="preserve"> </w:t>
      </w:r>
      <w:r w:rsidRPr="001F5B76">
        <w:rPr>
          <w:lang w:val="en-NZ"/>
        </w:rPr>
        <w:t>improve opportunities for the introduction of mobile service applications. This consideration [of support] is subject to</w:t>
      </w:r>
      <w:r>
        <w:rPr>
          <w:lang w:val="en-NZ"/>
        </w:rPr>
        <w:t xml:space="preserve"> </w:t>
      </w:r>
      <w:r w:rsidRPr="001F5B76">
        <w:rPr>
          <w:lang w:val="en-NZ"/>
        </w:rPr>
        <w:t>the conditions that the current use under the existing CEPT regulatory framework can be continued [with the same /</w:t>
      </w:r>
      <w:r>
        <w:rPr>
          <w:lang w:val="en-NZ"/>
        </w:rPr>
        <w:t xml:space="preserve"> </w:t>
      </w:r>
      <w:r w:rsidRPr="001F5B76">
        <w:rPr>
          <w:lang w:val="en-NZ"/>
        </w:rPr>
        <w:t>based on the] technical and regulatory conditions as for the band 3.4‐3.6 GHz (RR No. 5.430A) within CEPT, the</w:t>
      </w:r>
      <w:r>
        <w:rPr>
          <w:lang w:val="en-NZ"/>
        </w:rPr>
        <w:t xml:space="preserve"> </w:t>
      </w:r>
      <w:r w:rsidRPr="001F5B76">
        <w:rPr>
          <w:lang w:val="en-NZ"/>
        </w:rPr>
        <w:t>existing primary services are protected, and that no undue constraints are imposed on the existing services [and their</w:t>
      </w:r>
      <w:r>
        <w:rPr>
          <w:lang w:val="en-NZ"/>
        </w:rPr>
        <w:t xml:space="preserve"> </w:t>
      </w:r>
      <w:r w:rsidRPr="001F5B76">
        <w:rPr>
          <w:lang w:val="en-NZ"/>
        </w:rPr>
        <w:t>future development].</w:t>
      </w:r>
    </w:p>
    <w:p w14:paraId="110B2126" w14:textId="77777777" w:rsidR="002A0111" w:rsidRPr="005A03B7" w:rsidRDefault="002A0111" w:rsidP="001F5B76">
      <w:pPr>
        <w:pStyle w:val="ListParagraph"/>
        <w:numPr>
          <w:ilvl w:val="2"/>
          <w:numId w:val="25"/>
        </w:numPr>
        <w:spacing w:before="120" w:after="120"/>
        <w:jc w:val="both"/>
        <w:rPr>
          <w:b/>
          <w:lang w:val="en-NZ" w:eastAsia="ko-KR"/>
        </w:rPr>
      </w:pPr>
      <w:r w:rsidRPr="005A03B7">
        <w:rPr>
          <w:b/>
          <w:lang w:val="en-NZ" w:eastAsia="ko-KR"/>
        </w:rPr>
        <w:t xml:space="preserve">CITEL </w:t>
      </w:r>
      <w:r w:rsidRPr="00441526">
        <w:t xml:space="preserve">- </w:t>
      </w:r>
      <w:r w:rsidRPr="005A03B7">
        <w:rPr>
          <w:b/>
          <w:lang w:val="en-NZ" w:eastAsia="ko-KR"/>
        </w:rPr>
        <w:t>Document APG</w:t>
      </w:r>
      <w:r w:rsidR="006B09DB" w:rsidRPr="005A03B7">
        <w:rPr>
          <w:b/>
          <w:lang w:val="en-NZ" w:eastAsia="ko-KR"/>
        </w:rPr>
        <w:t>23</w:t>
      </w:r>
      <w:r w:rsidRPr="005A03B7">
        <w:rPr>
          <w:b/>
          <w:lang w:val="en-NZ" w:eastAsia="ko-KR"/>
        </w:rPr>
        <w:t>-</w:t>
      </w:r>
      <w:r w:rsidR="006B09DB" w:rsidRPr="005A03B7">
        <w:rPr>
          <w:b/>
          <w:lang w:val="en-NZ" w:eastAsia="ko-KR"/>
        </w:rPr>
        <w:t>2</w:t>
      </w:r>
      <w:r w:rsidRPr="005A03B7">
        <w:rPr>
          <w:b/>
          <w:lang w:val="en-NZ" w:eastAsia="ko-KR"/>
        </w:rPr>
        <w:t>/</w:t>
      </w:r>
      <w:hyperlink r:id="rId34" w:history="1">
        <w:r w:rsidR="005A03B7" w:rsidRPr="00914F92">
          <w:rPr>
            <w:rStyle w:val="Hyperlink"/>
            <w:b/>
            <w:bCs/>
            <w:lang w:val="en-NZ"/>
          </w:rPr>
          <w:t>INF-34</w:t>
        </w:r>
      </w:hyperlink>
    </w:p>
    <w:p w14:paraId="7303674C" w14:textId="77777777" w:rsidR="002A0111" w:rsidRPr="00441526" w:rsidRDefault="005A03B7" w:rsidP="006F31AE">
      <w:pPr>
        <w:jc w:val="both"/>
        <w:rPr>
          <w:lang w:val="en-NZ"/>
        </w:rPr>
      </w:pPr>
      <w:r w:rsidRPr="005A03B7">
        <w:t>In the interest of global harmonization and economies of scale, In the interest of global harmonization and economies of scale, some administrations support studies to consider the primary allocation to the mobile service in the band 3 600-3 800 MHz in Region 1 while ensuring the protection of those services to which the frequency band is allocated on a primary basis and not impose undue constraints on the existing services and their future development in Region 2.</w:t>
      </w:r>
    </w:p>
    <w:p w14:paraId="649ECD29" w14:textId="77777777" w:rsidR="002A0111" w:rsidRPr="00441526" w:rsidRDefault="005206E9" w:rsidP="00DA670F">
      <w:pPr>
        <w:spacing w:before="120" w:after="120"/>
        <w:jc w:val="both"/>
        <w:rPr>
          <w:b/>
          <w:lang w:val="en-NZ" w:eastAsia="ko-KR"/>
        </w:rPr>
      </w:pPr>
      <w:r>
        <w:rPr>
          <w:b/>
          <w:lang w:val="en-NZ" w:eastAsia="ko-KR"/>
        </w:rPr>
        <w:t>7</w:t>
      </w:r>
      <w:r w:rsidR="002A0111" w:rsidRPr="00441526">
        <w:rPr>
          <w:b/>
          <w:lang w:val="en-NZ" w:eastAsia="ko-KR"/>
        </w:rPr>
        <w:t xml:space="preserve">.1.5 </w:t>
      </w:r>
      <w:r w:rsidR="002A0111" w:rsidRPr="00441526">
        <w:rPr>
          <w:b/>
          <w:lang w:val="en-NZ" w:eastAsia="ko-KR"/>
        </w:rPr>
        <w:tab/>
        <w:t xml:space="preserve">RCC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2A0111" w:rsidRPr="00441526">
        <w:rPr>
          <w:b/>
          <w:lang w:val="en-NZ" w:eastAsia="ko-KR"/>
        </w:rPr>
        <w:t>/</w:t>
      </w:r>
      <w:hyperlink r:id="rId35" w:history="1">
        <w:r w:rsidR="00DA670F" w:rsidRPr="00DA670F">
          <w:rPr>
            <w:rStyle w:val="Hyperlink"/>
            <w:b/>
            <w:bCs/>
            <w:lang w:val="en-NZ"/>
          </w:rPr>
          <w:t>INF-36</w:t>
        </w:r>
      </w:hyperlink>
    </w:p>
    <w:p w14:paraId="3B319628" w14:textId="77777777" w:rsidR="002A0111" w:rsidRPr="00441526" w:rsidRDefault="004D7536" w:rsidP="004D7536">
      <w:pPr>
        <w:rPr>
          <w:lang w:val="en-NZ"/>
        </w:rPr>
      </w:pPr>
      <w:r>
        <w:rPr>
          <w:lang w:val="en-NZ"/>
        </w:rPr>
        <w:t>Has not been determined.</w:t>
      </w:r>
    </w:p>
    <w:p w14:paraId="785A4476" w14:textId="77777777" w:rsidR="002A0111" w:rsidRPr="00441526" w:rsidRDefault="005206E9" w:rsidP="004D2305">
      <w:pPr>
        <w:spacing w:before="120"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3A014B18" w14:textId="77777777" w:rsidR="002A0111" w:rsidRPr="00441526" w:rsidRDefault="005206E9" w:rsidP="004D7536">
      <w:pPr>
        <w:spacing w:after="120"/>
        <w:jc w:val="both"/>
        <w:rPr>
          <w:b/>
          <w:lang w:val="en-NZ" w:eastAsia="ko-KR"/>
        </w:rPr>
      </w:pPr>
      <w:r>
        <w:rPr>
          <w:b/>
          <w:lang w:val="en-NZ" w:eastAsia="ko-KR"/>
        </w:rPr>
        <w:t>7</w:t>
      </w:r>
      <w:r w:rsidR="004D7536">
        <w:rPr>
          <w:b/>
          <w:lang w:val="en-NZ" w:eastAsia="ko-KR"/>
        </w:rPr>
        <w:t xml:space="preserve">.2.1 </w:t>
      </w:r>
      <w:r w:rsidR="004D7536">
        <w:rPr>
          <w:b/>
          <w:lang w:val="en-NZ" w:eastAsia="ko-KR"/>
        </w:rPr>
        <w:tab/>
        <w:t>IARU</w:t>
      </w:r>
    </w:p>
    <w:p w14:paraId="5EAAA4AB" w14:textId="77777777" w:rsidR="002A0111" w:rsidRPr="00441526" w:rsidRDefault="00B33937" w:rsidP="004D2305">
      <w:pPr>
        <w:spacing w:before="120"/>
        <w:rPr>
          <w:lang w:val="en-NZ"/>
        </w:rPr>
      </w:pPr>
      <w:r>
        <w:rPr>
          <w:lang w:val="en-NZ"/>
        </w:rPr>
        <w:t>C</w:t>
      </w:r>
      <w:r w:rsidR="004D7536">
        <w:rPr>
          <w:lang w:val="en-NZ"/>
        </w:rPr>
        <w:t xml:space="preserve">ontribution </w:t>
      </w:r>
      <w:r>
        <w:rPr>
          <w:lang w:val="en-NZ"/>
        </w:rPr>
        <w:t xml:space="preserve">has not been </w:t>
      </w:r>
      <w:r w:rsidR="000B1DD5">
        <w:rPr>
          <w:lang w:val="en-NZ"/>
        </w:rPr>
        <w:t>submitted to</w:t>
      </w:r>
      <w:r w:rsidR="004D7536">
        <w:rPr>
          <w:lang w:val="en-NZ"/>
        </w:rPr>
        <w:t xml:space="preserve"> APG23-2</w:t>
      </w:r>
      <w:r w:rsidR="00EE34CA">
        <w:rPr>
          <w:lang w:val="en-NZ"/>
        </w:rPr>
        <w:t>.</w:t>
      </w:r>
    </w:p>
    <w:p w14:paraId="537C22DD" w14:textId="77777777" w:rsidR="002A0111" w:rsidRPr="00441526" w:rsidRDefault="005206E9" w:rsidP="004D2305">
      <w:pPr>
        <w:spacing w:before="120" w:after="120"/>
        <w:jc w:val="both"/>
        <w:rPr>
          <w:b/>
          <w:lang w:val="en-NZ" w:eastAsia="ko-KR"/>
        </w:rPr>
      </w:pPr>
      <w:r>
        <w:rPr>
          <w:b/>
          <w:lang w:val="en-NZ" w:eastAsia="ko-KR"/>
        </w:rPr>
        <w:t>7</w:t>
      </w:r>
      <w:r w:rsidR="002A0111" w:rsidRPr="00441526">
        <w:rPr>
          <w:b/>
          <w:lang w:val="en-NZ" w:eastAsia="ko-KR"/>
        </w:rPr>
        <w:t xml:space="preserve">.2.2 </w:t>
      </w:r>
      <w:r w:rsidR="002A0111" w:rsidRPr="00441526">
        <w:rPr>
          <w:b/>
          <w:lang w:val="en-NZ" w:eastAsia="ko-KR"/>
        </w:rPr>
        <w:tab/>
        <w:t>ICAO</w:t>
      </w:r>
    </w:p>
    <w:p w14:paraId="5C5263F5" w14:textId="77777777" w:rsidR="002A0111" w:rsidRPr="00441526" w:rsidRDefault="00B33937" w:rsidP="000B1DD5">
      <w:pPr>
        <w:rPr>
          <w:lang w:val="en-NZ"/>
        </w:rPr>
      </w:pPr>
      <w:r>
        <w:rPr>
          <w:lang w:val="en-NZ"/>
        </w:rPr>
        <w:t>C</w:t>
      </w:r>
      <w:r w:rsidR="004D7536">
        <w:rPr>
          <w:lang w:val="en-NZ"/>
        </w:rPr>
        <w:t xml:space="preserve">ontribution </w:t>
      </w:r>
      <w:r>
        <w:rPr>
          <w:lang w:val="en-NZ"/>
        </w:rPr>
        <w:t xml:space="preserve">has not been </w:t>
      </w:r>
      <w:r w:rsidR="000B1DD5">
        <w:rPr>
          <w:lang w:val="en-NZ"/>
        </w:rPr>
        <w:t>submitted to</w:t>
      </w:r>
      <w:r w:rsidR="004D7536">
        <w:rPr>
          <w:lang w:val="en-NZ"/>
        </w:rPr>
        <w:t xml:space="preserve"> APG23-2</w:t>
      </w:r>
      <w:r w:rsidR="00EE34CA">
        <w:rPr>
          <w:lang w:val="en-NZ"/>
        </w:rPr>
        <w:t>.</w:t>
      </w:r>
    </w:p>
    <w:p w14:paraId="5FD18884" w14:textId="77777777" w:rsidR="002A0111" w:rsidRPr="00441526" w:rsidRDefault="002A0111" w:rsidP="002A0111">
      <w:pPr>
        <w:rPr>
          <w:lang w:val="en-NZ"/>
        </w:rPr>
      </w:pPr>
    </w:p>
    <w:p w14:paraId="046F19FB" w14:textId="77777777" w:rsidR="002A0111" w:rsidRPr="00710333" w:rsidRDefault="002A0111" w:rsidP="004D7536">
      <w:pPr>
        <w:jc w:val="center"/>
        <w:rPr>
          <w:snapToGrid w:val="0"/>
          <w:lang w:val="en-NZ"/>
        </w:rPr>
      </w:pPr>
      <w:r w:rsidRPr="00441526">
        <w:rPr>
          <w:lang w:val="en-NZ"/>
        </w:rPr>
        <w:t>____________</w:t>
      </w:r>
    </w:p>
    <w:sectPr w:rsidR="002A0111" w:rsidRPr="00710333" w:rsidSect="00C516C7">
      <w:headerReference w:type="default" r:id="rId36"/>
      <w:footerReference w:type="even" r:id="rId37"/>
      <w:footerReference w:type="default" r:id="rId38"/>
      <w:headerReference w:type="first" r:id="rId39"/>
      <w:footerReference w:type="first" r:id="rId40"/>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326AB" w14:textId="77777777" w:rsidR="003E7D60" w:rsidRDefault="003E7D60">
      <w:r>
        <w:separator/>
      </w:r>
    </w:p>
  </w:endnote>
  <w:endnote w:type="continuationSeparator" w:id="0">
    <w:p w14:paraId="0BBA1AB0" w14:textId="77777777" w:rsidR="003E7D60" w:rsidRDefault="003E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Che">
    <w:altName w:val="BatangChe"/>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4788"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14F4B7"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2CEC" w14:textId="6EE7D846"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6B09DB">
      <w:rPr>
        <w:lang w:eastAsia="ko-KR"/>
      </w:rPr>
      <w:t>2</w:t>
    </w:r>
    <w:r w:rsidR="002A0111">
      <w:rPr>
        <w:lang w:eastAsia="ko-KR"/>
      </w:rPr>
      <w:t>/</w:t>
    </w:r>
    <w:r w:rsidR="00412A1F">
      <w:rPr>
        <w:lang w:eastAsia="ko-KR"/>
      </w:rPr>
      <w:t>OUT</w:t>
    </w:r>
    <w:r>
      <w:rPr>
        <w:lang w:eastAsia="ko-KR"/>
      </w:rPr>
      <w:t>-</w:t>
    </w:r>
    <w:r w:rsidR="00412A1F">
      <w:rPr>
        <w:lang w:eastAsia="ko-KR"/>
      </w:rPr>
      <w:t>07</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FA5A7D">
      <w:rPr>
        <w:rStyle w:val="PageNumber"/>
        <w:noProof/>
      </w:rPr>
      <w:t>3</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FA5A7D">
      <w:rPr>
        <w:rStyle w:val="PageNumber"/>
        <w:noProof/>
      </w:rPr>
      <w:t>3</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136586A5" w14:textId="77777777" w:rsidTr="00BB0EA4">
      <w:trPr>
        <w:trHeight w:val="432"/>
      </w:trPr>
      <w:tc>
        <w:tcPr>
          <w:tcW w:w="1296" w:type="dxa"/>
          <w:tcBorders>
            <w:top w:val="single" w:sz="8" w:space="0" w:color="auto"/>
            <w:bottom w:val="nil"/>
            <w:right w:val="nil"/>
          </w:tcBorders>
        </w:tcPr>
        <w:p w14:paraId="79440408"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415BB20C" w14:textId="77777777" w:rsidR="0092727B" w:rsidRDefault="00717F5F" w:rsidP="0092727B">
          <w:pPr>
            <w:pStyle w:val="Footer"/>
            <w:tabs>
              <w:tab w:val="clear" w:pos="4320"/>
              <w:tab w:val="clear" w:pos="8640"/>
            </w:tabs>
          </w:pPr>
          <w:r>
            <w:t>Azim FARD</w:t>
          </w:r>
        </w:p>
        <w:p w14:paraId="75CA5C09" w14:textId="77777777" w:rsidR="002A0111" w:rsidRPr="002A0111" w:rsidRDefault="002A0111" w:rsidP="00717F5F">
          <w:pPr>
            <w:pStyle w:val="Footer"/>
            <w:tabs>
              <w:tab w:val="clear" w:pos="4320"/>
              <w:tab w:val="clear" w:pos="8640"/>
            </w:tabs>
          </w:pPr>
          <w:r>
            <w:t>Chairman, DG AI1.</w:t>
          </w:r>
          <w:r w:rsidR="00717F5F">
            <w:t>3</w:t>
          </w:r>
          <w:r>
            <w:t xml:space="preserve">/WP </w:t>
          </w:r>
          <w:r w:rsidR="00717F5F">
            <w:t>1</w:t>
          </w:r>
        </w:p>
      </w:tc>
      <w:tc>
        <w:tcPr>
          <w:tcW w:w="2880" w:type="dxa"/>
          <w:tcBorders>
            <w:top w:val="single" w:sz="8" w:space="0" w:color="auto"/>
            <w:left w:val="nil"/>
            <w:bottom w:val="nil"/>
          </w:tcBorders>
        </w:tcPr>
        <w:p w14:paraId="6F39B1C3" w14:textId="77777777" w:rsidR="0092727B" w:rsidRPr="0092727B" w:rsidRDefault="0092727B" w:rsidP="0092727B">
          <w:pPr>
            <w:pStyle w:val="Footer"/>
            <w:tabs>
              <w:tab w:val="clear" w:pos="4320"/>
              <w:tab w:val="clear" w:pos="8640"/>
            </w:tabs>
          </w:pPr>
          <w:r>
            <w:t>E-mail:</w:t>
          </w:r>
          <w:r w:rsidR="00717F5F">
            <w:t xml:space="preserve"> azimfard@cra.ir</w:t>
          </w:r>
        </w:p>
      </w:tc>
    </w:tr>
  </w:tbl>
  <w:p w14:paraId="38EB24B6"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ABD35" w14:textId="77777777" w:rsidR="003E7D60" w:rsidRDefault="003E7D60">
      <w:r>
        <w:separator/>
      </w:r>
    </w:p>
  </w:footnote>
  <w:footnote w:type="continuationSeparator" w:id="0">
    <w:p w14:paraId="6CB6C74B" w14:textId="77777777" w:rsidR="003E7D60" w:rsidRDefault="003E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FB09" w14:textId="77777777" w:rsidR="0097693B" w:rsidRDefault="0097693B" w:rsidP="0092727B">
    <w:pPr>
      <w:pStyle w:val="Header"/>
      <w:tabs>
        <w:tab w:val="clear" w:pos="4320"/>
        <w:tab w:val="clear" w:pos="8640"/>
      </w:tabs>
      <w:rPr>
        <w:lang w:eastAsia="ko-KR"/>
      </w:rPr>
    </w:pPr>
  </w:p>
  <w:p w14:paraId="5F2571EB"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E4F1"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C01A24"/>
    <w:multiLevelType w:val="multilevel"/>
    <w:tmpl w:val="2E9005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F370862"/>
    <w:multiLevelType w:val="hybridMultilevel"/>
    <w:tmpl w:val="9CE0D584"/>
    <w:lvl w:ilvl="0" w:tplc="81F6568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4" w15:restartNumberingAfterBreak="0">
    <w:nsid w:val="4DA9037E"/>
    <w:multiLevelType w:val="hybridMultilevel"/>
    <w:tmpl w:val="30B2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9A7504"/>
    <w:multiLevelType w:val="multilevel"/>
    <w:tmpl w:val="B59258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D000F4"/>
    <w:multiLevelType w:val="multilevel"/>
    <w:tmpl w:val="78B8BD92"/>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2"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4"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1"/>
  </w:num>
  <w:num w:numId="2">
    <w:abstractNumId w:val="5"/>
  </w:num>
  <w:num w:numId="3">
    <w:abstractNumId w:val="4"/>
  </w:num>
  <w:num w:numId="4">
    <w:abstractNumId w:val="20"/>
  </w:num>
  <w:num w:numId="5">
    <w:abstractNumId w:val="10"/>
  </w:num>
  <w:num w:numId="6">
    <w:abstractNumId w:val="12"/>
  </w:num>
  <w:num w:numId="7">
    <w:abstractNumId w:val="2"/>
  </w:num>
  <w:num w:numId="8">
    <w:abstractNumId w:val="1"/>
  </w:num>
  <w:num w:numId="9">
    <w:abstractNumId w:val="23"/>
  </w:num>
  <w:num w:numId="10">
    <w:abstractNumId w:val="17"/>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4"/>
  </w:num>
  <w:num w:numId="17">
    <w:abstractNumId w:val="16"/>
  </w:num>
  <w:num w:numId="18">
    <w:abstractNumId w:val="13"/>
  </w:num>
  <w:num w:numId="19">
    <w:abstractNumId w:val="22"/>
  </w:num>
  <w:num w:numId="20">
    <w:abstractNumId w:val="9"/>
  </w:num>
  <w:num w:numId="21">
    <w:abstractNumId w:val="21"/>
  </w:num>
  <w:num w:numId="22">
    <w:abstractNumId w:val="25"/>
  </w:num>
  <w:num w:numId="23">
    <w:abstractNumId w:val="8"/>
  </w:num>
  <w:num w:numId="24">
    <w:abstractNumId w:val="7"/>
  </w:num>
  <w:num w:numId="25">
    <w:abstractNumId w:val="19"/>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29CF"/>
    <w:rsid w:val="00010C8E"/>
    <w:rsid w:val="00022907"/>
    <w:rsid w:val="0003595B"/>
    <w:rsid w:val="00036517"/>
    <w:rsid w:val="00036CC9"/>
    <w:rsid w:val="00040149"/>
    <w:rsid w:val="0005699B"/>
    <w:rsid w:val="00070642"/>
    <w:rsid w:val="000713CF"/>
    <w:rsid w:val="00075C14"/>
    <w:rsid w:val="000822B5"/>
    <w:rsid w:val="00086BBC"/>
    <w:rsid w:val="00094B87"/>
    <w:rsid w:val="000A012B"/>
    <w:rsid w:val="000A4D0B"/>
    <w:rsid w:val="000A5418"/>
    <w:rsid w:val="000B1DD5"/>
    <w:rsid w:val="000D47FB"/>
    <w:rsid w:val="000E3EE9"/>
    <w:rsid w:val="000E5DBA"/>
    <w:rsid w:val="000F345F"/>
    <w:rsid w:val="000F517C"/>
    <w:rsid w:val="000F5540"/>
    <w:rsid w:val="00105F1A"/>
    <w:rsid w:val="0011253E"/>
    <w:rsid w:val="00125FBD"/>
    <w:rsid w:val="001409B2"/>
    <w:rsid w:val="00152636"/>
    <w:rsid w:val="00153818"/>
    <w:rsid w:val="001539DD"/>
    <w:rsid w:val="00156782"/>
    <w:rsid w:val="00165F01"/>
    <w:rsid w:val="001731F4"/>
    <w:rsid w:val="001916F2"/>
    <w:rsid w:val="001930A7"/>
    <w:rsid w:val="00196568"/>
    <w:rsid w:val="00197C18"/>
    <w:rsid w:val="001A2F16"/>
    <w:rsid w:val="001B1804"/>
    <w:rsid w:val="001B18C2"/>
    <w:rsid w:val="001B4285"/>
    <w:rsid w:val="001C443F"/>
    <w:rsid w:val="001C61A5"/>
    <w:rsid w:val="001C6707"/>
    <w:rsid w:val="001D5D7E"/>
    <w:rsid w:val="001F5947"/>
    <w:rsid w:val="001F5B76"/>
    <w:rsid w:val="00202410"/>
    <w:rsid w:val="00207910"/>
    <w:rsid w:val="00214A0C"/>
    <w:rsid w:val="0021588B"/>
    <w:rsid w:val="00215C19"/>
    <w:rsid w:val="002161B6"/>
    <w:rsid w:val="002216AC"/>
    <w:rsid w:val="00225813"/>
    <w:rsid w:val="0023212E"/>
    <w:rsid w:val="002475E2"/>
    <w:rsid w:val="002506D2"/>
    <w:rsid w:val="00250DE2"/>
    <w:rsid w:val="00254A1B"/>
    <w:rsid w:val="0026064A"/>
    <w:rsid w:val="00264566"/>
    <w:rsid w:val="00265E36"/>
    <w:rsid w:val="00277B8F"/>
    <w:rsid w:val="00283904"/>
    <w:rsid w:val="0028454D"/>
    <w:rsid w:val="00291C9E"/>
    <w:rsid w:val="002926D4"/>
    <w:rsid w:val="0029734E"/>
    <w:rsid w:val="002A0111"/>
    <w:rsid w:val="002A3CF5"/>
    <w:rsid w:val="002B06A3"/>
    <w:rsid w:val="002B435C"/>
    <w:rsid w:val="002B447F"/>
    <w:rsid w:val="002C07DA"/>
    <w:rsid w:val="002C2A49"/>
    <w:rsid w:val="002C7EA9"/>
    <w:rsid w:val="002D150B"/>
    <w:rsid w:val="002D59EC"/>
    <w:rsid w:val="002F575D"/>
    <w:rsid w:val="0030570B"/>
    <w:rsid w:val="003113D7"/>
    <w:rsid w:val="00311E8A"/>
    <w:rsid w:val="00342F20"/>
    <w:rsid w:val="00360377"/>
    <w:rsid w:val="00366548"/>
    <w:rsid w:val="0037385C"/>
    <w:rsid w:val="0038005B"/>
    <w:rsid w:val="003809C7"/>
    <w:rsid w:val="0038236C"/>
    <w:rsid w:val="00393DCD"/>
    <w:rsid w:val="00395B40"/>
    <w:rsid w:val="003A2006"/>
    <w:rsid w:val="003A6568"/>
    <w:rsid w:val="003B4FD1"/>
    <w:rsid w:val="003B6263"/>
    <w:rsid w:val="003C29E6"/>
    <w:rsid w:val="003C64A7"/>
    <w:rsid w:val="003D1128"/>
    <w:rsid w:val="003D1671"/>
    <w:rsid w:val="003D3D47"/>
    <w:rsid w:val="003D3FDA"/>
    <w:rsid w:val="003D6D00"/>
    <w:rsid w:val="003E166F"/>
    <w:rsid w:val="003E55B6"/>
    <w:rsid w:val="003E7D60"/>
    <w:rsid w:val="003F2A90"/>
    <w:rsid w:val="003F307E"/>
    <w:rsid w:val="004001E5"/>
    <w:rsid w:val="00412A1F"/>
    <w:rsid w:val="0041313C"/>
    <w:rsid w:val="00420822"/>
    <w:rsid w:val="00420C74"/>
    <w:rsid w:val="0043506A"/>
    <w:rsid w:val="004379AD"/>
    <w:rsid w:val="0044086E"/>
    <w:rsid w:val="00441526"/>
    <w:rsid w:val="004465AA"/>
    <w:rsid w:val="00446A5E"/>
    <w:rsid w:val="0045458F"/>
    <w:rsid w:val="004633B4"/>
    <w:rsid w:val="00472892"/>
    <w:rsid w:val="0048419E"/>
    <w:rsid w:val="00495CED"/>
    <w:rsid w:val="004971D8"/>
    <w:rsid w:val="004A2F96"/>
    <w:rsid w:val="004A4BDF"/>
    <w:rsid w:val="004B3553"/>
    <w:rsid w:val="004B3F4B"/>
    <w:rsid w:val="004C1166"/>
    <w:rsid w:val="004C7D09"/>
    <w:rsid w:val="004D2305"/>
    <w:rsid w:val="004D7536"/>
    <w:rsid w:val="004E1FCA"/>
    <w:rsid w:val="004E47D6"/>
    <w:rsid w:val="004E507D"/>
    <w:rsid w:val="004F446E"/>
    <w:rsid w:val="00503189"/>
    <w:rsid w:val="005075D8"/>
    <w:rsid w:val="00516BD1"/>
    <w:rsid w:val="005206E9"/>
    <w:rsid w:val="00526D01"/>
    <w:rsid w:val="00530E8C"/>
    <w:rsid w:val="00535D34"/>
    <w:rsid w:val="00545933"/>
    <w:rsid w:val="00552105"/>
    <w:rsid w:val="005562F2"/>
    <w:rsid w:val="00557544"/>
    <w:rsid w:val="00565BBB"/>
    <w:rsid w:val="00571B26"/>
    <w:rsid w:val="00585F3C"/>
    <w:rsid w:val="00586CA0"/>
    <w:rsid w:val="00587875"/>
    <w:rsid w:val="005A03B7"/>
    <w:rsid w:val="005A1C21"/>
    <w:rsid w:val="005A63EB"/>
    <w:rsid w:val="005B0876"/>
    <w:rsid w:val="005C33B6"/>
    <w:rsid w:val="005D6202"/>
    <w:rsid w:val="005D6E98"/>
    <w:rsid w:val="00607E2B"/>
    <w:rsid w:val="00610D9B"/>
    <w:rsid w:val="006139D6"/>
    <w:rsid w:val="00616D1B"/>
    <w:rsid w:val="00623CE1"/>
    <w:rsid w:val="00627880"/>
    <w:rsid w:val="0063062B"/>
    <w:rsid w:val="00634A82"/>
    <w:rsid w:val="00635483"/>
    <w:rsid w:val="00637351"/>
    <w:rsid w:val="00646166"/>
    <w:rsid w:val="00646FC5"/>
    <w:rsid w:val="00652A65"/>
    <w:rsid w:val="00652BDD"/>
    <w:rsid w:val="00654896"/>
    <w:rsid w:val="006621F0"/>
    <w:rsid w:val="0066373D"/>
    <w:rsid w:val="006647BA"/>
    <w:rsid w:val="00667229"/>
    <w:rsid w:val="00682BE5"/>
    <w:rsid w:val="00683846"/>
    <w:rsid w:val="00690FED"/>
    <w:rsid w:val="006939A5"/>
    <w:rsid w:val="006B09DB"/>
    <w:rsid w:val="006B70E1"/>
    <w:rsid w:val="006C0050"/>
    <w:rsid w:val="006D5223"/>
    <w:rsid w:val="006D5970"/>
    <w:rsid w:val="006E12FC"/>
    <w:rsid w:val="006E2B54"/>
    <w:rsid w:val="006F0F24"/>
    <w:rsid w:val="006F1F41"/>
    <w:rsid w:val="006F2B2E"/>
    <w:rsid w:val="006F31AE"/>
    <w:rsid w:val="006F6A5C"/>
    <w:rsid w:val="00703F6F"/>
    <w:rsid w:val="007052B3"/>
    <w:rsid w:val="00705962"/>
    <w:rsid w:val="00707C21"/>
    <w:rsid w:val="00712451"/>
    <w:rsid w:val="00717DE9"/>
    <w:rsid w:val="00717F5F"/>
    <w:rsid w:val="0072518B"/>
    <w:rsid w:val="00731041"/>
    <w:rsid w:val="007329E4"/>
    <w:rsid w:val="00732F08"/>
    <w:rsid w:val="007342F0"/>
    <w:rsid w:val="0074190C"/>
    <w:rsid w:val="0075493D"/>
    <w:rsid w:val="00762576"/>
    <w:rsid w:val="007673CA"/>
    <w:rsid w:val="00790FEC"/>
    <w:rsid w:val="00791060"/>
    <w:rsid w:val="007926EA"/>
    <w:rsid w:val="007B5626"/>
    <w:rsid w:val="007B6124"/>
    <w:rsid w:val="007D3C53"/>
    <w:rsid w:val="007E3A0F"/>
    <w:rsid w:val="007F0AE6"/>
    <w:rsid w:val="007F2628"/>
    <w:rsid w:val="007F2FBA"/>
    <w:rsid w:val="007F6CCF"/>
    <w:rsid w:val="007F740E"/>
    <w:rsid w:val="00800C3A"/>
    <w:rsid w:val="0080570B"/>
    <w:rsid w:val="008148E1"/>
    <w:rsid w:val="00822B33"/>
    <w:rsid w:val="008319BF"/>
    <w:rsid w:val="008415F0"/>
    <w:rsid w:val="008433C2"/>
    <w:rsid w:val="00844457"/>
    <w:rsid w:val="008454C8"/>
    <w:rsid w:val="00850737"/>
    <w:rsid w:val="00851D78"/>
    <w:rsid w:val="0087122A"/>
    <w:rsid w:val="008A016F"/>
    <w:rsid w:val="008A0DDE"/>
    <w:rsid w:val="008A1A0D"/>
    <w:rsid w:val="008A72E1"/>
    <w:rsid w:val="008A76ED"/>
    <w:rsid w:val="008B3C72"/>
    <w:rsid w:val="008C5FED"/>
    <w:rsid w:val="008D0E09"/>
    <w:rsid w:val="008D0FF3"/>
    <w:rsid w:val="008E0B6F"/>
    <w:rsid w:val="008E3140"/>
    <w:rsid w:val="00903007"/>
    <w:rsid w:val="00914F92"/>
    <w:rsid w:val="00920EC9"/>
    <w:rsid w:val="00923816"/>
    <w:rsid w:val="0092727B"/>
    <w:rsid w:val="0093074B"/>
    <w:rsid w:val="00930E64"/>
    <w:rsid w:val="00943CF9"/>
    <w:rsid w:val="0094608E"/>
    <w:rsid w:val="00947024"/>
    <w:rsid w:val="00956F8C"/>
    <w:rsid w:val="00961D57"/>
    <w:rsid w:val="00976716"/>
    <w:rsid w:val="0097693B"/>
    <w:rsid w:val="00993355"/>
    <w:rsid w:val="009963F7"/>
    <w:rsid w:val="009A11CB"/>
    <w:rsid w:val="009A4A6D"/>
    <w:rsid w:val="009B44DD"/>
    <w:rsid w:val="009B5C71"/>
    <w:rsid w:val="009B7E42"/>
    <w:rsid w:val="009C2345"/>
    <w:rsid w:val="009C7235"/>
    <w:rsid w:val="009D02BD"/>
    <w:rsid w:val="009D46CE"/>
    <w:rsid w:val="009D4ADA"/>
    <w:rsid w:val="009E13DD"/>
    <w:rsid w:val="009F547A"/>
    <w:rsid w:val="00A03D78"/>
    <w:rsid w:val="00A0503B"/>
    <w:rsid w:val="00A059CD"/>
    <w:rsid w:val="00A105CF"/>
    <w:rsid w:val="00A13265"/>
    <w:rsid w:val="00A14900"/>
    <w:rsid w:val="00A2159F"/>
    <w:rsid w:val="00A23C16"/>
    <w:rsid w:val="00A324FF"/>
    <w:rsid w:val="00A529BC"/>
    <w:rsid w:val="00A5346C"/>
    <w:rsid w:val="00A53F51"/>
    <w:rsid w:val="00A562F0"/>
    <w:rsid w:val="00A564FB"/>
    <w:rsid w:val="00A614C1"/>
    <w:rsid w:val="00A61EA6"/>
    <w:rsid w:val="00A657BF"/>
    <w:rsid w:val="00A71136"/>
    <w:rsid w:val="00A74410"/>
    <w:rsid w:val="00A92578"/>
    <w:rsid w:val="00AA474C"/>
    <w:rsid w:val="00AC35EF"/>
    <w:rsid w:val="00AC4D5B"/>
    <w:rsid w:val="00AD1DDB"/>
    <w:rsid w:val="00AD2697"/>
    <w:rsid w:val="00AD7E5F"/>
    <w:rsid w:val="00AE3066"/>
    <w:rsid w:val="00AF4FF2"/>
    <w:rsid w:val="00AF68E4"/>
    <w:rsid w:val="00AF750A"/>
    <w:rsid w:val="00B00A87"/>
    <w:rsid w:val="00B01AA1"/>
    <w:rsid w:val="00B06025"/>
    <w:rsid w:val="00B30C81"/>
    <w:rsid w:val="00B30DA1"/>
    <w:rsid w:val="00B33937"/>
    <w:rsid w:val="00B461E5"/>
    <w:rsid w:val="00B4793B"/>
    <w:rsid w:val="00B507FE"/>
    <w:rsid w:val="00B56099"/>
    <w:rsid w:val="00B64A60"/>
    <w:rsid w:val="00B661AC"/>
    <w:rsid w:val="00B8468D"/>
    <w:rsid w:val="00B937D7"/>
    <w:rsid w:val="00B96B67"/>
    <w:rsid w:val="00BB0EA4"/>
    <w:rsid w:val="00BC57EF"/>
    <w:rsid w:val="00BC69DB"/>
    <w:rsid w:val="00BE23D3"/>
    <w:rsid w:val="00BE6931"/>
    <w:rsid w:val="00BE6B6B"/>
    <w:rsid w:val="00BF0C0F"/>
    <w:rsid w:val="00BF25F9"/>
    <w:rsid w:val="00C00B04"/>
    <w:rsid w:val="00C13FD5"/>
    <w:rsid w:val="00C15633"/>
    <w:rsid w:val="00C15799"/>
    <w:rsid w:val="00C32E84"/>
    <w:rsid w:val="00C35415"/>
    <w:rsid w:val="00C357AD"/>
    <w:rsid w:val="00C516C7"/>
    <w:rsid w:val="00C51C5F"/>
    <w:rsid w:val="00C554CC"/>
    <w:rsid w:val="00C6069C"/>
    <w:rsid w:val="00C70477"/>
    <w:rsid w:val="00C72AD4"/>
    <w:rsid w:val="00C74745"/>
    <w:rsid w:val="00C85119"/>
    <w:rsid w:val="00C95C48"/>
    <w:rsid w:val="00C966C3"/>
    <w:rsid w:val="00CA41E7"/>
    <w:rsid w:val="00CD170C"/>
    <w:rsid w:val="00CD320B"/>
    <w:rsid w:val="00CD3F37"/>
    <w:rsid w:val="00CD5431"/>
    <w:rsid w:val="00CE4B93"/>
    <w:rsid w:val="00CE5335"/>
    <w:rsid w:val="00CF2491"/>
    <w:rsid w:val="00CF3963"/>
    <w:rsid w:val="00CF3D5B"/>
    <w:rsid w:val="00D1252E"/>
    <w:rsid w:val="00D13D9D"/>
    <w:rsid w:val="00D14AFE"/>
    <w:rsid w:val="00D416A3"/>
    <w:rsid w:val="00D459A2"/>
    <w:rsid w:val="00D530FF"/>
    <w:rsid w:val="00D53688"/>
    <w:rsid w:val="00D5407A"/>
    <w:rsid w:val="00D57772"/>
    <w:rsid w:val="00D72AE3"/>
    <w:rsid w:val="00D75A4D"/>
    <w:rsid w:val="00D8478B"/>
    <w:rsid w:val="00D86151"/>
    <w:rsid w:val="00D9172D"/>
    <w:rsid w:val="00D97E84"/>
    <w:rsid w:val="00DA5641"/>
    <w:rsid w:val="00DA670F"/>
    <w:rsid w:val="00DA7595"/>
    <w:rsid w:val="00DB0A68"/>
    <w:rsid w:val="00DB5358"/>
    <w:rsid w:val="00DC43A3"/>
    <w:rsid w:val="00DC4CF3"/>
    <w:rsid w:val="00DC5C01"/>
    <w:rsid w:val="00DC7A8A"/>
    <w:rsid w:val="00DD7C09"/>
    <w:rsid w:val="00DE4CFE"/>
    <w:rsid w:val="00DF0EB4"/>
    <w:rsid w:val="00DF111E"/>
    <w:rsid w:val="00E0124F"/>
    <w:rsid w:val="00E33F11"/>
    <w:rsid w:val="00E5762A"/>
    <w:rsid w:val="00E674D3"/>
    <w:rsid w:val="00E70FD0"/>
    <w:rsid w:val="00E72B2C"/>
    <w:rsid w:val="00E7309D"/>
    <w:rsid w:val="00E77C4B"/>
    <w:rsid w:val="00E9301F"/>
    <w:rsid w:val="00E9690A"/>
    <w:rsid w:val="00E97DC7"/>
    <w:rsid w:val="00EC0660"/>
    <w:rsid w:val="00EE34CA"/>
    <w:rsid w:val="00EE3757"/>
    <w:rsid w:val="00F000EF"/>
    <w:rsid w:val="00F2504E"/>
    <w:rsid w:val="00F2585B"/>
    <w:rsid w:val="00F4053F"/>
    <w:rsid w:val="00F516E7"/>
    <w:rsid w:val="00F57BF7"/>
    <w:rsid w:val="00F6263E"/>
    <w:rsid w:val="00F627C2"/>
    <w:rsid w:val="00F736FD"/>
    <w:rsid w:val="00F84067"/>
    <w:rsid w:val="00FA50B4"/>
    <w:rsid w:val="00FA5A7D"/>
    <w:rsid w:val="00FB6E83"/>
    <w:rsid w:val="00FC156A"/>
    <w:rsid w:val="00FD4542"/>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160FD0"/>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ECC Hyperlink,CEO_Hyperlink,超级链接"/>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character" w:customStyle="1" w:styleId="ListParagraphChar">
    <w:name w:val="List Paragraph Char"/>
    <w:basedOn w:val="DefaultParagraphFont"/>
    <w:link w:val="ListParagraph"/>
    <w:uiPriority w:val="34"/>
    <w:locked/>
    <w:rsid w:val="0044086E"/>
    <w:rPr>
      <w:rFonts w:eastAsia="BatangChe"/>
      <w:sz w:val="24"/>
      <w:szCs w:val="24"/>
    </w:rPr>
  </w:style>
  <w:style w:type="character" w:styleId="FollowedHyperlink">
    <w:name w:val="FollowedHyperlink"/>
    <w:basedOn w:val="DefaultParagraphFont"/>
    <w:semiHidden/>
    <w:unhideWhenUsed/>
    <w:rsid w:val="001B4285"/>
    <w:rPr>
      <w:color w:val="800080" w:themeColor="followedHyperlink"/>
      <w:u w:val="single"/>
    </w:rPr>
  </w:style>
  <w:style w:type="paragraph" w:customStyle="1" w:styleId="Tabletext">
    <w:name w:val="Table_text"/>
    <w:basedOn w:val="Normal"/>
    <w:link w:val="TabletextChar"/>
    <w:rsid w:val="00610D9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Calibri" w:eastAsia="Batang" w:hAnsi="Calibri" w:cs="Calibri"/>
      <w:sz w:val="20"/>
      <w:szCs w:val="22"/>
      <w:lang w:eastAsia="nl-NL"/>
    </w:rPr>
  </w:style>
  <w:style w:type="character" w:customStyle="1" w:styleId="TabletextChar">
    <w:name w:val="Table_text Char"/>
    <w:basedOn w:val="DefaultParagraphFont"/>
    <w:link w:val="Tabletext"/>
    <w:locked/>
    <w:rsid w:val="00610D9B"/>
    <w:rPr>
      <w:rFonts w:ascii="Calibri" w:hAnsi="Calibri" w:cs="Calibri"/>
      <w:szCs w:val="22"/>
      <w:lang w:eastAsia="nl-NL"/>
    </w:rPr>
  </w:style>
  <w:style w:type="paragraph" w:customStyle="1" w:styleId="StyleCall10pt">
    <w:name w:val="Style Call + 10 pt"/>
    <w:basedOn w:val="Normal"/>
    <w:rsid w:val="00610D9B"/>
    <w:pPr>
      <w:keepNext/>
      <w:keepLines/>
      <w:tabs>
        <w:tab w:val="left" w:pos="794"/>
        <w:tab w:val="left" w:pos="1191"/>
        <w:tab w:val="left" w:pos="1588"/>
        <w:tab w:val="left" w:pos="1985"/>
      </w:tabs>
      <w:overflowPunct w:val="0"/>
      <w:autoSpaceDE w:val="0"/>
      <w:autoSpaceDN w:val="0"/>
      <w:adjustRightInd w:val="0"/>
      <w:spacing w:before="40" w:after="40" w:line="280" w:lineRule="exact"/>
      <w:ind w:left="794"/>
      <w:textAlignment w:val="baseline"/>
    </w:pPr>
    <w:rPr>
      <w:rFonts w:ascii="Calibri" w:eastAsia="Batang" w:hAnsi="Calibri" w:cs="Calibri"/>
      <w:i/>
      <w:iCs/>
      <w:sz w:val="20"/>
      <w:szCs w:val="22"/>
    </w:rPr>
  </w:style>
  <w:style w:type="paragraph" w:customStyle="1" w:styleId="ListParagraph1">
    <w:name w:val="List Paragraph1"/>
    <w:basedOn w:val="Normal"/>
    <w:uiPriority w:val="34"/>
    <w:qFormat/>
    <w:rsid w:val="0048419E"/>
    <w:pPr>
      <w:ind w:firstLineChars="200" w:firstLine="420"/>
    </w:pPr>
  </w:style>
  <w:style w:type="paragraph" w:styleId="BodyText">
    <w:name w:val="Body Text"/>
    <w:basedOn w:val="Normal"/>
    <w:link w:val="BodyTextChar"/>
    <w:qFormat/>
    <w:rsid w:val="00DB5358"/>
    <w:pPr>
      <w:widowControl w:val="0"/>
      <w:autoSpaceDE w:val="0"/>
      <w:autoSpaceDN w:val="0"/>
    </w:pPr>
    <w:rPr>
      <w:rFonts w:eastAsia="Times New Roman"/>
    </w:rPr>
  </w:style>
  <w:style w:type="character" w:customStyle="1" w:styleId="BodyTextChar">
    <w:name w:val="Body Text Char"/>
    <w:basedOn w:val="DefaultParagraphFont"/>
    <w:link w:val="BodyText"/>
    <w:rsid w:val="00DB5358"/>
    <w:rPr>
      <w:rFonts w:eastAsia="Times New Roman"/>
      <w:sz w:val="24"/>
      <w:szCs w:val="24"/>
    </w:rPr>
  </w:style>
  <w:style w:type="paragraph" w:customStyle="1" w:styleId="Default">
    <w:name w:val="Default"/>
    <w:rsid w:val="006E2B5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dms_pub/itu-r/md/19/wp5a/c/R19-WP5A-C-0221!N04!MSW-E.docx" TargetMode="External"/><Relationship Id="rId18" Type="http://schemas.openxmlformats.org/officeDocument/2006/relationships/hyperlink" Target="https://www.apt.int/sites/default/files/2021/04/APG23-2-INP-30_WP1_kor.docx" TargetMode="External"/><Relationship Id="rId26" Type="http://schemas.openxmlformats.org/officeDocument/2006/relationships/hyperlink" Target="https://www.apt.int/sites/default/files/2021/04/APG23-2-INP-10Rev.1.docx" TargetMode="External"/><Relationship Id="rId39" Type="http://schemas.openxmlformats.org/officeDocument/2006/relationships/header" Target="header2.xml"/><Relationship Id="rId21" Type="http://schemas.openxmlformats.org/officeDocument/2006/relationships/hyperlink" Target="https://www.apt.int/sites/default/files/2021/03/APG23-2-INF-10_Briefing_on_AI1.3.docx" TargetMode="External"/><Relationship Id="rId34" Type="http://schemas.openxmlformats.org/officeDocument/2006/relationships/hyperlink" Target="https://www.apt.int/sites/default/files/2021/04/APG23-2-INF-34_CITEL_Preparation_for_WRC-23.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pt.int/sites/default/files/2021/04/APG23-2-INP-10Rev.1.docx" TargetMode="External"/><Relationship Id="rId20" Type="http://schemas.openxmlformats.org/officeDocument/2006/relationships/hyperlink" Target="https://www.apt.int/sites/default/files/2021/04/APG23-2-INP-50_VTN_WP1_PV_1.1_1.2_1.3_1.4_1.5.docx" TargetMode="External"/><Relationship Id="rId29" Type="http://schemas.openxmlformats.org/officeDocument/2006/relationships/hyperlink" Target="https://www.apt.int/sites/default/files/2021/04/APG23-2-INP-44_PRELIMINARY_VIEWS_ON_WRC-23_AGENDA_ITEMS_1.1_1.2_1.3_AND_NO.21.5.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dms_pub/itu-r/md/00/ca/cir/R00-CA-CIR-0251!!PDF-E.pdf" TargetMode="External"/><Relationship Id="rId24" Type="http://schemas.openxmlformats.org/officeDocument/2006/relationships/hyperlink" Target="https://www.apt.int/sites/default/files/2021/04/APG23-2-INF-34_CITEL_Preparation_for_WRC-23.pdf" TargetMode="External"/><Relationship Id="rId32" Type="http://schemas.openxmlformats.org/officeDocument/2006/relationships/hyperlink" Target="https://www.apt.int/sites/default/files/2021/04/APG23-2-INF-26_State_of_ATU_WRC-23_Preparations.docx"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tu.int/md/R19-WP5A-C-0221/en" TargetMode="External"/><Relationship Id="rId23" Type="http://schemas.openxmlformats.org/officeDocument/2006/relationships/hyperlink" Target="https://www.apt.int/sites/default/files/2021/04/APG23-2-INF-30_GSMA_contribution_APG23-2_final.docx" TargetMode="External"/><Relationship Id="rId28" Type="http://schemas.openxmlformats.org/officeDocument/2006/relationships/hyperlink" Target="https://www.apt.int/sites/default/files/2021/04/APG23-2-INP-30_WP1_kor.docx" TargetMode="External"/><Relationship Id="rId36" Type="http://schemas.openxmlformats.org/officeDocument/2006/relationships/header" Target="header1.xml"/><Relationship Id="rId10" Type="http://schemas.openxmlformats.org/officeDocument/2006/relationships/hyperlink" Target="https://www.itu.int/md/R16-WRC19-C-0094/en" TargetMode="External"/><Relationship Id="rId19" Type="http://schemas.openxmlformats.org/officeDocument/2006/relationships/hyperlink" Target="https://www.apt.int/sites/default/files/2021/04/APG23-2-INP-44_PRELIMINARY_VIEWS_ON_WRC-23_AGENDA_ITEMS_1.1_1.2_1.3_AND_NO.21.5.docx" TargetMode="External"/><Relationship Id="rId31" Type="http://schemas.openxmlformats.org/officeDocument/2006/relationships/hyperlink" Target="https://www.apt.int/sites/default/files/2021/04/APG23-2-INF-25_ASMG_Preparation_for_WRC-23.pdf" TargetMode="External"/><Relationship Id="rId4" Type="http://schemas.openxmlformats.org/officeDocument/2006/relationships/settings" Target="settings.xml"/><Relationship Id="rId9" Type="http://schemas.openxmlformats.org/officeDocument/2006/relationships/hyperlink" Target="https://www.itu.int/md/R16-WRC19-C-0029/en" TargetMode="External"/><Relationship Id="rId14" Type="http://schemas.openxmlformats.org/officeDocument/2006/relationships/hyperlink" Target="https://www.itu.int/dms_pub/itu-r/md/19/wp5a/c/R19-WP5A-C-0221!N05!MSW-E.docx" TargetMode="External"/><Relationship Id="rId22" Type="http://schemas.openxmlformats.org/officeDocument/2006/relationships/hyperlink" Target="https://www.apt.int/sites/default/files/2021/04/APG23-2-INF-25_ASMG_Preparation_for_WRC-23.pdf" TargetMode="External"/><Relationship Id="rId27" Type="http://schemas.openxmlformats.org/officeDocument/2006/relationships/hyperlink" Target="https://www.apt.int/sites/default/files/2021/04/APG23-2-INP-24_AUS_contribution_for_WP1_Preliminary_Views_on_WRC-23_Agenda_Items_1.1_1.2_1.3_1.4_1.5_9.1Topic_c_and_No._21.5.docx" TargetMode="External"/><Relationship Id="rId30" Type="http://schemas.openxmlformats.org/officeDocument/2006/relationships/hyperlink" Target="https://www.apt.int/sites/default/files/2021/04/APG23-2-INP-50_VTN_WP1_PV_1.1_1.2_1.3_1.4_1.5.docx" TargetMode="External"/><Relationship Id="rId35" Type="http://schemas.openxmlformats.org/officeDocument/2006/relationships/hyperlink" Target="https://www.apt.int/sites/default/files/2021/04/APG23-2-INF-36_RCC_Preparation_to_the_World_Radio_Conference_and_Radio_Assembly_2023.pdf"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itu.int/en/ITU-R/study-groups/rsg5/rwp5a/Pages/default.aspx" TargetMode="External"/><Relationship Id="rId17" Type="http://schemas.openxmlformats.org/officeDocument/2006/relationships/hyperlink" Target="https://www.apt.int/sites/default/files/2021/04/APG23-2-INP-24_AUS_contribution_for_WP1_Preliminary_Views_on_WRC-23_Agenda_Items_1.1_1.2_1.3_1.4_1.5_9.1Topic_c_and_No._21.5.docx" TargetMode="External"/><Relationship Id="rId25" Type="http://schemas.openxmlformats.org/officeDocument/2006/relationships/hyperlink" Target="https://www.apt.int/sites/default/files/2021/04/APG23-2-INF-35_Status_of_CEPT_Preparation_for_WRC-23_and_RA-23.pdf" TargetMode="External"/><Relationship Id="rId33" Type="http://schemas.openxmlformats.org/officeDocument/2006/relationships/hyperlink" Target="https://www.apt.int/sites/default/files/2021/04/APG23-2-INF-35_Status_of_CEPT_Preparation_for_WRC-23_and_RA-23.pdf"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44F4B-3E6E-42D1-BD6F-18296C09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1542</Words>
  <Characters>8795</Characters>
  <Application>Microsoft Office Word</Application>
  <DocSecurity>0</DocSecurity>
  <Lines>73</Lines>
  <Paragraphs>20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6</cp:revision>
  <cp:lastPrinted>2015-02-02T07:28:00Z</cp:lastPrinted>
  <dcterms:created xsi:type="dcterms:W3CDTF">2021-04-23T04:30:00Z</dcterms:created>
  <dcterms:modified xsi:type="dcterms:W3CDTF">2021-04-26T04:56:00Z</dcterms:modified>
</cp:coreProperties>
</file>