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07BAC1BA" w14:textId="77777777" w:rsidTr="00194A2D">
        <w:trPr>
          <w:cantSplit/>
          <w:trHeight w:val="288"/>
        </w:trPr>
        <w:tc>
          <w:tcPr>
            <w:tcW w:w="1399" w:type="dxa"/>
            <w:vMerge w:val="restart"/>
          </w:tcPr>
          <w:p w14:paraId="73DB6E8D"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46E7A28" wp14:editId="7D512B44">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42D194C" w14:textId="77777777" w:rsidR="00C516C7" w:rsidRPr="00E86131" w:rsidRDefault="00C516C7" w:rsidP="00194A2D">
            <w:r w:rsidRPr="00E86131">
              <w:t>ASIA-PACIFIC TELECOMMUNITY</w:t>
            </w:r>
          </w:p>
        </w:tc>
        <w:tc>
          <w:tcPr>
            <w:tcW w:w="2160" w:type="dxa"/>
          </w:tcPr>
          <w:p w14:paraId="11305F0A" w14:textId="77777777" w:rsidR="00C516C7" w:rsidRPr="00723BE9" w:rsidRDefault="00C516C7" w:rsidP="00194A2D">
            <w:pPr>
              <w:rPr>
                <w:b/>
                <w:sz w:val="22"/>
                <w:szCs w:val="22"/>
              </w:rPr>
            </w:pPr>
            <w:r w:rsidRPr="00723BE9">
              <w:rPr>
                <w:b/>
              </w:rPr>
              <w:t>Document No:</w:t>
            </w:r>
          </w:p>
        </w:tc>
      </w:tr>
      <w:tr w:rsidR="00C516C7" w:rsidRPr="00C15799" w14:paraId="016852D1" w14:textId="77777777" w:rsidTr="00194A2D">
        <w:trPr>
          <w:cantSplit/>
          <w:trHeight w:val="504"/>
        </w:trPr>
        <w:tc>
          <w:tcPr>
            <w:tcW w:w="1399" w:type="dxa"/>
            <w:vMerge/>
          </w:tcPr>
          <w:p w14:paraId="22A6ADCD" w14:textId="77777777" w:rsidR="00C516C7" w:rsidRPr="00891D0B" w:rsidRDefault="00C516C7" w:rsidP="00194A2D"/>
        </w:tc>
        <w:tc>
          <w:tcPr>
            <w:tcW w:w="5760" w:type="dxa"/>
          </w:tcPr>
          <w:p w14:paraId="6F6651E9"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43613993"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03EAA5D5" w14:textId="0C3FCFEA" w:rsidR="00C516C7" w:rsidRPr="00F461F2" w:rsidRDefault="00C516C7" w:rsidP="00194A2D">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340B6D">
              <w:rPr>
                <w:b/>
                <w:bCs/>
                <w:lang w:val="fr-FR"/>
              </w:rPr>
              <w:t>OUT</w:t>
            </w:r>
            <w:r>
              <w:rPr>
                <w:b/>
                <w:bCs/>
                <w:lang w:val="fr-FR"/>
              </w:rPr>
              <w:t>-</w:t>
            </w:r>
            <w:r w:rsidR="00340B6D">
              <w:rPr>
                <w:rFonts w:cstheme="minorBidi"/>
                <w:b/>
                <w:bCs/>
                <w:szCs w:val="30"/>
                <w:lang w:bidi="th-TH"/>
              </w:rPr>
              <w:t>09</w:t>
            </w:r>
          </w:p>
          <w:p w14:paraId="5BE87F4B" w14:textId="77777777" w:rsidR="00C516C7" w:rsidRDefault="00C516C7" w:rsidP="00194A2D">
            <w:pPr>
              <w:spacing w:line="0" w:lineRule="atLeast"/>
              <w:rPr>
                <w:b/>
              </w:rPr>
            </w:pPr>
          </w:p>
        </w:tc>
      </w:tr>
      <w:tr w:rsidR="00C516C7" w:rsidRPr="00891D0B" w14:paraId="2099708A" w14:textId="77777777" w:rsidTr="00194A2D">
        <w:trPr>
          <w:cantSplit/>
          <w:trHeight w:val="288"/>
        </w:trPr>
        <w:tc>
          <w:tcPr>
            <w:tcW w:w="1399" w:type="dxa"/>
            <w:vMerge/>
          </w:tcPr>
          <w:p w14:paraId="1A3DC4FD" w14:textId="77777777" w:rsidR="00C516C7" w:rsidRPr="007E1FDD" w:rsidRDefault="00C516C7" w:rsidP="00194A2D">
            <w:pPr>
              <w:rPr>
                <w:lang w:val="en-GB"/>
              </w:rPr>
            </w:pPr>
          </w:p>
        </w:tc>
        <w:tc>
          <w:tcPr>
            <w:tcW w:w="5760" w:type="dxa"/>
            <w:vAlign w:val="bottom"/>
          </w:tcPr>
          <w:p w14:paraId="4EBAE611"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7318FC71" w14:textId="3CC6C748" w:rsidR="00C516C7" w:rsidRDefault="007F0AE6" w:rsidP="006B68DE">
            <w:r>
              <w:rPr>
                <w:bCs/>
              </w:rPr>
              <w:t>2</w:t>
            </w:r>
            <w:r w:rsidR="003A7E84">
              <w:rPr>
                <w:bCs/>
              </w:rPr>
              <w:t>3</w:t>
            </w:r>
            <w:r w:rsidR="00C516C7" w:rsidRPr="007E1FDD">
              <w:rPr>
                <w:bCs/>
              </w:rPr>
              <w:t xml:space="preserve"> </w:t>
            </w:r>
            <w:r>
              <w:rPr>
                <w:bCs/>
              </w:rPr>
              <w:t xml:space="preserve">April </w:t>
            </w:r>
            <w:r w:rsidR="00C516C7" w:rsidRPr="007E1FDD">
              <w:rPr>
                <w:bCs/>
              </w:rPr>
              <w:t>20</w:t>
            </w:r>
            <w:r>
              <w:rPr>
                <w:bCs/>
              </w:rPr>
              <w:t>21</w:t>
            </w:r>
          </w:p>
        </w:tc>
      </w:tr>
    </w:tbl>
    <w:p w14:paraId="397F30C8" w14:textId="77777777" w:rsidR="00311E8A" w:rsidRDefault="00311E8A" w:rsidP="0072518B">
      <w:pPr>
        <w:jc w:val="center"/>
        <w:rPr>
          <w:lang w:val="en-NZ"/>
        </w:rPr>
      </w:pPr>
    </w:p>
    <w:p w14:paraId="5F7F298B" w14:textId="014EB93F" w:rsidR="00B64A60" w:rsidRPr="002A0111" w:rsidRDefault="00340B6D" w:rsidP="00E26B16">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44255218"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25197">
        <w:rPr>
          <w:b/>
          <w:bCs/>
          <w:caps/>
          <w:lang w:val="en-NZ"/>
        </w:rPr>
        <w:t>5</w:t>
      </w:r>
    </w:p>
    <w:p w14:paraId="18056C90" w14:textId="77777777" w:rsidR="00B64A60" w:rsidRPr="00441526" w:rsidRDefault="00B64A60" w:rsidP="00264566">
      <w:pPr>
        <w:spacing w:after="120"/>
        <w:rPr>
          <w:lang w:val="en-NZ"/>
        </w:rPr>
      </w:pPr>
    </w:p>
    <w:p w14:paraId="23228B95" w14:textId="160090CB" w:rsidR="002A0111" w:rsidRPr="00441526" w:rsidRDefault="002A0111" w:rsidP="002A0111">
      <w:pPr>
        <w:spacing w:after="120"/>
        <w:jc w:val="both"/>
        <w:rPr>
          <w:lang w:val="en-NZ"/>
        </w:rPr>
      </w:pPr>
      <w:r w:rsidRPr="00441526">
        <w:rPr>
          <w:b/>
          <w:lang w:val="en-NZ"/>
        </w:rPr>
        <w:t>Agenda Item 1.</w:t>
      </w:r>
      <w:r w:rsidR="00925197">
        <w:rPr>
          <w:b/>
          <w:lang w:val="en-NZ"/>
        </w:rPr>
        <w:t>5</w:t>
      </w:r>
      <w:r w:rsidRPr="00441526">
        <w:rPr>
          <w:b/>
          <w:lang w:val="en-NZ"/>
        </w:rPr>
        <w:t xml:space="preserve">: </w:t>
      </w:r>
    </w:p>
    <w:p w14:paraId="1057F58F" w14:textId="77777777" w:rsidR="00925197" w:rsidRPr="003E0AFE" w:rsidRDefault="00925197" w:rsidP="006C5616">
      <w:pPr>
        <w:pStyle w:val="ListParagraph"/>
        <w:ind w:left="0"/>
        <w:jc w:val="both"/>
        <w:rPr>
          <w:rFonts w:ascii="Calibri" w:eastAsia="Batang" w:hAnsi="Calibri" w:cs="Calibri"/>
          <w:lang w:eastAsia="nl-NL"/>
        </w:rPr>
      </w:pPr>
      <w:r w:rsidRPr="009D055C">
        <w:rPr>
          <w:i/>
          <w:lang w:val="en-NZ"/>
        </w:rPr>
        <w:t xml:space="preserve">to review the </w:t>
      </w:r>
      <w:proofErr w:type="gramStart"/>
      <w:r w:rsidRPr="009D055C">
        <w:rPr>
          <w:i/>
          <w:lang w:val="en-NZ"/>
        </w:rPr>
        <w:t>spectrum</w:t>
      </w:r>
      <w:proofErr w:type="gramEnd"/>
      <w:r w:rsidRPr="009D055C">
        <w:rPr>
          <w:i/>
          <w:lang w:val="en-NZ"/>
        </w:rPr>
        <w:t xml:space="preserve"> use and spectrum needs of existing services in the frequency band 470-960 MHz in Region 1 and consider possible regulatory actions in the frequency band 470</w:t>
      </w:r>
      <w:r w:rsidRPr="009D055C">
        <w:rPr>
          <w:i/>
          <w:lang w:val="en-NZ"/>
        </w:rPr>
        <w:noBreakHyphen/>
        <w:t xml:space="preserve">694 MHz in Region 1 on the basis of the review in accordance with Resolution </w:t>
      </w:r>
      <w:r w:rsidRPr="00A767AF">
        <w:rPr>
          <w:b/>
          <w:i/>
          <w:lang w:val="en-NZ"/>
        </w:rPr>
        <w:t>235 (WRC</w:t>
      </w:r>
      <w:r w:rsidRPr="00A767AF">
        <w:rPr>
          <w:b/>
          <w:i/>
          <w:lang w:val="en-NZ"/>
        </w:rPr>
        <w:noBreakHyphen/>
        <w:t>15)</w:t>
      </w:r>
      <w:r w:rsidRPr="009D055C">
        <w:rPr>
          <w:i/>
          <w:lang w:val="en-NZ"/>
        </w:rPr>
        <w:t>;</w:t>
      </w:r>
    </w:p>
    <w:p w14:paraId="6B4E33B5" w14:textId="77777777" w:rsidR="002A0111" w:rsidRPr="00441526" w:rsidRDefault="002A0111" w:rsidP="00E26B16">
      <w:pPr>
        <w:spacing w:before="120" w:after="120"/>
        <w:jc w:val="both"/>
        <w:outlineLvl w:val="0"/>
        <w:rPr>
          <w:b/>
          <w:lang w:val="en-NZ" w:eastAsia="ko-KR"/>
        </w:rPr>
      </w:pPr>
      <w:r w:rsidRPr="00441526">
        <w:rPr>
          <w:b/>
          <w:lang w:val="en-NZ" w:eastAsia="ko-KR"/>
        </w:rPr>
        <w:t xml:space="preserve">1. </w:t>
      </w:r>
      <w:r w:rsidRPr="00441526">
        <w:rPr>
          <w:b/>
          <w:lang w:val="en-NZ" w:eastAsia="ko-KR"/>
        </w:rPr>
        <w:tab/>
        <w:t>Background</w:t>
      </w:r>
    </w:p>
    <w:p w14:paraId="6E2B2CE7" w14:textId="77777777" w:rsidR="00BE19CC" w:rsidRDefault="001050A7" w:rsidP="00BE19CC">
      <w:pPr>
        <w:jc w:val="both"/>
        <w:rPr>
          <w:rFonts w:eastAsiaTheme="minorEastAsia"/>
          <w:lang w:val="en-NZ" w:eastAsia="zh-CN"/>
        </w:rPr>
      </w:pPr>
      <w:r>
        <w:t xml:space="preserve">During </w:t>
      </w:r>
      <w:r w:rsidRPr="00113916">
        <w:rPr>
          <w:bCs/>
        </w:rPr>
        <w:t>WRC-15</w:t>
      </w:r>
      <w:r>
        <w:t xml:space="preserve">, after proposal of </w:t>
      </w:r>
      <w:r w:rsidRPr="00113916">
        <w:rPr>
          <w:bCs/>
        </w:rPr>
        <w:t>WRC-19</w:t>
      </w:r>
      <w:r>
        <w:t xml:space="preserve"> agenda item by multiple Region 1 administrations for studying Region 1 identification of 470-694/698 MHz for IMT and consequent Plenary-session </w:t>
      </w:r>
      <w:r w:rsidRPr="003E0724">
        <w:rPr>
          <w:lang w:val="en-NZ"/>
        </w:rPr>
        <w:t>discussions</w:t>
      </w:r>
      <w:r>
        <w:t xml:space="preserve">, an agenda item was proposed for </w:t>
      </w:r>
      <w:r w:rsidRPr="00113916">
        <w:rPr>
          <w:bCs/>
        </w:rPr>
        <w:t>WRC-23</w:t>
      </w:r>
      <w:r w:rsidRPr="00730AE5">
        <w:t>,</w:t>
      </w:r>
      <w:r>
        <w:rPr>
          <w:b/>
          <w:bCs/>
        </w:rPr>
        <w:t xml:space="preserve"> </w:t>
      </w:r>
      <w:r>
        <w:t xml:space="preserve">as item </w:t>
      </w:r>
      <w:r w:rsidRPr="00113916">
        <w:rPr>
          <w:bCs/>
        </w:rPr>
        <w:t>2.5</w:t>
      </w:r>
      <w:r>
        <w:t xml:space="preserve"> in the Resolution </w:t>
      </w:r>
      <w:r w:rsidRPr="00F551FB">
        <w:rPr>
          <w:b/>
          <w:bCs/>
        </w:rPr>
        <w:t>810 (WRC-15)</w:t>
      </w:r>
      <w:r>
        <w:t xml:space="preserve">. This proposal was approved in </w:t>
      </w:r>
      <w:r w:rsidRPr="00113916">
        <w:rPr>
          <w:bCs/>
        </w:rPr>
        <w:t>WRC-19</w:t>
      </w:r>
      <w:r>
        <w:t xml:space="preserve"> as agenda item </w:t>
      </w:r>
      <w:r>
        <w:rPr>
          <w:bCs/>
        </w:rPr>
        <w:t>1.5</w:t>
      </w:r>
      <w:r>
        <w:t xml:space="preserve"> and the relevant Resolution </w:t>
      </w:r>
      <w:r w:rsidRPr="00A631BD">
        <w:rPr>
          <w:b/>
          <w:bCs/>
        </w:rPr>
        <w:t>235</w:t>
      </w:r>
      <w:r>
        <w:t xml:space="preserve"> </w:t>
      </w:r>
      <w:r w:rsidRPr="00A32668">
        <w:rPr>
          <w:b/>
          <w:bCs/>
        </w:rPr>
        <w:t>(WRC-15)</w:t>
      </w:r>
      <w:r>
        <w:t xml:space="preserve"> kept intact.</w:t>
      </w:r>
      <w:r w:rsidR="004C34AF" w:rsidRPr="004C34AF">
        <w:rPr>
          <w:rFonts w:eastAsiaTheme="minorEastAsia"/>
          <w:lang w:val="en-NZ" w:eastAsia="zh-CN"/>
        </w:rPr>
        <w:t xml:space="preserve"> </w:t>
      </w:r>
    </w:p>
    <w:p w14:paraId="5C99A6E8" w14:textId="2EC238BA" w:rsidR="00BE19CC" w:rsidRPr="00A00FFB" w:rsidRDefault="00F23CD1" w:rsidP="00A00FFB">
      <w:pPr>
        <w:autoSpaceDE w:val="0"/>
        <w:autoSpaceDN w:val="0"/>
        <w:adjustRightInd w:val="0"/>
        <w:spacing w:before="120"/>
        <w:jc w:val="both"/>
        <w:rPr>
          <w:lang w:val="en-NZ"/>
        </w:rPr>
      </w:pPr>
      <w:r>
        <w:rPr>
          <w:rFonts w:eastAsiaTheme="minorEastAsia"/>
          <w:lang w:val="en-NZ" w:eastAsia="zh-CN"/>
        </w:rPr>
        <w:t xml:space="preserve">The </w:t>
      </w:r>
      <w:r>
        <w:t xml:space="preserve">Resolution </w:t>
      </w:r>
      <w:r w:rsidRPr="00A631BD">
        <w:rPr>
          <w:b/>
          <w:bCs/>
        </w:rPr>
        <w:t>235</w:t>
      </w:r>
      <w:r>
        <w:t xml:space="preserve"> </w:t>
      </w:r>
      <w:r w:rsidRPr="00A32668">
        <w:rPr>
          <w:b/>
          <w:bCs/>
        </w:rPr>
        <w:t>(WRC-15)</w:t>
      </w:r>
      <w:r w:rsidRPr="00F23CD1">
        <w:t xml:space="preserve"> invites </w:t>
      </w:r>
      <w:r>
        <w:t xml:space="preserve">ITU-R </w:t>
      </w:r>
      <w:r w:rsidRPr="001050A7">
        <w:rPr>
          <w:lang w:val="en-NZ"/>
        </w:rPr>
        <w:t xml:space="preserve">to review the spectrum use and study the spectrum needs of existing services within the frequency band 470-960 MHz in Region 1, </w:t>
      </w:r>
      <w:proofErr w:type="gramStart"/>
      <w:r w:rsidRPr="001050A7">
        <w:rPr>
          <w:lang w:val="en-NZ"/>
        </w:rPr>
        <w:t>in particular the</w:t>
      </w:r>
      <w:proofErr w:type="gramEnd"/>
      <w:r w:rsidRPr="001050A7">
        <w:rPr>
          <w:lang w:val="en-NZ"/>
        </w:rPr>
        <w:t xml:space="preserve"> spectrum requirements of the broadcasting and mobile, except aeronautical mobile, services</w:t>
      </w:r>
      <w:r>
        <w:rPr>
          <w:lang w:val="en-NZ"/>
        </w:rPr>
        <w:t xml:space="preserve">. Furthermore, </w:t>
      </w:r>
      <w:r w:rsidR="00BE19CC">
        <w:t xml:space="preserve">ITU-R invited </w:t>
      </w:r>
      <w:r w:rsidR="00BE19CC" w:rsidRPr="001050A7">
        <w:rPr>
          <w:lang w:val="en-NZ"/>
        </w:rPr>
        <w:t>to carry out sharing and compatibility studies, as appropriate, in the frequency band 470</w:t>
      </w:r>
      <w:r w:rsidR="00BE19CC" w:rsidRPr="001050A7">
        <w:rPr>
          <w:lang w:val="en-NZ"/>
        </w:rPr>
        <w:noBreakHyphen/>
        <w:t xml:space="preserve">694 MHz in Region 1 between the broadcasting and mobile, except aeronautical mobile, services, </w:t>
      </w:r>
      <w:r w:rsidR="00BE19CC">
        <w:rPr>
          <w:lang w:val="en-NZ"/>
        </w:rPr>
        <w:t xml:space="preserve">as well as </w:t>
      </w:r>
      <w:r w:rsidR="00BE19CC" w:rsidRPr="001050A7">
        <w:rPr>
          <w:lang w:val="en-NZ"/>
        </w:rPr>
        <w:t xml:space="preserve">to conduct sharing and compatibility studies, as appropriate, </w:t>
      </w:r>
      <w:proofErr w:type="gramStart"/>
      <w:r w:rsidR="00BE19CC" w:rsidRPr="001050A7">
        <w:rPr>
          <w:lang w:val="en-NZ"/>
        </w:rPr>
        <w:t>in order to</w:t>
      </w:r>
      <w:proofErr w:type="gramEnd"/>
      <w:r w:rsidR="00BE19CC" w:rsidRPr="001050A7">
        <w:rPr>
          <w:lang w:val="en-NZ"/>
        </w:rPr>
        <w:t xml:space="preserve"> provide relevant protection of systems of other exis</w:t>
      </w:r>
      <w:r w:rsidR="00BE19CC">
        <w:rPr>
          <w:lang w:val="en-NZ"/>
        </w:rPr>
        <w:t xml:space="preserve">ting services. </w:t>
      </w:r>
      <w:r w:rsidR="00A00FFB">
        <w:rPr>
          <w:lang w:val="en-NZ"/>
        </w:rPr>
        <w:t>At the end, t</w:t>
      </w:r>
      <w:r w:rsidR="00BE19CC">
        <w:rPr>
          <w:lang w:val="en-NZ"/>
        </w:rPr>
        <w:t xml:space="preserve">his Resolution limits WRC-23 </w:t>
      </w:r>
      <w:r w:rsidR="00A00FFB">
        <w:rPr>
          <w:lang w:val="en-NZ"/>
        </w:rPr>
        <w:t xml:space="preserve">to take </w:t>
      </w:r>
      <w:r w:rsidR="00A00FFB" w:rsidRPr="00A00FFB">
        <w:rPr>
          <w:lang w:val="en-NZ"/>
        </w:rPr>
        <w:t>possible regulatory actions in the frequency band 470-694 MHz in Region 1, as</w:t>
      </w:r>
      <w:r w:rsidR="00A00FFB">
        <w:rPr>
          <w:lang w:val="en-NZ"/>
        </w:rPr>
        <w:t xml:space="preserve"> </w:t>
      </w:r>
      <w:r w:rsidR="00A00FFB" w:rsidRPr="00A00FFB">
        <w:rPr>
          <w:lang w:val="en-NZ"/>
        </w:rPr>
        <w:t>appropriate,</w:t>
      </w:r>
      <w:r w:rsidR="00A00FFB">
        <w:rPr>
          <w:lang w:val="en-NZ"/>
        </w:rPr>
        <w:t xml:space="preserve"> </w:t>
      </w:r>
      <w:r w:rsidR="00A00FFB" w:rsidRPr="00A00FFB">
        <w:rPr>
          <w:lang w:val="en-NZ"/>
        </w:rPr>
        <w:t xml:space="preserve">based on the results of </w:t>
      </w:r>
      <w:r w:rsidR="00A00FFB">
        <w:rPr>
          <w:lang w:val="en-NZ"/>
        </w:rPr>
        <w:t xml:space="preserve">completed </w:t>
      </w:r>
      <w:r w:rsidR="00A00FFB" w:rsidRPr="00A00FFB">
        <w:rPr>
          <w:lang w:val="en-NZ"/>
        </w:rPr>
        <w:t>studies above</w:t>
      </w:r>
      <w:r w:rsidR="00A00FFB">
        <w:rPr>
          <w:lang w:val="en-NZ"/>
        </w:rPr>
        <w:t>.</w:t>
      </w:r>
    </w:p>
    <w:p w14:paraId="5D592CBD" w14:textId="765CFE8F" w:rsidR="006564FF" w:rsidRPr="00B173FF" w:rsidRDefault="009F3F91" w:rsidP="006E6E31">
      <w:pPr>
        <w:autoSpaceDE w:val="0"/>
        <w:autoSpaceDN w:val="0"/>
        <w:adjustRightInd w:val="0"/>
        <w:spacing w:before="120"/>
        <w:jc w:val="both"/>
      </w:pPr>
      <w:r>
        <w:rPr>
          <w:lang w:val="en-NZ"/>
        </w:rPr>
        <w:t xml:space="preserve">Task Group 6/1 </w:t>
      </w:r>
      <w:r w:rsidRPr="006E6E31">
        <w:rPr>
          <w:lang w:val="en-NZ"/>
        </w:rPr>
        <w:t>(TG 6/1)</w:t>
      </w:r>
      <w:r>
        <w:rPr>
          <w:lang w:val="en-NZ"/>
        </w:rPr>
        <w:t xml:space="preserve"> was established by </w:t>
      </w:r>
      <w:hyperlink r:id="rId9" w:history="1">
        <w:r w:rsidRPr="009F3F91">
          <w:rPr>
            <w:rStyle w:val="Hyperlink"/>
            <w:lang w:val="en-NZ"/>
          </w:rPr>
          <w:t>CPM23-1</w:t>
        </w:r>
      </w:hyperlink>
      <w:r>
        <w:rPr>
          <w:lang w:val="en-NZ"/>
        </w:rPr>
        <w:t xml:space="preserve"> to be responsible group for conduction of agenda item 1.5 work.</w:t>
      </w:r>
      <w:r w:rsidR="006564FF">
        <w:rPr>
          <w:lang w:val="en-NZ"/>
        </w:rPr>
        <w:t xml:space="preserve"> </w:t>
      </w:r>
      <w:r w:rsidR="006564FF" w:rsidRPr="005B42E7">
        <w:rPr>
          <w:rFonts w:eastAsia="MS Mincho"/>
        </w:rPr>
        <w:t>TG</w:t>
      </w:r>
      <w:r w:rsidR="006564FF">
        <w:rPr>
          <w:rFonts w:eastAsia="MS Mincho"/>
        </w:rPr>
        <w:t xml:space="preserve"> </w:t>
      </w:r>
      <w:r w:rsidR="006564FF" w:rsidRPr="005B42E7">
        <w:rPr>
          <w:rFonts w:eastAsia="MS Mincho"/>
        </w:rPr>
        <w:t>6/1 at</w:t>
      </w:r>
      <w:r w:rsidR="006564FF" w:rsidRPr="00F067E1">
        <w:t xml:space="preserve"> </w:t>
      </w:r>
      <w:r w:rsidR="006564FF">
        <w:t xml:space="preserve">its </w:t>
      </w:r>
      <w:r w:rsidR="006564FF" w:rsidRPr="00F067E1">
        <w:t>October 2020</w:t>
      </w:r>
      <w:r w:rsidR="006564FF">
        <w:t xml:space="preserve"> meeting, established three Working Groups</w:t>
      </w:r>
      <w:r w:rsidR="006564FF" w:rsidRPr="00F067E1">
        <w:t xml:space="preserve"> </w:t>
      </w:r>
      <w:r w:rsidR="006564FF">
        <w:t>(WG) 1 to 3 to deal with s</w:t>
      </w:r>
      <w:r w:rsidR="006564FF" w:rsidRPr="00F067E1">
        <w:t>pectrum use and needs of all existing services</w:t>
      </w:r>
      <w:r w:rsidR="006564FF">
        <w:t>, s</w:t>
      </w:r>
      <w:r w:rsidR="006564FF" w:rsidRPr="00F067E1">
        <w:t>haring and compatibility studies</w:t>
      </w:r>
      <w:r w:rsidR="006564FF">
        <w:t>, and d</w:t>
      </w:r>
      <w:r w:rsidR="006564FF" w:rsidRPr="00F067E1">
        <w:t>evelopment of draft CPM text including regulatory aspects</w:t>
      </w:r>
      <w:r w:rsidR="006564FF">
        <w:t xml:space="preserve">, respectively. </w:t>
      </w:r>
      <w:hyperlink r:id="rId10" w:history="1">
        <w:r w:rsidR="006564FF">
          <w:rPr>
            <w:rStyle w:val="Hyperlink"/>
          </w:rPr>
          <w:t>I</w:t>
        </w:r>
        <w:r w:rsidR="006564FF" w:rsidRPr="005A2C15">
          <w:rPr>
            <w:rStyle w:val="Hyperlink"/>
          </w:rPr>
          <w:t>ts outputs</w:t>
        </w:r>
      </w:hyperlink>
      <w:r w:rsidR="006564FF" w:rsidRPr="00F067E1">
        <w:t xml:space="preserve"> </w:t>
      </w:r>
      <w:proofErr w:type="gramStart"/>
      <w:r w:rsidR="006564FF" w:rsidRPr="00F067E1">
        <w:t xml:space="preserve">include </w:t>
      </w:r>
      <w:r w:rsidR="006564FF">
        <w:t>also</w:t>
      </w:r>
      <w:proofErr w:type="gramEnd"/>
      <w:r w:rsidR="006564FF">
        <w:t xml:space="preserve"> </w:t>
      </w:r>
      <w:r w:rsidR="006564FF" w:rsidRPr="00F067E1">
        <w:t xml:space="preserve">decisions on </w:t>
      </w:r>
      <w:r w:rsidR="006E6E31">
        <w:t xml:space="preserve">the </w:t>
      </w:r>
      <w:r w:rsidR="006564FF" w:rsidRPr="00F067E1">
        <w:t>management team</w:t>
      </w:r>
      <w:r w:rsidR="006564FF">
        <w:t xml:space="preserve"> and</w:t>
      </w:r>
      <w:r w:rsidR="006564FF" w:rsidRPr="00F067E1">
        <w:t xml:space="preserve"> workplan</w:t>
      </w:r>
      <w:r w:rsidR="006564FF">
        <w:t>.</w:t>
      </w:r>
      <w:r w:rsidR="00646573">
        <w:t xml:space="preserve"> </w:t>
      </w:r>
      <w:r w:rsidR="006564FF" w:rsidRPr="00F067E1">
        <w:t>In addition, an Ad-Hoc Group of Plenary to be established at the time it is considered appropriate by the TG 6/1 to deal with the various aspects of GE06 Agreement</w:t>
      </w:r>
      <w:r w:rsidR="006564FF" w:rsidRPr="00B173FF">
        <w:t>.</w:t>
      </w:r>
      <w:r w:rsidR="00646573">
        <w:t xml:space="preserve"> </w:t>
      </w:r>
      <w:r w:rsidR="006564FF" w:rsidRPr="00B173FF">
        <w:t xml:space="preserve">Five to six meeting proposed for TG 6/1 by item 9 Annex 9 </w:t>
      </w:r>
      <w:hyperlink r:id="rId11" w:history="1">
        <w:r w:rsidR="006564FF" w:rsidRPr="00B173FF">
          <w:rPr>
            <w:rStyle w:val="Hyperlink"/>
          </w:rPr>
          <w:t>CPM23-1 Report</w:t>
        </w:r>
      </w:hyperlink>
      <w:r w:rsidR="006564FF" w:rsidRPr="00B173FF">
        <w:t>, where the next (2</w:t>
      </w:r>
      <w:r w:rsidR="006564FF" w:rsidRPr="00B173FF">
        <w:rPr>
          <w:vertAlign w:val="superscript"/>
        </w:rPr>
        <w:t>nd</w:t>
      </w:r>
      <w:r w:rsidR="006564FF" w:rsidRPr="00B173FF">
        <w:t xml:space="preserve">) </w:t>
      </w:r>
      <w:r w:rsidR="006E6E31">
        <w:t>meeting of TG 6/1 is</w:t>
      </w:r>
      <w:r w:rsidR="006564FF" w:rsidRPr="00B173FF">
        <w:t xml:space="preserve"> scheduled from 28 June to 7 July 2021.</w:t>
      </w:r>
    </w:p>
    <w:p w14:paraId="5BA53662" w14:textId="77777777" w:rsidR="006564FF" w:rsidRDefault="006564FF" w:rsidP="006E6E31">
      <w:pPr>
        <w:autoSpaceDE w:val="0"/>
        <w:autoSpaceDN w:val="0"/>
        <w:spacing w:before="120"/>
        <w:jc w:val="both"/>
      </w:pPr>
      <w:r w:rsidRPr="006E6E31">
        <w:rPr>
          <w:rFonts w:eastAsia="MS Mincho" w:hint="eastAsia"/>
          <w:lang w:eastAsia="ja-JP"/>
        </w:rPr>
        <w:t>With respect to the</w:t>
      </w:r>
      <w:r w:rsidRPr="006E6E31">
        <w:rPr>
          <w:rFonts w:eastAsia="MS Mincho"/>
          <w:lang w:eastAsia="ja-JP"/>
        </w:rPr>
        <w:t xml:space="preserve"> work on sharing and compatibility studies in the band 470-960 MHz, the following </w:t>
      </w:r>
      <w:r w:rsidRPr="006E6E31">
        <w:rPr>
          <w:lang w:val="en-NZ"/>
        </w:rPr>
        <w:t xml:space="preserve">ITU-R Reports are relevant, as stated in </w:t>
      </w:r>
      <w:hyperlink r:id="rId12" w:history="1">
        <w:r w:rsidRPr="00CB376C">
          <w:rPr>
            <w:rStyle w:val="Hyperlink"/>
            <w:lang w:eastAsia="zh-CN"/>
          </w:rPr>
          <w:t>Annex 6</w:t>
        </w:r>
      </w:hyperlink>
      <w:r>
        <w:rPr>
          <w:lang w:eastAsia="zh-CN"/>
        </w:rPr>
        <w:t xml:space="preserve"> to Document 6-1/24 </w:t>
      </w:r>
      <w:r>
        <w:rPr>
          <w:rStyle w:val="Hyperlink"/>
          <w:lang w:eastAsia="zh-CN"/>
        </w:rPr>
        <w:t>for</w:t>
      </w:r>
      <w:r>
        <w:rPr>
          <w:lang w:eastAsia="zh-CN"/>
        </w:rPr>
        <w:t xml:space="preserve"> the </w:t>
      </w:r>
      <w:hyperlink r:id="rId13" w:history="1">
        <w:r w:rsidRPr="00B173FF">
          <w:rPr>
            <w:rStyle w:val="Hyperlink"/>
            <w:lang w:eastAsia="zh-CN"/>
          </w:rPr>
          <w:t>TG 6/1</w:t>
        </w:r>
      </w:hyperlink>
      <w:r>
        <w:rPr>
          <w:lang w:eastAsia="zh-CN"/>
        </w:rPr>
        <w:t xml:space="preserve"> Chairman’s Report:</w:t>
      </w:r>
    </w:p>
    <w:p w14:paraId="6C2446FC" w14:textId="77777777" w:rsidR="006564FF" w:rsidRDefault="006564FF" w:rsidP="006E6E31">
      <w:pPr>
        <w:pStyle w:val="enumlev1"/>
        <w:tabs>
          <w:tab w:val="clear" w:pos="1134"/>
          <w:tab w:val="clear" w:pos="1871"/>
        </w:tabs>
        <w:ind w:left="630" w:hanging="414"/>
        <w:jc w:val="both"/>
      </w:pPr>
      <w:r w:rsidRPr="00F067E1">
        <w:t>–</w:t>
      </w:r>
      <w:r w:rsidRPr="00F067E1">
        <w:tab/>
      </w:r>
      <w:hyperlink r:id="rId14" w:history="1">
        <w:r w:rsidRPr="00CB376C">
          <w:rPr>
            <w:rStyle w:val="Hyperlink"/>
            <w:lang w:eastAsia="zh-CN"/>
          </w:rPr>
          <w:t>BT.2301-2</w:t>
        </w:r>
      </w:hyperlink>
      <w:r>
        <w:rPr>
          <w:rStyle w:val="Hyperlink"/>
          <w:lang w:eastAsia="zh-CN"/>
        </w:rPr>
        <w:t>:</w:t>
      </w:r>
      <w:r>
        <w:rPr>
          <w:lang w:eastAsia="zh-CN"/>
        </w:rPr>
        <w:t xml:space="preserve"> </w:t>
      </w:r>
      <w:r>
        <w:t>National field reports on the introduction of IMT in the bands with co-primary allocation to the broadcasting and the mobile services</w:t>
      </w:r>
    </w:p>
    <w:p w14:paraId="46C41547" w14:textId="77777777" w:rsidR="006564FF" w:rsidRPr="00113916" w:rsidRDefault="006564FF" w:rsidP="006E6E31">
      <w:pPr>
        <w:pStyle w:val="enumlev1"/>
        <w:tabs>
          <w:tab w:val="clear" w:pos="1134"/>
          <w:tab w:val="clear" w:pos="1871"/>
        </w:tabs>
        <w:ind w:left="630" w:hanging="414"/>
        <w:jc w:val="both"/>
        <w:rPr>
          <w:rStyle w:val="Hyperlink"/>
        </w:rPr>
      </w:pPr>
      <w:r w:rsidRPr="00F067E1">
        <w:t>–</w:t>
      </w:r>
      <w:r w:rsidRPr="00F067E1">
        <w:tab/>
      </w:r>
      <w:hyperlink r:id="rId15" w:history="1">
        <w:r w:rsidRPr="00CB376C">
          <w:rPr>
            <w:rStyle w:val="Hyperlink"/>
            <w:lang w:eastAsia="zh-CN"/>
          </w:rPr>
          <w:t>BT.2337-1</w:t>
        </w:r>
      </w:hyperlink>
      <w:r>
        <w:rPr>
          <w:rStyle w:val="Hyperlink"/>
          <w:lang w:eastAsia="zh-CN"/>
        </w:rPr>
        <w:t xml:space="preserve">: </w:t>
      </w:r>
      <w:r>
        <w:t>Sharing and compatibility studies between digital terrestrial television broadcasting and terrestrial mobile broadband applications, including IMT, in the frequency band 470-694/698 MHz</w:t>
      </w:r>
    </w:p>
    <w:p w14:paraId="6B7115A3" w14:textId="77777777" w:rsidR="006564FF" w:rsidRDefault="006564FF" w:rsidP="006E6E31">
      <w:pPr>
        <w:pStyle w:val="enumlev1"/>
        <w:tabs>
          <w:tab w:val="clear" w:pos="1134"/>
          <w:tab w:val="clear" w:pos="1871"/>
        </w:tabs>
        <w:ind w:left="630" w:hanging="414"/>
        <w:jc w:val="both"/>
        <w:rPr>
          <w:lang w:eastAsia="zh-CN"/>
        </w:rPr>
      </w:pPr>
      <w:r w:rsidRPr="00F067E1">
        <w:lastRenderedPageBreak/>
        <w:t>–</w:t>
      </w:r>
      <w:r w:rsidRPr="00F067E1">
        <w:tab/>
      </w:r>
      <w:hyperlink r:id="rId16" w:history="1">
        <w:r w:rsidRPr="00360853">
          <w:rPr>
            <w:rStyle w:val="Hyperlink"/>
          </w:rPr>
          <w:t>BT.</w:t>
        </w:r>
        <w:r w:rsidRPr="00360853">
          <w:rPr>
            <w:rStyle w:val="Hyperlink"/>
            <w:lang w:eastAsia="zh-CN"/>
          </w:rPr>
          <w:t>2339</w:t>
        </w:r>
        <w:r w:rsidRPr="00360853">
          <w:rPr>
            <w:rStyle w:val="Hyperlink"/>
          </w:rPr>
          <w:t>-0</w:t>
        </w:r>
      </w:hyperlink>
      <w:r>
        <w:t xml:space="preserve">: </w:t>
      </w:r>
      <w:r w:rsidRPr="00FF4BA8">
        <w:rPr>
          <w:lang w:eastAsia="zh-CN"/>
        </w:rPr>
        <w:t xml:space="preserve">Co-channel sharing and </w:t>
      </w:r>
      <w:r w:rsidRPr="00FF4BA8">
        <w:t>compatibility</w:t>
      </w:r>
      <w:r w:rsidRPr="00FF4BA8">
        <w:rPr>
          <w:lang w:eastAsia="zh-CN"/>
        </w:rPr>
        <w:t xml:space="preserve"> studies between digital terrestrial television broadcasting and international mobile telecommunication in the frequency band 694-790 MHz in the GE06 planning area</w:t>
      </w:r>
      <w:r>
        <w:rPr>
          <w:lang w:eastAsia="zh-CN"/>
        </w:rPr>
        <w:t>.</w:t>
      </w:r>
    </w:p>
    <w:p w14:paraId="052B4874" w14:textId="626BB459" w:rsidR="002C4C8D" w:rsidRPr="00656605" w:rsidRDefault="00D304CC" w:rsidP="00656605">
      <w:pPr>
        <w:pStyle w:val="enumlev1"/>
        <w:tabs>
          <w:tab w:val="clear" w:pos="1134"/>
          <w:tab w:val="clear" w:pos="1871"/>
        </w:tabs>
        <w:ind w:left="0" w:firstLine="0"/>
        <w:jc w:val="both"/>
        <w:rPr>
          <w:rFonts w:eastAsia="SimSun"/>
          <w:lang w:eastAsia="zh-CN"/>
        </w:rPr>
      </w:pPr>
      <w:r>
        <w:rPr>
          <w:rFonts w:eastAsia="SimSun"/>
          <w:lang w:eastAsia="zh-CN"/>
        </w:rPr>
        <w:t xml:space="preserve">AWG has developed and published the </w:t>
      </w:r>
      <w:hyperlink r:id="rId17" w:history="1">
        <w:r w:rsidRPr="00334F39">
          <w:rPr>
            <w:rStyle w:val="Hyperlink"/>
            <w:rFonts w:eastAsia="SimSun"/>
            <w:lang w:eastAsia="zh-CN"/>
          </w:rPr>
          <w:t>APT/AWG/REP-79</w:t>
        </w:r>
      </w:hyperlink>
      <w:r>
        <w:rPr>
          <w:rFonts w:eastAsia="SimSun"/>
          <w:lang w:eastAsia="zh-CN"/>
        </w:rPr>
        <w:t xml:space="preserve"> “</w:t>
      </w:r>
      <w:r w:rsidRPr="00842471">
        <w:rPr>
          <w:rFonts w:eastAsia="SimSun"/>
          <w:lang w:eastAsia="zh-CN"/>
        </w:rPr>
        <w:t xml:space="preserve">APT Report on Frequency Arrangements for IMT in the Band 470-698 </w:t>
      </w:r>
      <w:proofErr w:type="spellStart"/>
      <w:r w:rsidRPr="00842471">
        <w:rPr>
          <w:rFonts w:eastAsia="SimSun"/>
          <w:lang w:eastAsia="zh-CN"/>
        </w:rPr>
        <w:t>MHz</w:t>
      </w:r>
      <w:r>
        <w:rPr>
          <w:rFonts w:eastAsia="SimSun"/>
          <w:lang w:eastAsia="zh-CN"/>
        </w:rPr>
        <w:t>.</w:t>
      </w:r>
      <w:proofErr w:type="spellEnd"/>
      <w:r>
        <w:rPr>
          <w:rFonts w:eastAsia="SimSun"/>
          <w:lang w:eastAsia="zh-CN"/>
        </w:rPr>
        <w:t>”</w:t>
      </w:r>
    </w:p>
    <w:p w14:paraId="7C513529" w14:textId="77777777" w:rsidR="002A0111" w:rsidRPr="00441526" w:rsidRDefault="002A0111" w:rsidP="000214D1">
      <w:pPr>
        <w:spacing w:before="120" w:after="120"/>
        <w:jc w:val="both"/>
        <w:outlineLvl w:val="0"/>
        <w:rPr>
          <w:b/>
          <w:lang w:val="en-NZ" w:eastAsia="ko-KR"/>
        </w:rPr>
      </w:pPr>
      <w:r w:rsidRPr="00441526">
        <w:rPr>
          <w:b/>
          <w:lang w:val="en-NZ" w:eastAsia="ko-KR"/>
        </w:rPr>
        <w:t xml:space="preserve">2. </w:t>
      </w:r>
      <w:r w:rsidRPr="00441526">
        <w:rPr>
          <w:b/>
          <w:lang w:val="en-NZ" w:eastAsia="ko-KR"/>
        </w:rPr>
        <w:tab/>
        <w:t>Documents</w:t>
      </w:r>
    </w:p>
    <w:p w14:paraId="59900523" w14:textId="729171FB" w:rsidR="002A0111" w:rsidRPr="00D92077" w:rsidRDefault="002A0111" w:rsidP="003D3D47">
      <w:pPr>
        <w:numPr>
          <w:ilvl w:val="0"/>
          <w:numId w:val="18"/>
        </w:numPr>
        <w:ind w:leftChars="145" w:left="708"/>
        <w:jc w:val="both"/>
        <w:rPr>
          <w:lang w:val="en-NZ"/>
        </w:rPr>
      </w:pPr>
      <w:r w:rsidRPr="00D92077">
        <w:rPr>
          <w:lang w:val="en-NZ"/>
        </w:rPr>
        <w:t xml:space="preserve">Input Documents </w:t>
      </w:r>
      <w:r w:rsidR="001050A7" w:rsidRPr="00D92077">
        <w:t>APG23-2/</w:t>
      </w:r>
      <w:hyperlink r:id="rId18" w:history="1">
        <w:r w:rsidR="0084657C" w:rsidRPr="00D92077">
          <w:rPr>
            <w:rStyle w:val="Hyperlink"/>
            <w:rFonts w:eastAsia="MS Mincho"/>
            <w:lang w:eastAsia="ja-JP"/>
          </w:rPr>
          <w:t>INP-2</w:t>
        </w:r>
        <w:r w:rsidR="001050A7" w:rsidRPr="00D92077">
          <w:rPr>
            <w:rStyle w:val="Hyperlink"/>
            <w:rFonts w:eastAsia="MS Mincho"/>
            <w:lang w:eastAsia="ja-JP"/>
          </w:rPr>
          <w:t>4</w:t>
        </w:r>
      </w:hyperlink>
      <w:r w:rsidR="001050A7" w:rsidRPr="00D92077">
        <w:rPr>
          <w:rFonts w:eastAsia="MS Mincho"/>
          <w:lang w:eastAsia="ja-JP"/>
        </w:rPr>
        <w:t xml:space="preserve"> (AUS), </w:t>
      </w:r>
      <w:hyperlink r:id="rId19" w:history="1">
        <w:r w:rsidR="00E87B3D" w:rsidRPr="00D92077">
          <w:rPr>
            <w:rStyle w:val="Hyperlink"/>
            <w:rFonts w:eastAsia="MS Mincho"/>
            <w:lang w:eastAsia="ja-JP"/>
          </w:rPr>
          <w:t>INP-5</w:t>
        </w:r>
        <w:r w:rsidR="001050A7" w:rsidRPr="00D92077">
          <w:rPr>
            <w:rStyle w:val="Hyperlink"/>
            <w:rFonts w:eastAsia="MS Mincho"/>
            <w:lang w:eastAsia="ja-JP"/>
          </w:rPr>
          <w:t>0</w:t>
        </w:r>
      </w:hyperlink>
      <w:r w:rsidR="001050A7" w:rsidRPr="00D92077">
        <w:rPr>
          <w:rFonts w:eastAsia="MS Mincho"/>
          <w:lang w:eastAsia="ja-JP"/>
        </w:rPr>
        <w:t xml:space="preserve"> (VTN), </w:t>
      </w:r>
      <w:hyperlink r:id="rId20" w:history="1">
        <w:r w:rsidR="00E87B3D" w:rsidRPr="00D92077">
          <w:rPr>
            <w:rStyle w:val="Hyperlink"/>
            <w:rFonts w:eastAsia="MS Mincho"/>
            <w:lang w:eastAsia="ja-JP"/>
          </w:rPr>
          <w:t>INP-5</w:t>
        </w:r>
        <w:r w:rsidR="001050A7" w:rsidRPr="00D92077">
          <w:rPr>
            <w:rStyle w:val="Hyperlink"/>
            <w:rFonts w:eastAsia="MS Mincho"/>
            <w:lang w:eastAsia="ja-JP"/>
          </w:rPr>
          <w:t>3</w:t>
        </w:r>
      </w:hyperlink>
      <w:r w:rsidR="001050A7" w:rsidRPr="00D92077">
        <w:rPr>
          <w:rFonts w:eastAsia="MS Mincho"/>
          <w:lang w:eastAsia="ja-JP"/>
        </w:rPr>
        <w:t xml:space="preserve"> (AWG)</w:t>
      </w:r>
    </w:p>
    <w:p w14:paraId="123FFA9B" w14:textId="2FA47A7F" w:rsidR="005206E9" w:rsidRPr="00D92077" w:rsidRDefault="002A0111" w:rsidP="0067211E">
      <w:pPr>
        <w:numPr>
          <w:ilvl w:val="0"/>
          <w:numId w:val="18"/>
        </w:numPr>
        <w:ind w:leftChars="145" w:left="708"/>
        <w:jc w:val="both"/>
        <w:rPr>
          <w:lang w:val="en-NZ" w:eastAsia="ko-KR"/>
        </w:rPr>
      </w:pPr>
      <w:r w:rsidRPr="00D92077">
        <w:rPr>
          <w:lang w:val="en-NZ"/>
        </w:rPr>
        <w:t xml:space="preserve">Information Documents </w:t>
      </w:r>
      <w:r w:rsidR="001050A7" w:rsidRPr="00D92077">
        <w:t>APG23-2/</w:t>
      </w:r>
      <w:hyperlink r:id="rId21" w:history="1">
        <w:r w:rsidR="000214D1" w:rsidRPr="00D92077">
          <w:rPr>
            <w:rStyle w:val="Hyperlink"/>
            <w:rFonts w:eastAsia="MS Mincho"/>
            <w:lang w:eastAsia="ja-JP"/>
          </w:rPr>
          <w:t>INF-1</w:t>
        </w:r>
        <w:r w:rsidR="001050A7" w:rsidRPr="00D92077">
          <w:rPr>
            <w:rStyle w:val="Hyperlink"/>
            <w:rFonts w:eastAsia="MS Mincho"/>
            <w:lang w:eastAsia="ja-JP"/>
          </w:rPr>
          <w:t>2</w:t>
        </w:r>
      </w:hyperlink>
      <w:r w:rsidR="001050A7" w:rsidRPr="00D92077">
        <w:rPr>
          <w:rFonts w:eastAsia="MS Mincho"/>
          <w:lang w:eastAsia="ja-JP"/>
        </w:rPr>
        <w:t xml:space="preserve"> (DG Chairman), </w:t>
      </w:r>
      <w:hyperlink r:id="rId22" w:history="1">
        <w:r w:rsidR="000214D1" w:rsidRPr="00D92077">
          <w:rPr>
            <w:rStyle w:val="Hyperlink"/>
            <w:rFonts w:eastAsia="MS Mincho"/>
            <w:lang w:eastAsia="ja-JP"/>
          </w:rPr>
          <w:t>INF-2</w:t>
        </w:r>
        <w:r w:rsidR="001050A7" w:rsidRPr="00D92077">
          <w:rPr>
            <w:rStyle w:val="Hyperlink"/>
            <w:rFonts w:eastAsia="MS Mincho"/>
            <w:lang w:eastAsia="ja-JP"/>
          </w:rPr>
          <w:t>5</w:t>
        </w:r>
      </w:hyperlink>
      <w:r w:rsidR="001050A7" w:rsidRPr="00D92077">
        <w:rPr>
          <w:rFonts w:eastAsia="MS Mincho"/>
          <w:lang w:eastAsia="ja-JP"/>
        </w:rPr>
        <w:t xml:space="preserve"> (ASMG), </w:t>
      </w:r>
      <w:hyperlink r:id="rId23" w:history="1">
        <w:r w:rsidR="00986696" w:rsidRPr="00D92077">
          <w:rPr>
            <w:rStyle w:val="Hyperlink"/>
            <w:lang w:val="en-NZ"/>
          </w:rPr>
          <w:t>INF-30</w:t>
        </w:r>
      </w:hyperlink>
      <w:r w:rsidR="00986696" w:rsidRPr="00D92077">
        <w:rPr>
          <w:lang w:val="en-NZ"/>
        </w:rPr>
        <w:t xml:space="preserve"> (GSMA), </w:t>
      </w:r>
      <w:hyperlink r:id="rId24" w:history="1">
        <w:r w:rsidR="00986696" w:rsidRPr="00D92077">
          <w:rPr>
            <w:rStyle w:val="Hyperlink"/>
            <w:rFonts w:eastAsia="MS Mincho"/>
            <w:lang w:eastAsia="ja-JP"/>
          </w:rPr>
          <w:t>INF-3</w:t>
        </w:r>
        <w:r w:rsidR="001050A7" w:rsidRPr="00D92077">
          <w:rPr>
            <w:rStyle w:val="Hyperlink"/>
            <w:rFonts w:eastAsia="MS Mincho"/>
            <w:lang w:eastAsia="ja-JP"/>
          </w:rPr>
          <w:t>4</w:t>
        </w:r>
      </w:hyperlink>
      <w:r w:rsidR="001050A7" w:rsidRPr="00D92077">
        <w:rPr>
          <w:rFonts w:eastAsia="MS Mincho"/>
          <w:lang w:eastAsia="ja-JP"/>
        </w:rPr>
        <w:t xml:space="preserve"> (CITEL), </w:t>
      </w:r>
      <w:hyperlink r:id="rId25" w:history="1">
        <w:r w:rsidR="00986696" w:rsidRPr="00D92077">
          <w:rPr>
            <w:rStyle w:val="Hyperlink"/>
            <w:rFonts w:eastAsia="MS Mincho"/>
            <w:lang w:eastAsia="ja-JP"/>
          </w:rPr>
          <w:t>INF-3</w:t>
        </w:r>
        <w:r w:rsidR="001050A7" w:rsidRPr="00D92077">
          <w:rPr>
            <w:rStyle w:val="Hyperlink"/>
            <w:rFonts w:eastAsia="MS Mincho"/>
            <w:lang w:eastAsia="ja-JP"/>
          </w:rPr>
          <w:t>6</w:t>
        </w:r>
      </w:hyperlink>
      <w:r w:rsidR="001050A7" w:rsidRPr="00D92077">
        <w:rPr>
          <w:rFonts w:eastAsia="MS Mincho"/>
          <w:lang w:eastAsia="ja-JP"/>
        </w:rPr>
        <w:t xml:space="preserve"> (RCC)</w:t>
      </w:r>
    </w:p>
    <w:p w14:paraId="3B7DC375" w14:textId="77777777" w:rsidR="002A0111" w:rsidRPr="00441526" w:rsidRDefault="002A0111" w:rsidP="00FC6A43">
      <w:pPr>
        <w:spacing w:before="120"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17651870" w:rsidR="002A0111" w:rsidRPr="00441526" w:rsidRDefault="002A0111" w:rsidP="00911CF3">
      <w:pPr>
        <w:spacing w:after="120"/>
        <w:jc w:val="both"/>
        <w:outlineLvl w:val="2"/>
        <w:rPr>
          <w:b/>
          <w:lang w:val="en-NZ" w:eastAsia="ko-KR"/>
        </w:rPr>
      </w:pPr>
      <w:r w:rsidRPr="00441526">
        <w:rPr>
          <w:b/>
          <w:lang w:val="en-NZ" w:eastAsia="ko-KR"/>
        </w:rPr>
        <w:t>3.1.1</w:t>
      </w:r>
      <w:r w:rsidR="00D073C8" w:rsidRPr="00441526">
        <w:rPr>
          <w:b/>
          <w:lang w:val="en-NZ" w:eastAsia="ko-KR"/>
        </w:rPr>
        <w:tab/>
      </w:r>
      <w:r w:rsidR="001050A7">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26" w:history="1">
        <w:r w:rsidR="00911CF3">
          <w:rPr>
            <w:rStyle w:val="Hyperlink"/>
            <w:rFonts w:eastAsia="MS Mincho"/>
            <w:b/>
            <w:lang w:eastAsia="ja-JP"/>
          </w:rPr>
          <w:t>INP-2</w:t>
        </w:r>
        <w:r w:rsidR="001050A7" w:rsidRPr="0047051A">
          <w:rPr>
            <w:rStyle w:val="Hyperlink"/>
            <w:rFonts w:eastAsia="MS Mincho"/>
            <w:b/>
            <w:lang w:eastAsia="ja-JP"/>
          </w:rPr>
          <w:t>4</w:t>
        </w:r>
      </w:hyperlink>
    </w:p>
    <w:p w14:paraId="1487C997" w14:textId="77777777" w:rsidR="001050A7" w:rsidRDefault="001050A7" w:rsidP="001050A7">
      <w:pPr>
        <w:jc w:val="both"/>
      </w:pPr>
      <w:r w:rsidRPr="00F82FC2">
        <w:t xml:space="preserve">Australia notes that this is a Region 1 issue and does not have </w:t>
      </w:r>
      <w:r>
        <w:t>a position on this agenda item.</w:t>
      </w:r>
      <w:r w:rsidRPr="00F82FC2">
        <w:t xml:space="preserve"> However, studies may assist towards reviewing spectrum use and spectrum needs of existing services in the frequency band 470-694 </w:t>
      </w:r>
      <w:proofErr w:type="spellStart"/>
      <w:r w:rsidRPr="00F82FC2">
        <w:t>MHz.</w:t>
      </w:r>
      <w:proofErr w:type="spellEnd"/>
    </w:p>
    <w:p w14:paraId="4702ABB1" w14:textId="0E4BF50D" w:rsidR="002A0111" w:rsidRPr="00441526" w:rsidRDefault="002A0111" w:rsidP="006F72DB">
      <w:pPr>
        <w:spacing w:before="120" w:after="120"/>
        <w:jc w:val="both"/>
        <w:outlineLvl w:val="2"/>
        <w:rPr>
          <w:b/>
          <w:lang w:val="en-NZ" w:eastAsia="ko-KR"/>
        </w:rPr>
      </w:pPr>
      <w:r w:rsidRPr="00441526">
        <w:rPr>
          <w:b/>
          <w:lang w:val="en-NZ" w:eastAsia="ko-KR"/>
        </w:rPr>
        <w:t>3.1.2</w:t>
      </w:r>
      <w:r w:rsidR="00D073C8" w:rsidRPr="00441526">
        <w:rPr>
          <w:b/>
          <w:lang w:val="en-NZ" w:eastAsia="ko-KR"/>
        </w:rPr>
        <w:tab/>
      </w:r>
      <w:r w:rsidR="001050A7">
        <w:rPr>
          <w:b/>
          <w:lang w:val="en-NZ" w:eastAsia="ko-KR"/>
        </w:rPr>
        <w:t>Viet Nam</w:t>
      </w:r>
      <w:r w:rsidR="009837C5" w:rsidRPr="009837C5">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27" w:history="1">
        <w:r w:rsidR="006F72DB">
          <w:rPr>
            <w:rStyle w:val="Hyperlink"/>
            <w:rFonts w:eastAsia="MS Mincho"/>
            <w:b/>
            <w:lang w:eastAsia="ja-JP"/>
          </w:rPr>
          <w:t>INP-5</w:t>
        </w:r>
        <w:r w:rsidR="001050A7" w:rsidRPr="0047051A">
          <w:rPr>
            <w:rStyle w:val="Hyperlink"/>
            <w:rFonts w:eastAsia="MS Mincho"/>
            <w:b/>
            <w:lang w:eastAsia="ja-JP"/>
          </w:rPr>
          <w:t>0</w:t>
        </w:r>
      </w:hyperlink>
    </w:p>
    <w:p w14:paraId="6295D37E" w14:textId="77777777" w:rsidR="001050A7" w:rsidRDefault="001050A7" w:rsidP="001050A7">
      <w:pPr>
        <w:spacing w:before="120"/>
        <w:jc w:val="both"/>
      </w:pPr>
      <w:r>
        <w:t>Viet Nam</w:t>
      </w:r>
      <w:r w:rsidRPr="00E9639C">
        <w:t xml:space="preserve"> supports</w:t>
      </w:r>
      <w:r>
        <w:t xml:space="preserve"> sharing and compatibility studies, as appropriate, in the frequency band 470-694 MHz in Region 1 between the broadcasting and mobile, except aeronautical mobile, services, </w:t>
      </w:r>
      <w:proofErr w:type="gramStart"/>
      <w:r>
        <w:t>taking into account</w:t>
      </w:r>
      <w:proofErr w:type="gramEnd"/>
      <w:r>
        <w:t xml:space="preserve"> relevant ITU-R studies, Recommendations and Reports.</w:t>
      </w:r>
    </w:p>
    <w:p w14:paraId="1E987E05" w14:textId="44ADF7C4" w:rsidR="002A0111" w:rsidRPr="001050A7" w:rsidRDefault="001050A7" w:rsidP="00415473">
      <w:pPr>
        <w:spacing w:before="120"/>
        <w:jc w:val="both"/>
      </w:pPr>
      <w:proofErr w:type="gramStart"/>
      <w:r>
        <w:t>Taking into account</w:t>
      </w:r>
      <w:proofErr w:type="gramEnd"/>
      <w:r>
        <w:t xml:space="preserve"> above studies as well as </w:t>
      </w:r>
      <w:r w:rsidRPr="00E9639C">
        <w:t xml:space="preserve">the interest of global harmonization and economies of scale, </w:t>
      </w:r>
      <w:r>
        <w:t>Viet Nam supports</w:t>
      </w:r>
      <w:r w:rsidRPr="00AF5FCE">
        <w:rPr>
          <w:color w:val="201F1E"/>
          <w:shd w:val="clear" w:color="auto" w:fill="FFFFFF"/>
        </w:rPr>
        <w:t xml:space="preserve"> appropriate action at WRC-23</w:t>
      </w:r>
      <w:r>
        <w:rPr>
          <w:color w:val="201F1E"/>
          <w:shd w:val="clear" w:color="auto" w:fill="FFFFFF"/>
        </w:rPr>
        <w:t xml:space="preserve"> including </w:t>
      </w:r>
      <w:r w:rsidRPr="00205298">
        <w:rPr>
          <w:color w:val="201F1E"/>
          <w:shd w:val="clear" w:color="auto" w:fill="FFFFFF"/>
        </w:rPr>
        <w:t xml:space="preserve">possible regulatory actions in the frequency </w:t>
      </w:r>
      <w:r>
        <w:rPr>
          <w:color w:val="201F1E"/>
          <w:shd w:val="clear" w:color="auto" w:fill="FFFFFF"/>
        </w:rPr>
        <w:t>band 470-694 MHz in Region 1.</w:t>
      </w:r>
    </w:p>
    <w:p w14:paraId="3BCCEDAA" w14:textId="5BDD9129" w:rsidR="002A0111" w:rsidRPr="00895E7A" w:rsidRDefault="002A0111" w:rsidP="00895E7A">
      <w:pPr>
        <w:pStyle w:val="ListParagraph"/>
        <w:numPr>
          <w:ilvl w:val="1"/>
          <w:numId w:val="32"/>
        </w:numPr>
        <w:spacing w:before="120" w:after="120"/>
        <w:jc w:val="both"/>
        <w:outlineLvl w:val="1"/>
        <w:rPr>
          <w:b/>
          <w:lang w:val="en-NZ"/>
        </w:rPr>
      </w:pPr>
      <w:r w:rsidRPr="00895E7A">
        <w:rPr>
          <w:b/>
          <w:lang w:val="en-NZ"/>
        </w:rPr>
        <w:t>S</w:t>
      </w:r>
      <w:r w:rsidRPr="00895E7A">
        <w:rPr>
          <w:b/>
          <w:lang w:val="en-NZ" w:eastAsia="ko-KR"/>
        </w:rPr>
        <w:t>ummary of issues raised du</w:t>
      </w:r>
      <w:r w:rsidRPr="00895E7A">
        <w:rPr>
          <w:b/>
          <w:lang w:val="en-NZ"/>
        </w:rPr>
        <w:t xml:space="preserve">ring the </w:t>
      </w:r>
      <w:proofErr w:type="gramStart"/>
      <w:r w:rsidRPr="00895E7A">
        <w:rPr>
          <w:b/>
          <w:lang w:val="en-NZ"/>
        </w:rPr>
        <w:t>meeting</w:t>
      </w:r>
      <w:proofErr w:type="gramEnd"/>
    </w:p>
    <w:p w14:paraId="6A65E646" w14:textId="650D61E7" w:rsidR="002A0111" w:rsidRDefault="006B68DE" w:rsidP="00895E7A">
      <w:pPr>
        <w:pStyle w:val="ListParagraph"/>
        <w:numPr>
          <w:ilvl w:val="0"/>
          <w:numId w:val="18"/>
        </w:numPr>
        <w:jc w:val="both"/>
        <w:rPr>
          <w:iCs/>
          <w:lang w:val="en-NZ"/>
        </w:rPr>
      </w:pPr>
      <w:r>
        <w:rPr>
          <w:iCs/>
          <w:lang w:val="en-NZ"/>
        </w:rPr>
        <w:t xml:space="preserve">Concerns </w:t>
      </w:r>
      <w:r w:rsidRPr="00895E7A">
        <w:rPr>
          <w:lang w:val="en-NZ"/>
        </w:rPr>
        <w:t>raised</w:t>
      </w:r>
      <w:r>
        <w:rPr>
          <w:iCs/>
          <w:lang w:val="en-NZ"/>
        </w:rPr>
        <w:t xml:space="preserve"> about the interference that may happen from Region 1 future application in mobile service to existing services and applications in Region 3 within the frequency band of this agenda item.</w:t>
      </w:r>
    </w:p>
    <w:p w14:paraId="775E554C" w14:textId="31F1C99A" w:rsidR="00895E7A" w:rsidRPr="00895E7A" w:rsidRDefault="00895E7A" w:rsidP="00895E7A">
      <w:pPr>
        <w:pStyle w:val="ListParagraph"/>
        <w:numPr>
          <w:ilvl w:val="0"/>
          <w:numId w:val="18"/>
        </w:numPr>
        <w:jc w:val="both"/>
        <w:rPr>
          <w:iCs/>
          <w:lang w:val="en-NZ"/>
        </w:rPr>
      </w:pPr>
      <w:r>
        <w:rPr>
          <w:iCs/>
          <w:lang w:val="en-NZ"/>
        </w:rPr>
        <w:t>T</w:t>
      </w:r>
      <w:r w:rsidRPr="00895E7A">
        <w:rPr>
          <w:iCs/>
          <w:lang w:val="en-NZ"/>
        </w:rPr>
        <w:t>he heavy workload of TG</w:t>
      </w:r>
      <w:r>
        <w:rPr>
          <w:iCs/>
          <w:lang w:val="en-NZ"/>
        </w:rPr>
        <w:t xml:space="preserve"> </w:t>
      </w:r>
      <w:r w:rsidRPr="00895E7A">
        <w:rPr>
          <w:iCs/>
          <w:lang w:val="en-NZ"/>
        </w:rPr>
        <w:t xml:space="preserve">6/1 with six planned meetings on this agenda item </w:t>
      </w:r>
      <w:r>
        <w:rPr>
          <w:iCs/>
          <w:lang w:val="en-NZ"/>
        </w:rPr>
        <w:t xml:space="preserve">highlighted </w:t>
      </w:r>
      <w:r w:rsidRPr="00895E7A">
        <w:rPr>
          <w:iCs/>
          <w:lang w:val="en-NZ"/>
        </w:rPr>
        <w:t xml:space="preserve">and the complexity of future discussions of </w:t>
      </w:r>
      <w:r>
        <w:rPr>
          <w:iCs/>
          <w:lang w:val="en-NZ"/>
        </w:rPr>
        <w:t>this group</w:t>
      </w:r>
      <w:r w:rsidRPr="00895E7A">
        <w:rPr>
          <w:iCs/>
          <w:lang w:val="en-NZ"/>
        </w:rPr>
        <w:t xml:space="preserve"> on different aspect</w:t>
      </w:r>
      <w:r>
        <w:rPr>
          <w:iCs/>
          <w:lang w:val="en-NZ"/>
        </w:rPr>
        <w:t>s</w:t>
      </w:r>
      <w:r w:rsidRPr="00895E7A">
        <w:rPr>
          <w:iCs/>
          <w:lang w:val="en-NZ"/>
        </w:rPr>
        <w:t xml:space="preserve"> expected by </w:t>
      </w:r>
      <w:r>
        <w:rPr>
          <w:iCs/>
          <w:lang w:val="en-NZ"/>
        </w:rPr>
        <w:t xml:space="preserve">the </w:t>
      </w:r>
      <w:r w:rsidRPr="00895E7A">
        <w:rPr>
          <w:iCs/>
          <w:lang w:val="en-NZ"/>
        </w:rPr>
        <w:t>meeting.</w:t>
      </w:r>
    </w:p>
    <w:p w14:paraId="603E6548" w14:textId="77777777" w:rsidR="002A0111" w:rsidRPr="00441526" w:rsidRDefault="002A0111" w:rsidP="002259E9">
      <w:pPr>
        <w:spacing w:before="120" w:after="120"/>
        <w:jc w:val="both"/>
        <w:outlineLvl w:val="0"/>
        <w:rPr>
          <w:b/>
          <w:lang w:val="en-NZ" w:eastAsia="ko-KR"/>
        </w:rPr>
      </w:pPr>
      <w:r w:rsidRPr="00441526">
        <w:rPr>
          <w:b/>
          <w:lang w:val="en-NZ" w:eastAsia="ko-KR"/>
        </w:rPr>
        <w:t xml:space="preserve">4. </w:t>
      </w:r>
      <w:r w:rsidRPr="00441526">
        <w:rPr>
          <w:b/>
          <w:lang w:val="en-NZ" w:eastAsia="ko-KR"/>
        </w:rPr>
        <w:tab/>
        <w:t>APT Preliminary View(s)</w:t>
      </w:r>
    </w:p>
    <w:p w14:paraId="189AC0A9" w14:textId="5892064A" w:rsidR="00FC6A43" w:rsidRDefault="00FC6A43" w:rsidP="00D32941">
      <w:pPr>
        <w:jc w:val="both"/>
      </w:pPr>
      <w:r w:rsidRPr="00F82FC2">
        <w:t>A</w:t>
      </w:r>
      <w:r>
        <w:t xml:space="preserve">PT </w:t>
      </w:r>
      <w:r w:rsidR="00C73E31">
        <w:t>M</w:t>
      </w:r>
      <w:r>
        <w:t xml:space="preserve">embers </w:t>
      </w:r>
      <w:r>
        <w:rPr>
          <w:rFonts w:eastAsia="SimSun"/>
          <w:lang w:eastAsia="zh-CN"/>
        </w:rPr>
        <w:t>are of the view that</w:t>
      </w:r>
      <w:r>
        <w:t xml:space="preserve"> </w:t>
      </w:r>
      <w:r w:rsidR="00D32941">
        <w:t xml:space="preserve">conclusion to be reached on </w:t>
      </w:r>
      <w:r>
        <w:t xml:space="preserve">the agenda item 1.5 </w:t>
      </w:r>
      <w:r w:rsidRPr="00F82FC2">
        <w:t>is a Region</w:t>
      </w:r>
      <w:r w:rsidR="00340B6D">
        <w:t> </w:t>
      </w:r>
      <w:r w:rsidRPr="00F82FC2">
        <w:t xml:space="preserve">1 issue and </w:t>
      </w:r>
      <w:r w:rsidR="006D3C2B">
        <w:t xml:space="preserve">WRC-23 decisions </w:t>
      </w:r>
      <w:r>
        <w:t xml:space="preserve">shall </w:t>
      </w:r>
      <w:r w:rsidR="00D32941">
        <w:t xml:space="preserve">in no way adversely affect </w:t>
      </w:r>
      <w:r>
        <w:t>Region 3 frequency allocations</w:t>
      </w:r>
      <w:r w:rsidR="00D32941">
        <w:t xml:space="preserve"> and existing and future </w:t>
      </w:r>
      <w:r w:rsidR="00B47127">
        <w:t xml:space="preserve">use </w:t>
      </w:r>
      <w:r w:rsidR="00D32941">
        <w:t>of the relevant frequency band</w:t>
      </w:r>
      <w:r>
        <w:t>.</w:t>
      </w:r>
    </w:p>
    <w:p w14:paraId="5D009D7C" w14:textId="77777777" w:rsidR="002A0111" w:rsidRPr="00441526" w:rsidRDefault="002A0111" w:rsidP="0045047C">
      <w:pPr>
        <w:spacing w:before="120" w:after="120"/>
        <w:jc w:val="both"/>
        <w:outlineLvl w:val="0"/>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1E77275" w14:textId="7530E59A" w:rsidR="002A0111" w:rsidRPr="00D92077" w:rsidRDefault="00D92077" w:rsidP="00D92077">
      <w:pPr>
        <w:jc w:val="both"/>
      </w:pPr>
      <w:r w:rsidRPr="00D92077">
        <w:t>None</w:t>
      </w:r>
      <w:r>
        <w:t>.</w:t>
      </w:r>
    </w:p>
    <w:p w14:paraId="647ADB18" w14:textId="77777777" w:rsidR="002A0111" w:rsidRPr="00441526" w:rsidRDefault="002A0111" w:rsidP="0045047C">
      <w:pPr>
        <w:spacing w:before="120" w:after="120"/>
        <w:jc w:val="both"/>
        <w:outlineLvl w:val="0"/>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783ACCD" w14:textId="77777777" w:rsidR="00D92077" w:rsidRPr="0011253E" w:rsidRDefault="00D92077" w:rsidP="00D92077">
      <w:pPr>
        <w:spacing w:before="120" w:after="120"/>
        <w:jc w:val="both"/>
        <w:rPr>
          <w:rFonts w:eastAsia="SimSun"/>
          <w:lang w:eastAsia="zh-CN"/>
        </w:rPr>
      </w:pPr>
      <w:r w:rsidRPr="0011253E">
        <w:rPr>
          <w:rFonts w:eastAsia="SimSun"/>
          <w:lang w:eastAsia="zh-CN"/>
        </w:rPr>
        <w:t>APT Members are encouraged to submit their contributions for further considerations in the next APG</w:t>
      </w:r>
      <w:r>
        <w:rPr>
          <w:rFonts w:eastAsia="SimSun"/>
          <w:lang w:eastAsia="zh-CN"/>
        </w:rPr>
        <w:t>23-3</w:t>
      </w:r>
      <w:r w:rsidRPr="0011253E">
        <w:rPr>
          <w:rFonts w:eastAsia="SimSun"/>
          <w:lang w:eastAsia="zh-CN"/>
        </w:rPr>
        <w:t xml:space="preserve"> meeting, </w:t>
      </w:r>
      <w:proofErr w:type="gramStart"/>
      <w:r w:rsidRPr="0011253E">
        <w:rPr>
          <w:rFonts w:eastAsia="SimSun"/>
          <w:lang w:eastAsia="zh-CN"/>
        </w:rPr>
        <w:t>taking into account</w:t>
      </w:r>
      <w:proofErr w:type="gramEnd"/>
      <w:r w:rsidRPr="0011253E">
        <w:rPr>
          <w:rFonts w:eastAsia="SimSun"/>
          <w:lang w:eastAsia="zh-CN"/>
        </w:rPr>
        <w:t xml:space="preserve"> progress of ITU-R studies.</w:t>
      </w:r>
    </w:p>
    <w:p w14:paraId="21A0C766" w14:textId="7E44DCEA" w:rsidR="002A0111" w:rsidRPr="006F518F" w:rsidRDefault="002A0111" w:rsidP="0045047C">
      <w:pPr>
        <w:spacing w:after="120"/>
        <w:jc w:val="both"/>
        <w:outlineLvl w:val="0"/>
        <w:rPr>
          <w:lang w:val="en-NZ"/>
        </w:rPr>
      </w:pPr>
      <w:r>
        <w:rPr>
          <w:b/>
          <w:lang w:val="en-NZ" w:eastAsia="ko-KR"/>
        </w:rPr>
        <w:t>7</w:t>
      </w:r>
      <w:r w:rsidRPr="00441526">
        <w:rPr>
          <w:b/>
          <w:lang w:val="en-NZ" w:eastAsia="ko-KR"/>
        </w:rPr>
        <w:t>.</w:t>
      </w:r>
      <w:r w:rsidRPr="00441526">
        <w:rPr>
          <w:b/>
          <w:lang w:val="en-NZ"/>
        </w:rPr>
        <w:t xml:space="preserve"> </w:t>
      </w:r>
      <w:r w:rsidRPr="00441526">
        <w:rPr>
          <w:b/>
          <w:lang w:val="en-NZ"/>
        </w:rPr>
        <w:tab/>
        <w:t>Views from Other Organisations</w:t>
      </w:r>
    </w:p>
    <w:p w14:paraId="0623E42D"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9F53F88" w14:textId="0BB562F7" w:rsidR="002A0111" w:rsidRPr="00441526" w:rsidRDefault="005206E9" w:rsidP="00986696">
      <w:pPr>
        <w:spacing w:after="120"/>
        <w:jc w:val="both"/>
        <w:outlineLvl w:val="2"/>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w:t>
      </w:r>
      <w:hyperlink r:id="rId28" w:history="1">
        <w:r w:rsidR="00986696">
          <w:rPr>
            <w:rStyle w:val="Hyperlink"/>
            <w:b/>
            <w:lang w:eastAsia="ko-KR"/>
          </w:rPr>
          <w:t>INF-2</w:t>
        </w:r>
        <w:r w:rsidR="00552366" w:rsidRPr="00552366">
          <w:rPr>
            <w:rStyle w:val="Hyperlink"/>
            <w:b/>
            <w:lang w:eastAsia="ko-KR"/>
          </w:rPr>
          <w:t>5</w:t>
        </w:r>
      </w:hyperlink>
    </w:p>
    <w:p w14:paraId="44DD303F" w14:textId="77777777" w:rsidR="00415473" w:rsidRDefault="00415473" w:rsidP="00986696">
      <w:pPr>
        <w:jc w:val="both"/>
        <w:rPr>
          <w:lang w:val="en-NZ"/>
        </w:rPr>
      </w:pPr>
      <w:r>
        <w:rPr>
          <w:lang w:val="en-NZ"/>
        </w:rPr>
        <w:lastRenderedPageBreak/>
        <w:t>Studying the possibility of allocating part of the band for IMT applications by interested administrations, while providing appropriate protection for existing services.</w:t>
      </w:r>
    </w:p>
    <w:p w14:paraId="6803E03C" w14:textId="52861BB2" w:rsidR="00415473" w:rsidRDefault="00415473" w:rsidP="00EF1C5A">
      <w:pPr>
        <w:spacing w:before="120"/>
        <w:jc w:val="both"/>
        <w:rPr>
          <w:lang w:val="en-NZ"/>
        </w:rPr>
      </w:pPr>
      <w:r>
        <w:rPr>
          <w:lang w:val="en-NZ"/>
        </w:rPr>
        <w:t>Inviting ASMG administrations to study their actual uses in this band and define their priorities and views on the possibility of allocating the band or part of the band to the mobile services, the possibility of identifying the band or part of the band for IMT systems, and the timing of the start of the application.</w:t>
      </w:r>
    </w:p>
    <w:p w14:paraId="0EF6472D" w14:textId="45603845" w:rsidR="002A0111" w:rsidRPr="00441526" w:rsidRDefault="005206E9" w:rsidP="00795F61">
      <w:pPr>
        <w:spacing w:before="120" w:after="120"/>
        <w:jc w:val="both"/>
        <w:outlineLvl w:val="2"/>
        <w:rPr>
          <w:b/>
          <w:lang w:val="en-NZ" w:eastAsia="ko-KR"/>
        </w:rPr>
      </w:pPr>
      <w:r>
        <w:rPr>
          <w:b/>
          <w:lang w:val="en-NZ" w:eastAsia="ko-KR"/>
        </w:rPr>
        <w:t>7</w:t>
      </w:r>
      <w:r w:rsidR="002A0111" w:rsidRPr="00441526">
        <w:rPr>
          <w:b/>
          <w:lang w:val="en-NZ" w:eastAsia="ko-KR"/>
        </w:rPr>
        <w:t>.1.</w:t>
      </w:r>
      <w:r w:rsidR="0047051A">
        <w:rPr>
          <w:b/>
          <w:lang w:val="en-NZ" w:eastAsia="ko-KR"/>
        </w:rPr>
        <w:t>2</w:t>
      </w:r>
      <w:r w:rsidR="002A0111" w:rsidRPr="00441526">
        <w:rPr>
          <w:b/>
          <w:lang w:val="en-NZ" w:eastAsia="ko-KR"/>
        </w:rPr>
        <w:t xml:space="preserve"> </w:t>
      </w:r>
      <w:r w:rsidR="002A0111" w:rsidRPr="00441526">
        <w:rPr>
          <w:b/>
          <w:lang w:val="en-NZ" w:eastAsia="ko-KR"/>
        </w:rPr>
        <w:tab/>
        <w:t>CEPT</w:t>
      </w:r>
      <w:r w:rsidR="00EB53ED">
        <w:rPr>
          <w:b/>
          <w:lang w:val="en-NZ" w:eastAsia="ko-KR"/>
        </w:rPr>
        <w:t xml:space="preserve">- </w:t>
      </w:r>
      <w:r w:rsidR="00EB53ED" w:rsidRPr="00441526">
        <w:rPr>
          <w:b/>
          <w:lang w:val="en-NZ" w:eastAsia="ko-KR"/>
        </w:rPr>
        <w:t>Document APG</w:t>
      </w:r>
      <w:r w:rsidR="00EB53ED">
        <w:rPr>
          <w:b/>
          <w:lang w:val="en-NZ" w:eastAsia="ko-KR"/>
        </w:rPr>
        <w:t>23-1</w:t>
      </w:r>
      <w:r w:rsidR="00EB53ED" w:rsidRPr="00441526">
        <w:rPr>
          <w:b/>
          <w:lang w:val="en-NZ" w:eastAsia="ko-KR"/>
        </w:rPr>
        <w:t>/</w:t>
      </w:r>
      <w:hyperlink r:id="rId29" w:history="1">
        <w:r w:rsidR="00795F61">
          <w:rPr>
            <w:rStyle w:val="Hyperlink"/>
            <w:rFonts w:eastAsia="MS Mincho"/>
            <w:b/>
            <w:lang w:eastAsia="ja-JP"/>
          </w:rPr>
          <w:t>INF-3</w:t>
        </w:r>
        <w:r w:rsidR="00EB53ED" w:rsidRPr="00EB53ED">
          <w:rPr>
            <w:rStyle w:val="Hyperlink"/>
            <w:rFonts w:eastAsia="MS Mincho"/>
            <w:b/>
            <w:lang w:eastAsia="ja-JP"/>
          </w:rPr>
          <w:t>5</w:t>
        </w:r>
      </w:hyperlink>
    </w:p>
    <w:p w14:paraId="61889CC4" w14:textId="2FDA6768" w:rsidR="002A0111" w:rsidRDefault="003B38AE" w:rsidP="003B38AE">
      <w:pPr>
        <w:rPr>
          <w:lang w:val="en-NZ"/>
        </w:rPr>
      </w:pPr>
      <w:r w:rsidRPr="003B38AE">
        <w:rPr>
          <w:lang w:val="en-NZ"/>
        </w:rPr>
        <w:t>TBD</w:t>
      </w:r>
    </w:p>
    <w:p w14:paraId="167CB92B" w14:textId="77777777" w:rsidR="00D01AAF" w:rsidRPr="00CE5335" w:rsidRDefault="00D01AAF" w:rsidP="00D01AAF">
      <w:pPr>
        <w:pStyle w:val="ListParagraph"/>
        <w:numPr>
          <w:ilvl w:val="2"/>
          <w:numId w:val="30"/>
        </w:numPr>
        <w:spacing w:before="120" w:after="120"/>
        <w:jc w:val="both"/>
        <w:rPr>
          <w:b/>
          <w:lang w:val="en-NZ" w:eastAsia="ko-KR"/>
        </w:rPr>
      </w:pPr>
      <w:r w:rsidRPr="00CE5335">
        <w:rPr>
          <w:b/>
          <w:lang w:val="en-NZ" w:eastAsia="ko-KR"/>
        </w:rPr>
        <w:t xml:space="preserve">ATU </w:t>
      </w:r>
      <w:r w:rsidRPr="00441526">
        <w:t xml:space="preserve">- </w:t>
      </w:r>
      <w:r w:rsidRPr="00CE5335">
        <w:rPr>
          <w:b/>
          <w:lang w:val="en-NZ" w:eastAsia="ko-KR"/>
        </w:rPr>
        <w:t>Document APG23-2/</w:t>
      </w:r>
      <w:hyperlink r:id="rId30" w:history="1">
        <w:r w:rsidRPr="00CE5335">
          <w:rPr>
            <w:rStyle w:val="Hyperlink"/>
            <w:b/>
            <w:lang w:val="en-NZ" w:eastAsia="ko-KR"/>
          </w:rPr>
          <w:t>INF-26</w:t>
        </w:r>
      </w:hyperlink>
    </w:p>
    <w:p w14:paraId="49D86D34" w14:textId="77777777" w:rsidR="00D01AAF" w:rsidRPr="00441526" w:rsidRDefault="00D01AAF" w:rsidP="00D01AAF">
      <w:pPr>
        <w:rPr>
          <w:lang w:val="en-NZ"/>
        </w:rPr>
      </w:pPr>
      <w:r>
        <w:rPr>
          <w:lang w:val="en-NZ"/>
        </w:rPr>
        <w:t>Will be provided in July 2021 meeting.</w:t>
      </w:r>
    </w:p>
    <w:p w14:paraId="50F302DD" w14:textId="7C24EC20" w:rsidR="002A0111" w:rsidRPr="00EB53ED" w:rsidRDefault="005206E9" w:rsidP="00795F61">
      <w:pPr>
        <w:spacing w:before="120" w:after="120"/>
        <w:jc w:val="both"/>
        <w:outlineLvl w:val="2"/>
        <w:rPr>
          <w:b/>
          <w:lang w:eastAsia="ko-KR"/>
        </w:rPr>
      </w:pPr>
      <w:r>
        <w:rPr>
          <w:b/>
          <w:lang w:val="en-NZ" w:eastAsia="ko-KR"/>
        </w:rPr>
        <w:t>7</w:t>
      </w:r>
      <w:r w:rsidR="002A0111" w:rsidRPr="00441526">
        <w:rPr>
          <w:b/>
          <w:lang w:val="en-NZ" w:eastAsia="ko-KR"/>
        </w:rPr>
        <w:t>.1.</w:t>
      </w:r>
      <w:r w:rsidR="0047051A">
        <w:rPr>
          <w:b/>
          <w:lang w:val="en-NZ" w:eastAsia="ko-KR"/>
        </w:rPr>
        <w:t>3</w:t>
      </w:r>
      <w:r w:rsidR="002A0111" w:rsidRPr="00441526">
        <w:rPr>
          <w:b/>
          <w:lang w:val="en-NZ" w:eastAsia="ko-KR"/>
        </w:rPr>
        <w:t xml:space="preserve"> </w:t>
      </w:r>
      <w:r w:rsidR="002A0111" w:rsidRPr="00441526">
        <w:rPr>
          <w:b/>
          <w:lang w:val="en-NZ" w:eastAsia="ko-KR"/>
        </w:rPr>
        <w:tab/>
        <w:t>CITEL</w:t>
      </w:r>
      <w:r w:rsidR="00EB53ED">
        <w:rPr>
          <w:b/>
          <w:lang w:val="en-NZ" w:eastAsia="ko-KR"/>
        </w:rPr>
        <w:t xml:space="preserve"> - </w:t>
      </w:r>
      <w:r w:rsidR="00EB53ED" w:rsidRPr="00441526">
        <w:rPr>
          <w:b/>
          <w:lang w:val="en-NZ" w:eastAsia="ko-KR"/>
        </w:rPr>
        <w:t>Document APG</w:t>
      </w:r>
      <w:r w:rsidR="00EB53ED">
        <w:rPr>
          <w:b/>
          <w:lang w:val="en-NZ" w:eastAsia="ko-KR"/>
        </w:rPr>
        <w:t>23-1</w:t>
      </w:r>
      <w:r w:rsidR="00EB53ED" w:rsidRPr="00441526">
        <w:rPr>
          <w:b/>
          <w:lang w:val="en-NZ" w:eastAsia="ko-KR"/>
        </w:rPr>
        <w:t>/</w:t>
      </w:r>
      <w:hyperlink r:id="rId31" w:history="1">
        <w:r w:rsidR="00795F61">
          <w:rPr>
            <w:rStyle w:val="Hyperlink"/>
            <w:rFonts w:eastAsia="MS Mincho"/>
            <w:b/>
            <w:lang w:eastAsia="ja-JP"/>
          </w:rPr>
          <w:t>INF-3</w:t>
        </w:r>
        <w:r w:rsidR="0047051A" w:rsidRPr="0047051A">
          <w:rPr>
            <w:rStyle w:val="Hyperlink"/>
            <w:rFonts w:eastAsia="MS Mincho"/>
            <w:b/>
            <w:lang w:eastAsia="ja-JP"/>
          </w:rPr>
          <w:t>4</w:t>
        </w:r>
      </w:hyperlink>
    </w:p>
    <w:p w14:paraId="27CDF853" w14:textId="77777777" w:rsidR="00657DB9" w:rsidRDefault="0047051A" w:rsidP="00795F61">
      <w:pPr>
        <w:tabs>
          <w:tab w:val="num" w:pos="720"/>
        </w:tabs>
        <w:spacing w:before="120"/>
        <w:jc w:val="both"/>
        <w:rPr>
          <w:lang w:val="en-NZ"/>
        </w:rPr>
      </w:pPr>
      <w:r w:rsidRPr="003E221B">
        <w:rPr>
          <w:lang w:val="en-NZ"/>
        </w:rPr>
        <w:t xml:space="preserve">An Administration supports studies for additional allocations to the mobile service in Region 1, including potential identifications to IMT </w:t>
      </w:r>
      <w:proofErr w:type="gramStart"/>
      <w:r w:rsidRPr="003E221B">
        <w:rPr>
          <w:lang w:val="en-NZ"/>
        </w:rPr>
        <w:t>as long as</w:t>
      </w:r>
      <w:proofErr w:type="gramEnd"/>
      <w:r w:rsidRPr="003E221B">
        <w:rPr>
          <w:lang w:val="en-NZ"/>
        </w:rPr>
        <w:t xml:space="preserve"> studies indicate that such use would not impose undue constraints on the existing services and their future development in Region 2.</w:t>
      </w:r>
    </w:p>
    <w:p w14:paraId="23BC497E" w14:textId="77777777" w:rsidR="00657DB9" w:rsidRPr="003E221B" w:rsidRDefault="0047051A" w:rsidP="00795F61">
      <w:pPr>
        <w:tabs>
          <w:tab w:val="num" w:pos="720"/>
        </w:tabs>
        <w:spacing w:before="120"/>
        <w:jc w:val="both"/>
        <w:rPr>
          <w:bCs/>
          <w:lang w:eastAsia="ko-KR"/>
        </w:rPr>
      </w:pPr>
      <w:r w:rsidRPr="003E221B">
        <w:rPr>
          <w:lang w:val="en-NZ"/>
        </w:rPr>
        <w:t>Some administrations consider that any eventual changes to the Radio Regulations under WRC-23 agenda item 1.5 must not impact Region 2 services (and applications thereof) nor subject</w:t>
      </w:r>
      <w:r w:rsidRPr="003E221B">
        <w:rPr>
          <w:bCs/>
          <w:lang w:eastAsia="ko-KR"/>
        </w:rPr>
        <w:t xml:space="preserve"> Region 2 to any changed procedural or regulatory provisions. </w:t>
      </w:r>
    </w:p>
    <w:p w14:paraId="1A91FD85" w14:textId="5AD6659C" w:rsidR="002A0111" w:rsidRPr="00441526" w:rsidRDefault="005206E9" w:rsidP="00795F61">
      <w:pPr>
        <w:spacing w:before="120" w:after="120"/>
        <w:jc w:val="both"/>
        <w:outlineLvl w:val="2"/>
        <w:rPr>
          <w:b/>
          <w:lang w:val="en-NZ" w:eastAsia="ko-KR"/>
        </w:rPr>
      </w:pPr>
      <w:r>
        <w:rPr>
          <w:b/>
          <w:lang w:val="en-NZ" w:eastAsia="ko-KR"/>
        </w:rPr>
        <w:t>7</w:t>
      </w:r>
      <w:r w:rsidR="002A0111" w:rsidRPr="00441526">
        <w:rPr>
          <w:b/>
          <w:lang w:val="en-NZ" w:eastAsia="ko-KR"/>
        </w:rPr>
        <w:t>.1.</w:t>
      </w:r>
      <w:r w:rsidR="0047051A">
        <w:rPr>
          <w:b/>
          <w:lang w:val="en-NZ" w:eastAsia="ko-KR"/>
        </w:rPr>
        <w:t>4</w:t>
      </w:r>
      <w:r w:rsidR="002A0111" w:rsidRPr="00441526">
        <w:rPr>
          <w:b/>
          <w:lang w:val="en-NZ" w:eastAsia="ko-KR"/>
        </w:rPr>
        <w:t xml:space="preserve"> </w:t>
      </w:r>
      <w:r w:rsidR="002A0111" w:rsidRPr="00441526">
        <w:rPr>
          <w:b/>
          <w:lang w:val="en-NZ" w:eastAsia="ko-KR"/>
        </w:rPr>
        <w:tab/>
        <w:t>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23-1</w:t>
      </w:r>
      <w:r w:rsidR="00BF55A5" w:rsidRPr="00441526">
        <w:rPr>
          <w:b/>
          <w:lang w:val="en-NZ" w:eastAsia="ko-KR"/>
        </w:rPr>
        <w:t>/</w:t>
      </w:r>
      <w:hyperlink r:id="rId32" w:history="1">
        <w:r w:rsidR="00795F61">
          <w:rPr>
            <w:rStyle w:val="Hyperlink"/>
            <w:rFonts w:eastAsia="MS Mincho"/>
            <w:b/>
            <w:lang w:eastAsia="ja-JP"/>
          </w:rPr>
          <w:t>INF-3</w:t>
        </w:r>
        <w:r w:rsidR="00EB53ED" w:rsidRPr="00EB53ED">
          <w:rPr>
            <w:rStyle w:val="Hyperlink"/>
            <w:rFonts w:eastAsia="MS Mincho"/>
            <w:b/>
            <w:lang w:eastAsia="ja-JP"/>
          </w:rPr>
          <w:t>6</w:t>
        </w:r>
      </w:hyperlink>
    </w:p>
    <w:p w14:paraId="0A9E13CC" w14:textId="4A80D2E7" w:rsidR="002A0111" w:rsidRDefault="003E221B" w:rsidP="00795F61">
      <w:pPr>
        <w:tabs>
          <w:tab w:val="num" w:pos="720"/>
        </w:tabs>
        <w:jc w:val="both"/>
        <w:rPr>
          <w:lang w:val="en-NZ"/>
        </w:rPr>
      </w:pPr>
      <w:r w:rsidRPr="003E221B">
        <w:rPr>
          <w:lang w:val="en-NZ"/>
        </w:rPr>
        <w:t>The</w:t>
      </w:r>
      <w:r>
        <w:rPr>
          <w:lang w:val="en-NZ"/>
        </w:rPr>
        <w:t xml:space="preserve"> </w:t>
      </w:r>
      <w:r w:rsidRPr="003E221B">
        <w:rPr>
          <w:lang w:val="en-NZ"/>
        </w:rPr>
        <w:t>RCC</w:t>
      </w:r>
      <w:r>
        <w:rPr>
          <w:lang w:val="en-NZ"/>
        </w:rPr>
        <w:t xml:space="preserve"> </w:t>
      </w:r>
      <w:r w:rsidRPr="003E221B">
        <w:rPr>
          <w:lang w:val="en-NZ"/>
        </w:rPr>
        <w:t>Administrations</w:t>
      </w:r>
      <w:r>
        <w:rPr>
          <w:lang w:val="en-NZ"/>
        </w:rPr>
        <w:t xml:space="preserve"> </w:t>
      </w:r>
      <w:r w:rsidRPr="003E221B">
        <w:rPr>
          <w:lang w:val="en-NZ"/>
        </w:rPr>
        <w:t>oppose</w:t>
      </w:r>
      <w:r>
        <w:rPr>
          <w:lang w:val="en-NZ"/>
        </w:rPr>
        <w:t xml:space="preserve"> </w:t>
      </w:r>
      <w:r w:rsidRPr="003E221B">
        <w:rPr>
          <w:lang w:val="en-NZ"/>
        </w:rPr>
        <w:t>changes</w:t>
      </w:r>
      <w:r>
        <w:rPr>
          <w:lang w:val="en-NZ"/>
        </w:rPr>
        <w:t xml:space="preserve"> </w:t>
      </w:r>
      <w:r w:rsidRPr="003E221B">
        <w:rPr>
          <w:lang w:val="en-NZ"/>
        </w:rPr>
        <w:t>in</w:t>
      </w:r>
      <w:r>
        <w:rPr>
          <w:lang w:val="en-NZ"/>
        </w:rPr>
        <w:t xml:space="preserve"> </w:t>
      </w:r>
      <w:r w:rsidRPr="003E221B">
        <w:rPr>
          <w:lang w:val="en-NZ"/>
        </w:rPr>
        <w:t>the</w:t>
      </w:r>
      <w:r>
        <w:rPr>
          <w:lang w:val="en-NZ"/>
        </w:rPr>
        <w:t xml:space="preserve"> </w:t>
      </w:r>
      <w:r w:rsidRPr="003E221B">
        <w:rPr>
          <w:lang w:val="en-NZ"/>
        </w:rPr>
        <w:t>regulatory</w:t>
      </w:r>
      <w:r>
        <w:rPr>
          <w:lang w:val="en-NZ"/>
        </w:rPr>
        <w:t xml:space="preserve"> </w:t>
      </w:r>
      <w:r w:rsidRPr="003E221B">
        <w:rPr>
          <w:lang w:val="en-NZ"/>
        </w:rPr>
        <w:t>conditions</w:t>
      </w:r>
      <w:r>
        <w:rPr>
          <w:lang w:val="en-NZ"/>
        </w:rPr>
        <w:t xml:space="preserve"> </w:t>
      </w:r>
      <w:r w:rsidRPr="003E221B">
        <w:rPr>
          <w:lang w:val="en-NZ"/>
        </w:rPr>
        <w:t>for</w:t>
      </w:r>
      <w:r>
        <w:rPr>
          <w:lang w:val="en-NZ"/>
        </w:rPr>
        <w:t xml:space="preserve"> </w:t>
      </w:r>
      <w:r w:rsidRPr="003E221B">
        <w:rPr>
          <w:lang w:val="en-NZ"/>
        </w:rPr>
        <w:t>the</w:t>
      </w:r>
      <w:r>
        <w:rPr>
          <w:lang w:val="en-NZ"/>
        </w:rPr>
        <w:t xml:space="preserve"> </w:t>
      </w:r>
      <w:r w:rsidRPr="003E221B">
        <w:rPr>
          <w:lang w:val="en-NZ"/>
        </w:rPr>
        <w:t>use</w:t>
      </w:r>
      <w:r>
        <w:rPr>
          <w:lang w:val="en-NZ"/>
        </w:rPr>
        <w:t xml:space="preserve"> </w:t>
      </w:r>
      <w:r w:rsidRPr="003E221B">
        <w:rPr>
          <w:lang w:val="en-NZ"/>
        </w:rPr>
        <w:t>of</w:t>
      </w:r>
      <w:r>
        <w:rPr>
          <w:lang w:val="en-NZ"/>
        </w:rPr>
        <w:t xml:space="preserve"> </w:t>
      </w:r>
      <w:r w:rsidRPr="003E221B">
        <w:rPr>
          <w:lang w:val="en-NZ"/>
        </w:rPr>
        <w:t>the470</w:t>
      </w:r>
      <w:r>
        <w:rPr>
          <w:lang w:val="en-NZ"/>
        </w:rPr>
        <w:t xml:space="preserve"> </w:t>
      </w:r>
      <w:r w:rsidRPr="003E221B">
        <w:rPr>
          <w:lang w:val="en-NZ"/>
        </w:rPr>
        <w:t>-694</w:t>
      </w:r>
      <w:r>
        <w:rPr>
          <w:lang w:val="en-NZ"/>
        </w:rPr>
        <w:t xml:space="preserve"> </w:t>
      </w:r>
      <w:r w:rsidRPr="003E221B">
        <w:rPr>
          <w:lang w:val="en-NZ"/>
        </w:rPr>
        <w:t>MHz</w:t>
      </w:r>
      <w:r>
        <w:rPr>
          <w:lang w:val="en-NZ"/>
        </w:rPr>
        <w:t xml:space="preserve"> </w:t>
      </w:r>
      <w:r w:rsidRPr="003E221B">
        <w:rPr>
          <w:lang w:val="en-NZ"/>
        </w:rPr>
        <w:t>frequency</w:t>
      </w:r>
      <w:r>
        <w:rPr>
          <w:lang w:val="en-NZ"/>
        </w:rPr>
        <w:t xml:space="preserve"> </w:t>
      </w:r>
      <w:r w:rsidRPr="003E221B">
        <w:rPr>
          <w:lang w:val="en-NZ"/>
        </w:rPr>
        <w:t>band</w:t>
      </w:r>
      <w:r>
        <w:rPr>
          <w:lang w:val="en-NZ"/>
        </w:rPr>
        <w:t xml:space="preserve"> </w:t>
      </w:r>
      <w:r w:rsidRPr="003E221B">
        <w:rPr>
          <w:lang w:val="en-NZ"/>
        </w:rPr>
        <w:t>in</w:t>
      </w:r>
      <w:r>
        <w:rPr>
          <w:lang w:val="en-NZ"/>
        </w:rPr>
        <w:t xml:space="preserve"> </w:t>
      </w:r>
      <w:r w:rsidRPr="003E221B">
        <w:rPr>
          <w:lang w:val="en-NZ"/>
        </w:rPr>
        <w:t>Region</w:t>
      </w:r>
      <w:r>
        <w:rPr>
          <w:lang w:val="en-NZ"/>
        </w:rPr>
        <w:t xml:space="preserve"> </w:t>
      </w:r>
      <w:r w:rsidRPr="003E221B">
        <w:rPr>
          <w:lang w:val="en-NZ"/>
        </w:rPr>
        <w:t>1</w:t>
      </w:r>
      <w:r>
        <w:rPr>
          <w:lang w:val="en-NZ"/>
        </w:rPr>
        <w:t xml:space="preserve"> </w:t>
      </w:r>
      <w:r w:rsidRPr="003E221B">
        <w:rPr>
          <w:lang w:val="en-NZ"/>
        </w:rPr>
        <w:t>under</w:t>
      </w:r>
      <w:r>
        <w:rPr>
          <w:lang w:val="en-NZ"/>
        </w:rPr>
        <w:t xml:space="preserve"> </w:t>
      </w:r>
      <w:r w:rsidRPr="003E221B">
        <w:rPr>
          <w:lang w:val="en-NZ"/>
        </w:rPr>
        <w:t>this</w:t>
      </w:r>
      <w:r>
        <w:rPr>
          <w:lang w:val="en-NZ"/>
        </w:rPr>
        <w:t xml:space="preserve"> </w:t>
      </w:r>
      <w:r w:rsidRPr="003E221B">
        <w:rPr>
          <w:lang w:val="en-NZ"/>
        </w:rPr>
        <w:t>WRC-23</w:t>
      </w:r>
      <w:r>
        <w:rPr>
          <w:lang w:val="en-NZ"/>
        </w:rPr>
        <w:t xml:space="preserve"> </w:t>
      </w:r>
      <w:r w:rsidRPr="003E221B">
        <w:rPr>
          <w:lang w:val="en-NZ"/>
        </w:rPr>
        <w:t>agenda</w:t>
      </w:r>
      <w:r>
        <w:rPr>
          <w:lang w:val="en-NZ"/>
        </w:rPr>
        <w:t xml:space="preserve"> </w:t>
      </w:r>
      <w:r w:rsidRPr="003E221B">
        <w:rPr>
          <w:lang w:val="en-NZ"/>
        </w:rPr>
        <w:t>item</w:t>
      </w:r>
      <w:r>
        <w:rPr>
          <w:lang w:val="en-NZ"/>
        </w:rPr>
        <w:t xml:space="preserve"> </w:t>
      </w:r>
      <w:r w:rsidRPr="003E221B">
        <w:rPr>
          <w:lang w:val="en-NZ"/>
        </w:rPr>
        <w:t>due</w:t>
      </w:r>
      <w:r>
        <w:rPr>
          <w:lang w:val="en-NZ"/>
        </w:rPr>
        <w:t xml:space="preserve"> </w:t>
      </w:r>
      <w:r w:rsidRPr="003E221B">
        <w:rPr>
          <w:lang w:val="en-NZ"/>
        </w:rPr>
        <w:t>to</w:t>
      </w:r>
      <w:r>
        <w:rPr>
          <w:lang w:val="en-NZ"/>
        </w:rPr>
        <w:t xml:space="preserve"> </w:t>
      </w:r>
      <w:r w:rsidRPr="003E221B">
        <w:rPr>
          <w:lang w:val="en-NZ"/>
        </w:rPr>
        <w:t>the</w:t>
      </w:r>
      <w:r>
        <w:rPr>
          <w:lang w:val="en-NZ"/>
        </w:rPr>
        <w:t xml:space="preserve"> </w:t>
      </w:r>
      <w:r w:rsidRPr="003E221B">
        <w:rPr>
          <w:lang w:val="en-NZ"/>
        </w:rPr>
        <w:t>current</w:t>
      </w:r>
      <w:r>
        <w:rPr>
          <w:lang w:val="en-NZ"/>
        </w:rPr>
        <w:t xml:space="preserve"> </w:t>
      </w:r>
      <w:r w:rsidRPr="003E221B">
        <w:rPr>
          <w:lang w:val="en-NZ"/>
        </w:rPr>
        <w:t>and</w:t>
      </w:r>
      <w:r>
        <w:rPr>
          <w:lang w:val="en-NZ"/>
        </w:rPr>
        <w:t xml:space="preserve"> </w:t>
      </w:r>
      <w:r w:rsidRPr="003E221B">
        <w:rPr>
          <w:lang w:val="en-NZ"/>
        </w:rPr>
        <w:t>future</w:t>
      </w:r>
      <w:r>
        <w:rPr>
          <w:lang w:val="en-NZ"/>
        </w:rPr>
        <w:t xml:space="preserve"> </w:t>
      </w:r>
      <w:r w:rsidRPr="003E221B">
        <w:rPr>
          <w:lang w:val="en-NZ"/>
        </w:rPr>
        <w:t>intensive</w:t>
      </w:r>
      <w:r>
        <w:rPr>
          <w:lang w:val="en-NZ"/>
        </w:rPr>
        <w:t xml:space="preserve"> </w:t>
      </w:r>
      <w:r w:rsidRPr="003E221B">
        <w:rPr>
          <w:lang w:val="en-NZ"/>
        </w:rPr>
        <w:t>use</w:t>
      </w:r>
      <w:r>
        <w:rPr>
          <w:lang w:val="en-NZ"/>
        </w:rPr>
        <w:t xml:space="preserve"> </w:t>
      </w:r>
      <w:r w:rsidRPr="003E221B">
        <w:rPr>
          <w:lang w:val="en-NZ"/>
        </w:rPr>
        <w:t>of</w:t>
      </w:r>
      <w:r>
        <w:rPr>
          <w:lang w:val="en-NZ"/>
        </w:rPr>
        <w:t xml:space="preserve"> </w:t>
      </w:r>
      <w:r w:rsidRPr="003E221B">
        <w:rPr>
          <w:lang w:val="en-NZ"/>
        </w:rPr>
        <w:t>this</w:t>
      </w:r>
      <w:r>
        <w:rPr>
          <w:lang w:val="en-NZ"/>
        </w:rPr>
        <w:t xml:space="preserve"> </w:t>
      </w:r>
      <w:r w:rsidRPr="003E221B">
        <w:rPr>
          <w:lang w:val="en-NZ"/>
        </w:rPr>
        <w:t>frequency</w:t>
      </w:r>
      <w:r>
        <w:rPr>
          <w:lang w:val="en-NZ"/>
        </w:rPr>
        <w:t xml:space="preserve"> </w:t>
      </w:r>
      <w:r w:rsidRPr="003E221B">
        <w:rPr>
          <w:lang w:val="en-NZ"/>
        </w:rPr>
        <w:t>band</w:t>
      </w:r>
      <w:r>
        <w:rPr>
          <w:lang w:val="en-NZ"/>
        </w:rPr>
        <w:t xml:space="preserve"> </w:t>
      </w:r>
      <w:r w:rsidRPr="003E221B">
        <w:rPr>
          <w:lang w:val="en-NZ"/>
        </w:rPr>
        <w:t>by</w:t>
      </w:r>
      <w:r>
        <w:rPr>
          <w:lang w:val="en-NZ"/>
        </w:rPr>
        <w:t xml:space="preserve"> </w:t>
      </w:r>
      <w:r w:rsidRPr="003E221B">
        <w:rPr>
          <w:lang w:val="en-NZ"/>
        </w:rPr>
        <w:t>the</w:t>
      </w:r>
      <w:r>
        <w:rPr>
          <w:lang w:val="en-NZ"/>
        </w:rPr>
        <w:t xml:space="preserve"> </w:t>
      </w:r>
      <w:r w:rsidRPr="003E221B">
        <w:rPr>
          <w:lang w:val="en-NZ"/>
        </w:rPr>
        <w:t>existing</w:t>
      </w:r>
      <w:r>
        <w:rPr>
          <w:lang w:val="en-NZ"/>
        </w:rPr>
        <w:t xml:space="preserve"> </w:t>
      </w:r>
      <w:r w:rsidRPr="003E221B">
        <w:rPr>
          <w:lang w:val="en-NZ"/>
        </w:rPr>
        <w:t>services.</w:t>
      </w:r>
    </w:p>
    <w:p w14:paraId="6D6A33B3" w14:textId="77777777" w:rsidR="002A0111" w:rsidRPr="00441526" w:rsidRDefault="005206E9" w:rsidP="00795F61">
      <w:pPr>
        <w:spacing w:before="120"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46F7E5CF" w14:textId="77777777" w:rsidR="00EB53ED" w:rsidRDefault="00EB53ED" w:rsidP="00EB53ED">
      <w:pPr>
        <w:rPr>
          <w:lang w:val="en-NZ"/>
        </w:rPr>
      </w:pPr>
      <w:r w:rsidRPr="003B38AE">
        <w:rPr>
          <w:lang w:val="en-NZ"/>
        </w:rPr>
        <w:t>TBD</w:t>
      </w:r>
    </w:p>
    <w:p w14:paraId="74B61FCD" w14:textId="77777777" w:rsidR="002A0111" w:rsidRPr="00441526" w:rsidRDefault="002A0111" w:rsidP="002A0111">
      <w:pPr>
        <w:rPr>
          <w:b/>
          <w:lang w:val="en-NZ"/>
        </w:rPr>
      </w:pPr>
    </w:p>
    <w:p w14:paraId="09EEDFA8" w14:textId="77777777" w:rsidR="002A0111" w:rsidRPr="00710333" w:rsidRDefault="002A0111" w:rsidP="00795F61">
      <w:pPr>
        <w:jc w:val="center"/>
        <w:rPr>
          <w:snapToGrid w:val="0"/>
          <w:lang w:val="en-NZ"/>
        </w:rPr>
      </w:pPr>
      <w:r w:rsidRPr="00441526">
        <w:rPr>
          <w:lang w:val="en-NZ"/>
        </w:rPr>
        <w:t>____________</w:t>
      </w:r>
    </w:p>
    <w:sectPr w:rsidR="002A0111" w:rsidRPr="00710333" w:rsidSect="00C516C7">
      <w:headerReference w:type="default" r:id="rId33"/>
      <w:footerReference w:type="even" r:id="rId34"/>
      <w:footerReference w:type="default" r:id="rId35"/>
      <w:headerReference w:type="first" r:id="rId36"/>
      <w:footerReference w:type="first" r:id="rId3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F8E3" w14:textId="77777777" w:rsidR="00E1493E" w:rsidRDefault="00E1493E">
      <w:r>
        <w:separator/>
      </w:r>
    </w:p>
  </w:endnote>
  <w:endnote w:type="continuationSeparator" w:id="0">
    <w:p w14:paraId="69AB257E" w14:textId="77777777" w:rsidR="00E1493E" w:rsidRDefault="00E1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7AD4ED0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340B6D">
      <w:rPr>
        <w:lang w:eastAsia="ko-KR"/>
      </w:rPr>
      <w:t>OUT</w:t>
    </w:r>
    <w:r>
      <w:rPr>
        <w:lang w:eastAsia="ko-KR"/>
      </w:rPr>
      <w:t>-</w:t>
    </w:r>
    <w:r w:rsidR="00340B6D">
      <w:rPr>
        <w:lang w:eastAsia="ko-KR"/>
      </w:rPr>
      <w:t>09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95E7A">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95E7A">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C614AEA" w14:textId="77777777" w:rsidTr="00BB0EA4">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95AE9CC" w14:textId="4E82FF12" w:rsidR="0092727B" w:rsidRDefault="002B5864" w:rsidP="0092727B">
          <w:pPr>
            <w:pStyle w:val="Footer"/>
            <w:tabs>
              <w:tab w:val="clear" w:pos="4320"/>
              <w:tab w:val="clear" w:pos="8640"/>
            </w:tabs>
          </w:pPr>
          <w:r>
            <w:t xml:space="preserve">Dr. </w:t>
          </w:r>
          <w:r w:rsidR="006E6E31">
            <w:t xml:space="preserve">Azim </w:t>
          </w:r>
          <w:proofErr w:type="spellStart"/>
          <w:r w:rsidR="006E6E31">
            <w:t>F</w:t>
          </w:r>
          <w:r>
            <w:t>ard</w:t>
          </w:r>
          <w:proofErr w:type="spellEnd"/>
        </w:p>
        <w:p w14:paraId="4FC7F141" w14:textId="2A34052B" w:rsidR="002A0111" w:rsidRPr="002A0111" w:rsidRDefault="002A0111" w:rsidP="006E6E31">
          <w:pPr>
            <w:pStyle w:val="Footer"/>
            <w:tabs>
              <w:tab w:val="clear" w:pos="4320"/>
              <w:tab w:val="clear" w:pos="8640"/>
            </w:tabs>
          </w:pPr>
          <w:r>
            <w:t>Chairman, DG AI1.</w:t>
          </w:r>
          <w:r w:rsidR="006E6E31">
            <w:t>5</w:t>
          </w:r>
          <w:r w:rsidR="002B5864">
            <w:t xml:space="preserve">, </w:t>
          </w:r>
          <w:r>
            <w:t xml:space="preserve">WP </w:t>
          </w:r>
          <w:r w:rsidR="006E6E31">
            <w:t>1</w:t>
          </w:r>
        </w:p>
      </w:tc>
      <w:tc>
        <w:tcPr>
          <w:tcW w:w="2880" w:type="dxa"/>
          <w:tcBorders>
            <w:top w:val="single" w:sz="8" w:space="0" w:color="auto"/>
            <w:left w:val="nil"/>
            <w:bottom w:val="nil"/>
          </w:tcBorders>
        </w:tcPr>
        <w:p w14:paraId="447F22A7" w14:textId="0CD0A3C7" w:rsidR="0092727B" w:rsidRPr="0092727B" w:rsidRDefault="0092727B" w:rsidP="0092727B">
          <w:pPr>
            <w:pStyle w:val="Footer"/>
            <w:tabs>
              <w:tab w:val="clear" w:pos="4320"/>
              <w:tab w:val="clear" w:pos="8640"/>
            </w:tabs>
          </w:pPr>
          <w:r>
            <w:t>E-mail:</w:t>
          </w:r>
          <w:r w:rsidR="006E6E31">
            <w:t xml:space="preserve"> </w:t>
          </w:r>
          <w:hyperlink r:id="rId1" w:history="1">
            <w:r w:rsidR="002B5864" w:rsidRPr="00DC4387">
              <w:rPr>
                <w:rStyle w:val="Hyperlink"/>
              </w:rPr>
              <w:t>azimfard@cra.ir</w:t>
            </w:r>
          </w:hyperlink>
          <w:r w:rsidR="002B5864">
            <w:t xml:space="preserve"> </w:t>
          </w: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4A09" w14:textId="77777777" w:rsidR="00E1493E" w:rsidRDefault="00E1493E">
      <w:r>
        <w:separator/>
      </w:r>
    </w:p>
  </w:footnote>
  <w:footnote w:type="continuationSeparator" w:id="0">
    <w:p w14:paraId="084EBFB1" w14:textId="77777777" w:rsidR="00E1493E" w:rsidRDefault="00E1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F275DE5"/>
    <w:multiLevelType w:val="hybridMultilevel"/>
    <w:tmpl w:val="D1043BC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055315"/>
    <w:multiLevelType w:val="hybridMultilevel"/>
    <w:tmpl w:val="3F6ECB6A"/>
    <w:lvl w:ilvl="0" w:tplc="368863C6">
      <w:start w:val="1"/>
      <w:numFmt w:val="bullet"/>
      <w:lvlText w:val="•"/>
      <w:lvlJc w:val="left"/>
      <w:pPr>
        <w:tabs>
          <w:tab w:val="num" w:pos="720"/>
        </w:tabs>
        <w:ind w:left="720" w:hanging="360"/>
      </w:pPr>
      <w:rPr>
        <w:rFonts w:ascii="Arial" w:hAnsi="Arial" w:hint="default"/>
      </w:rPr>
    </w:lvl>
    <w:lvl w:ilvl="1" w:tplc="10F4C77E" w:tentative="1">
      <w:start w:val="1"/>
      <w:numFmt w:val="bullet"/>
      <w:lvlText w:val="•"/>
      <w:lvlJc w:val="left"/>
      <w:pPr>
        <w:tabs>
          <w:tab w:val="num" w:pos="1440"/>
        </w:tabs>
        <w:ind w:left="1440" w:hanging="360"/>
      </w:pPr>
      <w:rPr>
        <w:rFonts w:ascii="Arial" w:hAnsi="Arial" w:hint="default"/>
      </w:rPr>
    </w:lvl>
    <w:lvl w:ilvl="2" w:tplc="DCFAE7F4" w:tentative="1">
      <w:start w:val="1"/>
      <w:numFmt w:val="bullet"/>
      <w:lvlText w:val="•"/>
      <w:lvlJc w:val="left"/>
      <w:pPr>
        <w:tabs>
          <w:tab w:val="num" w:pos="2160"/>
        </w:tabs>
        <w:ind w:left="2160" w:hanging="360"/>
      </w:pPr>
      <w:rPr>
        <w:rFonts w:ascii="Arial" w:hAnsi="Arial" w:hint="default"/>
      </w:rPr>
    </w:lvl>
    <w:lvl w:ilvl="3" w:tplc="3850B4C8" w:tentative="1">
      <w:start w:val="1"/>
      <w:numFmt w:val="bullet"/>
      <w:lvlText w:val="•"/>
      <w:lvlJc w:val="left"/>
      <w:pPr>
        <w:tabs>
          <w:tab w:val="num" w:pos="2880"/>
        </w:tabs>
        <w:ind w:left="2880" w:hanging="360"/>
      </w:pPr>
      <w:rPr>
        <w:rFonts w:ascii="Arial" w:hAnsi="Arial" w:hint="default"/>
      </w:rPr>
    </w:lvl>
    <w:lvl w:ilvl="4" w:tplc="FEBC0CA6" w:tentative="1">
      <w:start w:val="1"/>
      <w:numFmt w:val="bullet"/>
      <w:lvlText w:val="•"/>
      <w:lvlJc w:val="left"/>
      <w:pPr>
        <w:tabs>
          <w:tab w:val="num" w:pos="3600"/>
        </w:tabs>
        <w:ind w:left="3600" w:hanging="360"/>
      </w:pPr>
      <w:rPr>
        <w:rFonts w:ascii="Arial" w:hAnsi="Arial" w:hint="default"/>
      </w:rPr>
    </w:lvl>
    <w:lvl w:ilvl="5" w:tplc="98DE0176" w:tentative="1">
      <w:start w:val="1"/>
      <w:numFmt w:val="bullet"/>
      <w:lvlText w:val="•"/>
      <w:lvlJc w:val="left"/>
      <w:pPr>
        <w:tabs>
          <w:tab w:val="num" w:pos="4320"/>
        </w:tabs>
        <w:ind w:left="4320" w:hanging="360"/>
      </w:pPr>
      <w:rPr>
        <w:rFonts w:ascii="Arial" w:hAnsi="Arial" w:hint="default"/>
      </w:rPr>
    </w:lvl>
    <w:lvl w:ilvl="6" w:tplc="69A67086" w:tentative="1">
      <w:start w:val="1"/>
      <w:numFmt w:val="bullet"/>
      <w:lvlText w:val="•"/>
      <w:lvlJc w:val="left"/>
      <w:pPr>
        <w:tabs>
          <w:tab w:val="num" w:pos="5040"/>
        </w:tabs>
        <w:ind w:left="5040" w:hanging="360"/>
      </w:pPr>
      <w:rPr>
        <w:rFonts w:ascii="Arial" w:hAnsi="Arial" w:hint="default"/>
      </w:rPr>
    </w:lvl>
    <w:lvl w:ilvl="7" w:tplc="27DEDD78" w:tentative="1">
      <w:start w:val="1"/>
      <w:numFmt w:val="bullet"/>
      <w:lvlText w:val="•"/>
      <w:lvlJc w:val="left"/>
      <w:pPr>
        <w:tabs>
          <w:tab w:val="num" w:pos="5760"/>
        </w:tabs>
        <w:ind w:left="5760" w:hanging="360"/>
      </w:pPr>
      <w:rPr>
        <w:rFonts w:ascii="Arial" w:hAnsi="Arial" w:hint="default"/>
      </w:rPr>
    </w:lvl>
    <w:lvl w:ilvl="8" w:tplc="D6FC0D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272E"/>
    <w:multiLevelType w:val="multilevel"/>
    <w:tmpl w:val="832A6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D000F4"/>
    <w:multiLevelType w:val="multilevel"/>
    <w:tmpl w:val="78B8BD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C03B9E"/>
    <w:multiLevelType w:val="hybridMultilevel"/>
    <w:tmpl w:val="BAC215C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8"/>
  </w:num>
  <w:num w:numId="3">
    <w:abstractNumId w:val="7"/>
  </w:num>
  <w:num w:numId="4">
    <w:abstractNumId w:val="25"/>
  </w:num>
  <w:num w:numId="5">
    <w:abstractNumId w:val="12"/>
  </w:num>
  <w:num w:numId="6">
    <w:abstractNumId w:val="14"/>
  </w:num>
  <w:num w:numId="7">
    <w:abstractNumId w:val="5"/>
  </w:num>
  <w:num w:numId="8">
    <w:abstractNumId w:val="2"/>
  </w:num>
  <w:num w:numId="9">
    <w:abstractNumId w:val="28"/>
  </w:num>
  <w:num w:numId="10">
    <w:abstractNumId w:val="21"/>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20"/>
  </w:num>
  <w:num w:numId="18">
    <w:abstractNumId w:val="16"/>
  </w:num>
  <w:num w:numId="19">
    <w:abstractNumId w:val="27"/>
  </w:num>
  <w:num w:numId="20">
    <w:abstractNumId w:val="11"/>
  </w:num>
  <w:num w:numId="21">
    <w:abstractNumId w:val="26"/>
  </w:num>
  <w:num w:numId="22">
    <w:abstractNumId w:val="30"/>
  </w:num>
  <w:num w:numId="23">
    <w:abstractNumId w:val="1"/>
  </w:num>
  <w:num w:numId="24">
    <w:abstractNumId w:val="4"/>
  </w:num>
  <w:num w:numId="25">
    <w:abstractNumId w:val="10"/>
  </w:num>
  <w:num w:numId="26">
    <w:abstractNumId w:val="15"/>
  </w:num>
  <w:num w:numId="27">
    <w:abstractNumId w:val="3"/>
  </w:num>
  <w:num w:numId="28">
    <w:abstractNumId w:val="19"/>
  </w:num>
  <w:num w:numId="29">
    <w:abstractNumId w:val="17"/>
  </w:num>
  <w:num w:numId="30">
    <w:abstractNumId w:val="23"/>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14D1"/>
    <w:rsid w:val="00026813"/>
    <w:rsid w:val="0003595B"/>
    <w:rsid w:val="00036517"/>
    <w:rsid w:val="00036CC9"/>
    <w:rsid w:val="00040149"/>
    <w:rsid w:val="00070642"/>
    <w:rsid w:val="00071127"/>
    <w:rsid w:val="000713CF"/>
    <w:rsid w:val="00075C14"/>
    <w:rsid w:val="000822B5"/>
    <w:rsid w:val="0008503D"/>
    <w:rsid w:val="00094B87"/>
    <w:rsid w:val="000A012B"/>
    <w:rsid w:val="000A5418"/>
    <w:rsid w:val="000A699B"/>
    <w:rsid w:val="000D47FB"/>
    <w:rsid w:val="000F345F"/>
    <w:rsid w:val="000F517C"/>
    <w:rsid w:val="000F5540"/>
    <w:rsid w:val="001050A7"/>
    <w:rsid w:val="00105F1A"/>
    <w:rsid w:val="00125FBD"/>
    <w:rsid w:val="001409B2"/>
    <w:rsid w:val="00152636"/>
    <w:rsid w:val="001539DD"/>
    <w:rsid w:val="00156782"/>
    <w:rsid w:val="00165DD6"/>
    <w:rsid w:val="00165F01"/>
    <w:rsid w:val="001731F4"/>
    <w:rsid w:val="001916F2"/>
    <w:rsid w:val="001930A7"/>
    <w:rsid w:val="00196568"/>
    <w:rsid w:val="00197C18"/>
    <w:rsid w:val="001A2F16"/>
    <w:rsid w:val="001B1804"/>
    <w:rsid w:val="001B18C2"/>
    <w:rsid w:val="001B29C0"/>
    <w:rsid w:val="001C443F"/>
    <w:rsid w:val="001C61A5"/>
    <w:rsid w:val="001C6707"/>
    <w:rsid w:val="001D5D7E"/>
    <w:rsid w:val="001F5947"/>
    <w:rsid w:val="00202410"/>
    <w:rsid w:val="00205777"/>
    <w:rsid w:val="00214A0C"/>
    <w:rsid w:val="0021588B"/>
    <w:rsid w:val="002161B6"/>
    <w:rsid w:val="002216AC"/>
    <w:rsid w:val="002259E9"/>
    <w:rsid w:val="0023212E"/>
    <w:rsid w:val="002475E2"/>
    <w:rsid w:val="002506D2"/>
    <w:rsid w:val="00250DE2"/>
    <w:rsid w:val="00254A1B"/>
    <w:rsid w:val="0026064A"/>
    <w:rsid w:val="00264566"/>
    <w:rsid w:val="00271D69"/>
    <w:rsid w:val="0028454D"/>
    <w:rsid w:val="00291C9E"/>
    <w:rsid w:val="002926D4"/>
    <w:rsid w:val="0029734E"/>
    <w:rsid w:val="002A0111"/>
    <w:rsid w:val="002A3CF5"/>
    <w:rsid w:val="002B06A3"/>
    <w:rsid w:val="002B435C"/>
    <w:rsid w:val="002B447F"/>
    <w:rsid w:val="002B5864"/>
    <w:rsid w:val="002C07DA"/>
    <w:rsid w:val="002C2A49"/>
    <w:rsid w:val="002C4C8D"/>
    <w:rsid w:val="002C7EA9"/>
    <w:rsid w:val="002F29A6"/>
    <w:rsid w:val="002F575D"/>
    <w:rsid w:val="00304274"/>
    <w:rsid w:val="003113D7"/>
    <w:rsid w:val="00311E8A"/>
    <w:rsid w:val="00340B6D"/>
    <w:rsid w:val="00342069"/>
    <w:rsid w:val="00342F20"/>
    <w:rsid w:val="00360377"/>
    <w:rsid w:val="00366548"/>
    <w:rsid w:val="00371F4F"/>
    <w:rsid w:val="0038005B"/>
    <w:rsid w:val="003800C3"/>
    <w:rsid w:val="003809C7"/>
    <w:rsid w:val="0038236C"/>
    <w:rsid w:val="00393DCD"/>
    <w:rsid w:val="00395B40"/>
    <w:rsid w:val="003A2006"/>
    <w:rsid w:val="003A6568"/>
    <w:rsid w:val="003A7E84"/>
    <w:rsid w:val="003B38AE"/>
    <w:rsid w:val="003B4FD1"/>
    <w:rsid w:val="003B545B"/>
    <w:rsid w:val="003B6263"/>
    <w:rsid w:val="003B67CF"/>
    <w:rsid w:val="003C29E6"/>
    <w:rsid w:val="003C64A7"/>
    <w:rsid w:val="003D1128"/>
    <w:rsid w:val="003D1671"/>
    <w:rsid w:val="003D3D47"/>
    <w:rsid w:val="003D3FDA"/>
    <w:rsid w:val="003D6D00"/>
    <w:rsid w:val="003E166F"/>
    <w:rsid w:val="003E221B"/>
    <w:rsid w:val="003F307E"/>
    <w:rsid w:val="004001E5"/>
    <w:rsid w:val="0041313C"/>
    <w:rsid w:val="00415473"/>
    <w:rsid w:val="00420822"/>
    <w:rsid w:val="00420C74"/>
    <w:rsid w:val="00441526"/>
    <w:rsid w:val="004465AA"/>
    <w:rsid w:val="00446A5E"/>
    <w:rsid w:val="0045047C"/>
    <w:rsid w:val="0045458F"/>
    <w:rsid w:val="004633B4"/>
    <w:rsid w:val="0047051A"/>
    <w:rsid w:val="004721B8"/>
    <w:rsid w:val="00490042"/>
    <w:rsid w:val="00495CED"/>
    <w:rsid w:val="004A2F96"/>
    <w:rsid w:val="004A4BDF"/>
    <w:rsid w:val="004B3553"/>
    <w:rsid w:val="004B3F4B"/>
    <w:rsid w:val="004C34AF"/>
    <w:rsid w:val="004D4530"/>
    <w:rsid w:val="004D4989"/>
    <w:rsid w:val="004E1FCA"/>
    <w:rsid w:val="004E47D6"/>
    <w:rsid w:val="00503189"/>
    <w:rsid w:val="00516BD1"/>
    <w:rsid w:val="005206E9"/>
    <w:rsid w:val="00526D01"/>
    <w:rsid w:val="00530E8C"/>
    <w:rsid w:val="00535D34"/>
    <w:rsid w:val="005365F2"/>
    <w:rsid w:val="00543697"/>
    <w:rsid w:val="00545933"/>
    <w:rsid w:val="005459A3"/>
    <w:rsid w:val="00552105"/>
    <w:rsid w:val="00552366"/>
    <w:rsid w:val="00552C85"/>
    <w:rsid w:val="005562F2"/>
    <w:rsid w:val="00557544"/>
    <w:rsid w:val="0056391C"/>
    <w:rsid w:val="00565BBB"/>
    <w:rsid w:val="00571B26"/>
    <w:rsid w:val="00574666"/>
    <w:rsid w:val="00585F3C"/>
    <w:rsid w:val="00586CA0"/>
    <w:rsid w:val="00587875"/>
    <w:rsid w:val="0059673A"/>
    <w:rsid w:val="005A63EB"/>
    <w:rsid w:val="005B0876"/>
    <w:rsid w:val="005C33B6"/>
    <w:rsid w:val="005D6202"/>
    <w:rsid w:val="005D6E98"/>
    <w:rsid w:val="00605413"/>
    <w:rsid w:val="00607E2B"/>
    <w:rsid w:val="006125A1"/>
    <w:rsid w:val="006139D6"/>
    <w:rsid w:val="00616D1B"/>
    <w:rsid w:val="00623CE1"/>
    <w:rsid w:val="00627880"/>
    <w:rsid w:val="0063062B"/>
    <w:rsid w:val="00634A82"/>
    <w:rsid w:val="00637351"/>
    <w:rsid w:val="00646166"/>
    <w:rsid w:val="00646573"/>
    <w:rsid w:val="00652BDD"/>
    <w:rsid w:val="00654896"/>
    <w:rsid w:val="006564FF"/>
    <w:rsid w:val="00656605"/>
    <w:rsid w:val="00657DB9"/>
    <w:rsid w:val="006621F0"/>
    <w:rsid w:val="006647BA"/>
    <w:rsid w:val="00667229"/>
    <w:rsid w:val="0067211E"/>
    <w:rsid w:val="00682BE5"/>
    <w:rsid w:val="00683846"/>
    <w:rsid w:val="00690FED"/>
    <w:rsid w:val="006939A5"/>
    <w:rsid w:val="00697C27"/>
    <w:rsid w:val="006B09DB"/>
    <w:rsid w:val="006B68DE"/>
    <w:rsid w:val="006C5616"/>
    <w:rsid w:val="006D3C2B"/>
    <w:rsid w:val="006D5223"/>
    <w:rsid w:val="006D5970"/>
    <w:rsid w:val="006E12FC"/>
    <w:rsid w:val="006E6E31"/>
    <w:rsid w:val="006F0F24"/>
    <w:rsid w:val="006F2B2E"/>
    <w:rsid w:val="006F6A5C"/>
    <w:rsid w:val="006F72DB"/>
    <w:rsid w:val="00703F6F"/>
    <w:rsid w:val="007052B3"/>
    <w:rsid w:val="00705962"/>
    <w:rsid w:val="00707C21"/>
    <w:rsid w:val="00712451"/>
    <w:rsid w:val="00717DE9"/>
    <w:rsid w:val="0072518B"/>
    <w:rsid w:val="00731041"/>
    <w:rsid w:val="007329E4"/>
    <w:rsid w:val="00732F08"/>
    <w:rsid w:val="007342F0"/>
    <w:rsid w:val="00735749"/>
    <w:rsid w:val="00736550"/>
    <w:rsid w:val="0074190C"/>
    <w:rsid w:val="0075493D"/>
    <w:rsid w:val="00762576"/>
    <w:rsid w:val="007673CA"/>
    <w:rsid w:val="00791060"/>
    <w:rsid w:val="007926EA"/>
    <w:rsid w:val="00795F61"/>
    <w:rsid w:val="007B5626"/>
    <w:rsid w:val="007B6124"/>
    <w:rsid w:val="007D3C53"/>
    <w:rsid w:val="007E3A0F"/>
    <w:rsid w:val="007F0AE6"/>
    <w:rsid w:val="007F2628"/>
    <w:rsid w:val="007F2FBA"/>
    <w:rsid w:val="00800C3A"/>
    <w:rsid w:val="0080570B"/>
    <w:rsid w:val="008148E1"/>
    <w:rsid w:val="00822B33"/>
    <w:rsid w:val="008319BF"/>
    <w:rsid w:val="008415F0"/>
    <w:rsid w:val="008433C2"/>
    <w:rsid w:val="00844457"/>
    <w:rsid w:val="008454C8"/>
    <w:rsid w:val="0084657C"/>
    <w:rsid w:val="00851D78"/>
    <w:rsid w:val="0087122A"/>
    <w:rsid w:val="00883383"/>
    <w:rsid w:val="00895E7A"/>
    <w:rsid w:val="008A016F"/>
    <w:rsid w:val="008A1A0D"/>
    <w:rsid w:val="008A72E1"/>
    <w:rsid w:val="008A76ED"/>
    <w:rsid w:val="008B3C72"/>
    <w:rsid w:val="008C06F2"/>
    <w:rsid w:val="008C5A78"/>
    <w:rsid w:val="008C5FED"/>
    <w:rsid w:val="008D0E09"/>
    <w:rsid w:val="008D17D8"/>
    <w:rsid w:val="008F12CC"/>
    <w:rsid w:val="00903007"/>
    <w:rsid w:val="00911CF3"/>
    <w:rsid w:val="00923816"/>
    <w:rsid w:val="00925197"/>
    <w:rsid w:val="0092727B"/>
    <w:rsid w:val="009279A8"/>
    <w:rsid w:val="0093074B"/>
    <w:rsid w:val="00930E64"/>
    <w:rsid w:val="00943CF9"/>
    <w:rsid w:val="00956F8C"/>
    <w:rsid w:val="00961D57"/>
    <w:rsid w:val="00976716"/>
    <w:rsid w:val="0097693B"/>
    <w:rsid w:val="009837C5"/>
    <w:rsid w:val="00986696"/>
    <w:rsid w:val="00986B5A"/>
    <w:rsid w:val="00993355"/>
    <w:rsid w:val="009963F7"/>
    <w:rsid w:val="009A11CB"/>
    <w:rsid w:val="009A4A6D"/>
    <w:rsid w:val="009B44DD"/>
    <w:rsid w:val="009B7E42"/>
    <w:rsid w:val="009C7235"/>
    <w:rsid w:val="009D46CE"/>
    <w:rsid w:val="009D4ADA"/>
    <w:rsid w:val="009E13DD"/>
    <w:rsid w:val="009F3F91"/>
    <w:rsid w:val="009F547A"/>
    <w:rsid w:val="00A00FFB"/>
    <w:rsid w:val="00A03D78"/>
    <w:rsid w:val="00A0503B"/>
    <w:rsid w:val="00A059CD"/>
    <w:rsid w:val="00A13265"/>
    <w:rsid w:val="00A14900"/>
    <w:rsid w:val="00A2159F"/>
    <w:rsid w:val="00A23C16"/>
    <w:rsid w:val="00A324FF"/>
    <w:rsid w:val="00A359BA"/>
    <w:rsid w:val="00A529BC"/>
    <w:rsid w:val="00A5346C"/>
    <w:rsid w:val="00A53F51"/>
    <w:rsid w:val="00A562F0"/>
    <w:rsid w:val="00A564FB"/>
    <w:rsid w:val="00A614C1"/>
    <w:rsid w:val="00A61EA6"/>
    <w:rsid w:val="00A657BF"/>
    <w:rsid w:val="00A71136"/>
    <w:rsid w:val="00A92578"/>
    <w:rsid w:val="00AA474C"/>
    <w:rsid w:val="00AA4EA2"/>
    <w:rsid w:val="00AC35EF"/>
    <w:rsid w:val="00AC4D5B"/>
    <w:rsid w:val="00AD1DDB"/>
    <w:rsid w:val="00AD2697"/>
    <w:rsid w:val="00AD7E5F"/>
    <w:rsid w:val="00AE3066"/>
    <w:rsid w:val="00AF68E4"/>
    <w:rsid w:val="00B00A87"/>
    <w:rsid w:val="00B01AA1"/>
    <w:rsid w:val="00B06025"/>
    <w:rsid w:val="00B1065A"/>
    <w:rsid w:val="00B30C81"/>
    <w:rsid w:val="00B30DA1"/>
    <w:rsid w:val="00B37C22"/>
    <w:rsid w:val="00B42BC6"/>
    <w:rsid w:val="00B47127"/>
    <w:rsid w:val="00B4793B"/>
    <w:rsid w:val="00B56099"/>
    <w:rsid w:val="00B64A60"/>
    <w:rsid w:val="00B661AC"/>
    <w:rsid w:val="00B7406E"/>
    <w:rsid w:val="00B80ED3"/>
    <w:rsid w:val="00B81B4F"/>
    <w:rsid w:val="00B822AF"/>
    <w:rsid w:val="00B8468D"/>
    <w:rsid w:val="00B937D7"/>
    <w:rsid w:val="00B96B67"/>
    <w:rsid w:val="00BB0EA4"/>
    <w:rsid w:val="00BB40B9"/>
    <w:rsid w:val="00BC57EF"/>
    <w:rsid w:val="00BC5C9C"/>
    <w:rsid w:val="00BC69DB"/>
    <w:rsid w:val="00BE19CC"/>
    <w:rsid w:val="00BE6B6B"/>
    <w:rsid w:val="00BF1229"/>
    <w:rsid w:val="00BF25F9"/>
    <w:rsid w:val="00BF55A5"/>
    <w:rsid w:val="00C00B04"/>
    <w:rsid w:val="00C079FA"/>
    <w:rsid w:val="00C13FD5"/>
    <w:rsid w:val="00C15633"/>
    <w:rsid w:val="00C15799"/>
    <w:rsid w:val="00C1725D"/>
    <w:rsid w:val="00C32E84"/>
    <w:rsid w:val="00C35415"/>
    <w:rsid w:val="00C357AD"/>
    <w:rsid w:val="00C46F24"/>
    <w:rsid w:val="00C516C7"/>
    <w:rsid w:val="00C51C5F"/>
    <w:rsid w:val="00C5271A"/>
    <w:rsid w:val="00C554CC"/>
    <w:rsid w:val="00C55D4C"/>
    <w:rsid w:val="00C5688F"/>
    <w:rsid w:val="00C6069C"/>
    <w:rsid w:val="00C67253"/>
    <w:rsid w:val="00C70477"/>
    <w:rsid w:val="00C72AD4"/>
    <w:rsid w:val="00C73E31"/>
    <w:rsid w:val="00C74745"/>
    <w:rsid w:val="00C85119"/>
    <w:rsid w:val="00C95C48"/>
    <w:rsid w:val="00CA41E7"/>
    <w:rsid w:val="00CD170C"/>
    <w:rsid w:val="00CD320B"/>
    <w:rsid w:val="00CD3F37"/>
    <w:rsid w:val="00CD5431"/>
    <w:rsid w:val="00CE3CA9"/>
    <w:rsid w:val="00CE4B93"/>
    <w:rsid w:val="00CE7827"/>
    <w:rsid w:val="00CF2491"/>
    <w:rsid w:val="00CF3963"/>
    <w:rsid w:val="00D01AAF"/>
    <w:rsid w:val="00D073C8"/>
    <w:rsid w:val="00D1252E"/>
    <w:rsid w:val="00D13D9D"/>
    <w:rsid w:val="00D14AFE"/>
    <w:rsid w:val="00D304CC"/>
    <w:rsid w:val="00D32941"/>
    <w:rsid w:val="00D34FF8"/>
    <w:rsid w:val="00D416A3"/>
    <w:rsid w:val="00D43F83"/>
    <w:rsid w:val="00D459A2"/>
    <w:rsid w:val="00D530FF"/>
    <w:rsid w:val="00D53688"/>
    <w:rsid w:val="00D5407A"/>
    <w:rsid w:val="00D57772"/>
    <w:rsid w:val="00D72AE3"/>
    <w:rsid w:val="00D75A4D"/>
    <w:rsid w:val="00D8478B"/>
    <w:rsid w:val="00D86151"/>
    <w:rsid w:val="00D9172D"/>
    <w:rsid w:val="00D91C33"/>
    <w:rsid w:val="00D92077"/>
    <w:rsid w:val="00D92F9E"/>
    <w:rsid w:val="00D97E84"/>
    <w:rsid w:val="00DA21DC"/>
    <w:rsid w:val="00DA5641"/>
    <w:rsid w:val="00DA7595"/>
    <w:rsid w:val="00DB0A68"/>
    <w:rsid w:val="00DC43A3"/>
    <w:rsid w:val="00DC4CF3"/>
    <w:rsid w:val="00DC5C01"/>
    <w:rsid w:val="00DD7C09"/>
    <w:rsid w:val="00DE56D9"/>
    <w:rsid w:val="00DF0EB4"/>
    <w:rsid w:val="00DF111E"/>
    <w:rsid w:val="00E0124F"/>
    <w:rsid w:val="00E14026"/>
    <w:rsid w:val="00E1493E"/>
    <w:rsid w:val="00E26B16"/>
    <w:rsid w:val="00E3663E"/>
    <w:rsid w:val="00E5762A"/>
    <w:rsid w:val="00E65E4B"/>
    <w:rsid w:val="00E674D3"/>
    <w:rsid w:val="00E70FD0"/>
    <w:rsid w:val="00E72B2C"/>
    <w:rsid w:val="00E7309D"/>
    <w:rsid w:val="00E77C4B"/>
    <w:rsid w:val="00E8010C"/>
    <w:rsid w:val="00E83D02"/>
    <w:rsid w:val="00E87B3D"/>
    <w:rsid w:val="00E9301F"/>
    <w:rsid w:val="00E9690A"/>
    <w:rsid w:val="00E97DC7"/>
    <w:rsid w:val="00EB0A96"/>
    <w:rsid w:val="00EB53ED"/>
    <w:rsid w:val="00EF1C5A"/>
    <w:rsid w:val="00F000EF"/>
    <w:rsid w:val="00F146BB"/>
    <w:rsid w:val="00F23CD1"/>
    <w:rsid w:val="00F2504E"/>
    <w:rsid w:val="00F2585B"/>
    <w:rsid w:val="00F4053F"/>
    <w:rsid w:val="00F461F2"/>
    <w:rsid w:val="00F516E7"/>
    <w:rsid w:val="00F57BF7"/>
    <w:rsid w:val="00F6263E"/>
    <w:rsid w:val="00F627C2"/>
    <w:rsid w:val="00F63A3A"/>
    <w:rsid w:val="00F70C0C"/>
    <w:rsid w:val="00F736FD"/>
    <w:rsid w:val="00F84067"/>
    <w:rsid w:val="00F96FE9"/>
    <w:rsid w:val="00FA50B4"/>
    <w:rsid w:val="00FB6E83"/>
    <w:rsid w:val="00FC156A"/>
    <w:rsid w:val="00FC6A43"/>
    <w:rsid w:val="00FD6235"/>
    <w:rsid w:val="00FE13D1"/>
    <w:rsid w:val="00FE3DE5"/>
    <w:rsid w:val="00FE5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UnresolvedMention1">
    <w:name w:val="Unresolved Mention1"/>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paragraph" w:customStyle="1" w:styleId="Tabletext">
    <w:name w:val="Table_text"/>
    <w:basedOn w:val="Normal"/>
    <w:link w:val="TabletextChar"/>
    <w:rsid w:val="001050A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1050A7"/>
    <w:rPr>
      <w:rFonts w:ascii="Calibri" w:hAnsi="Calibri" w:cs="Calibri"/>
      <w:szCs w:val="22"/>
      <w:lang w:eastAsia="nl-NL"/>
    </w:rPr>
  </w:style>
  <w:style w:type="paragraph" w:customStyle="1" w:styleId="enumlev1">
    <w:name w:val="enumlev1"/>
    <w:basedOn w:val="Normal"/>
    <w:link w:val="enumlev1Char"/>
    <w:qFormat/>
    <w:rsid w:val="006564F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6564FF"/>
    <w:rPr>
      <w:rFonts w:eastAsia="MS Mincho"/>
      <w:sz w:val="24"/>
      <w:lang w:val="en-GB"/>
    </w:rPr>
  </w:style>
  <w:style w:type="character" w:styleId="FollowedHyperlink">
    <w:name w:val="FollowedHyperlink"/>
    <w:basedOn w:val="DefaultParagraphFont"/>
    <w:semiHidden/>
    <w:unhideWhenUsed/>
    <w:rsid w:val="00E87B3D"/>
    <w:rPr>
      <w:color w:val="800080" w:themeColor="followedHyperlink"/>
      <w:u w:val="single"/>
    </w:rPr>
  </w:style>
  <w:style w:type="character" w:styleId="UnresolvedMention">
    <w:name w:val="Unresolved Mention"/>
    <w:basedOn w:val="DefaultParagraphFont"/>
    <w:uiPriority w:val="99"/>
    <w:semiHidden/>
    <w:unhideWhenUsed/>
    <w:rsid w:val="002B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7076">
      <w:bodyDiv w:val="1"/>
      <w:marLeft w:val="0"/>
      <w:marRight w:val="0"/>
      <w:marTop w:val="0"/>
      <w:marBottom w:val="0"/>
      <w:divBdr>
        <w:top w:val="none" w:sz="0" w:space="0" w:color="auto"/>
        <w:left w:val="none" w:sz="0" w:space="0" w:color="auto"/>
        <w:bottom w:val="none" w:sz="0" w:space="0" w:color="auto"/>
        <w:right w:val="none" w:sz="0" w:space="0" w:color="auto"/>
      </w:divBdr>
      <w:divsChild>
        <w:div w:id="158233182">
          <w:marLeft w:val="446"/>
          <w:marRight w:val="0"/>
          <w:marTop w:val="0"/>
          <w:marBottom w:val="0"/>
          <w:divBdr>
            <w:top w:val="none" w:sz="0" w:space="0" w:color="auto"/>
            <w:left w:val="none" w:sz="0" w:space="0" w:color="auto"/>
            <w:bottom w:val="none" w:sz="0" w:space="0" w:color="auto"/>
            <w:right w:val="none" w:sz="0" w:space="0" w:color="auto"/>
          </w:divBdr>
        </w:div>
        <w:div w:id="705570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6/tg6-1/Pages/default.aspx" TargetMode="External"/><Relationship Id="rId18" Type="http://schemas.openxmlformats.org/officeDocument/2006/relationships/hyperlink" Target="https://www.apt.int/sites/default/files/2021/04/APG23-2-INP-24_AUS_contribution_for_WP1_Preliminary_Views_on_WRC-23_Agenda_Items_1.1_1.2_1.3_1.4_1.5_9.1Topic_c_and_No._21.5.docx" TargetMode="External"/><Relationship Id="rId26" Type="http://schemas.openxmlformats.org/officeDocument/2006/relationships/hyperlink" Target="https://www.apt.int/sites/default/files/2021/04/APG23-2-INP-24_AUS_contribution_for_WP1_Preliminary_Views_on_WRC-23_Agenda_Items_1.1_1.2_1.3_1.4_1.5_9.1Topic_c_and_No._21.5.docx" TargetMode="External"/><Relationship Id="rId39" Type="http://schemas.openxmlformats.org/officeDocument/2006/relationships/theme" Target="theme/theme1.xml"/><Relationship Id="rId21" Type="http://schemas.openxmlformats.org/officeDocument/2006/relationships/hyperlink" Target="https://www.apt.int/sites/default/files/2021/03/APG23-2-INF-12_Briefing_on_AI1.5.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dms_ties/itu-r/md/19/tg6.1/c/R19-TG6.1-C-0024!N01-R1!MSW-E.docx" TargetMode="External"/><Relationship Id="rId17" Type="http://schemas.openxmlformats.org/officeDocument/2006/relationships/hyperlink" Target="https://www.apt.int/sites/default/files/Upload-files/AWG/APT-AWG-REP-79_APT_Report_Arrangement_470-698_MHz.docx" TargetMode="External"/><Relationship Id="rId25" Type="http://schemas.openxmlformats.org/officeDocument/2006/relationships/hyperlink" Target="https://www.apt.int/sites/default/files/2021/04/APG23-2-INF-36_RCC_Preparation_to_the_World_Radio_Conference_and_Radio_Assembly_2023.docx"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REP-BT/publications.aspx?lang=en&amp;parent=R-REP-BT.2339" TargetMode="External"/><Relationship Id="rId20" Type="http://schemas.openxmlformats.org/officeDocument/2006/relationships/hyperlink" Target="https://www.apt.int/sites/default/files/2021/04/APG23-2-INP-53_LS_from_AWG.docx" TargetMode="External"/><Relationship Id="rId29" Type="http://schemas.openxmlformats.org/officeDocument/2006/relationships/hyperlink" Target="https://www.apt.int/sites/default/files/2021/04/APG23-2-INF-35_Status_of_CEPT_Preparation_for_WRC-23_and_RA-2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00/ca/cir/R00-CA-CIR-0251!!MSW-E.docx" TargetMode="External"/><Relationship Id="rId24" Type="http://schemas.openxmlformats.org/officeDocument/2006/relationships/hyperlink" Target="https://www.apt.int/sites/default/files/2021/04/APG23-2-INF-34_CITEL_Preparation_for_WRC23_april_2021_revfinal.docx" TargetMode="External"/><Relationship Id="rId32" Type="http://schemas.openxmlformats.org/officeDocument/2006/relationships/hyperlink" Target="https://www.apt.int/sites/default/files/2021/04/APG23-2-INF-36_RCC_Preparation_to_the_World_Radio_Conference_and_Radio_Assembly_2023.docx"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pub/R-REP-BT.2337" TargetMode="External"/><Relationship Id="rId23" Type="http://schemas.openxmlformats.org/officeDocument/2006/relationships/hyperlink" Target="https://www.apt.int/sites/default/files/2021/04/APG23-2-INF-30_GSMA_contribution_APG23-2_final.docx" TargetMode="External"/><Relationship Id="rId28" Type="http://schemas.openxmlformats.org/officeDocument/2006/relationships/hyperlink" Target="https://www.apt.int/sites/default/files/2021/04/APG23-2-INF-25_ASMG.docx" TargetMode="External"/><Relationship Id="rId36" Type="http://schemas.openxmlformats.org/officeDocument/2006/relationships/header" Target="header2.xml"/><Relationship Id="rId10" Type="http://schemas.openxmlformats.org/officeDocument/2006/relationships/hyperlink" Target="https://www.itu.int/md/R19-TG6.1-C-0024/en" TargetMode="External"/><Relationship Id="rId19" Type="http://schemas.openxmlformats.org/officeDocument/2006/relationships/hyperlink" Target="https://www.apt.int/sites/default/files/2021/04/APG23-2-INP-50_VTN_WP1_PV_1.1_1.2_1.3_1.4_1.5.docx" TargetMode="External"/><Relationship Id="rId31" Type="http://schemas.openxmlformats.org/officeDocument/2006/relationships/hyperlink" Target="https://www.apt.int/sites/default/files/2021/04/APG23-2-INF-34_CITEL_Preparation_for_WRC23_april_2021_revfinal.docx" TargetMode="External"/><Relationship Id="rId4" Type="http://schemas.openxmlformats.org/officeDocument/2006/relationships/settings" Target="settings.xml"/><Relationship Id="rId9" Type="http://schemas.openxmlformats.org/officeDocument/2006/relationships/hyperlink" Target="https://www.itu.int/dms_pub/itu-r/md/00/ca/cir/R00-CA-CIR-0251!!MSW-E.docx" TargetMode="External"/><Relationship Id="rId14" Type="http://schemas.openxmlformats.org/officeDocument/2006/relationships/hyperlink" Target="https://www.itu.int/pub/R-REP-BT.2301" TargetMode="External"/><Relationship Id="rId22" Type="http://schemas.openxmlformats.org/officeDocument/2006/relationships/hyperlink" Target="https://www.apt.int/sites/default/files/2021/04/APG23-2-INF-25_ASMG.docx" TargetMode="External"/><Relationship Id="rId27" Type="http://schemas.openxmlformats.org/officeDocument/2006/relationships/hyperlink" Target="https://www.apt.int/sites/default/files/2021/04/APG23-2-INP-50_VTN_WP1_PV_1.1_1.2_1.3_1.4_1.5.docx" TargetMode="External"/><Relationship Id="rId30" Type="http://schemas.openxmlformats.org/officeDocument/2006/relationships/hyperlink" Target="https://www.apt.int/sites/default/files/2021/04/APG23-2-INF-26_State_of_ATU_WRC-23_Preparations.docx"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azimfard@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6B41-C73E-4D12-8A9A-ABD9A1E7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1455</Words>
  <Characters>8297</Characters>
  <Application>Microsoft Office Word</Application>
  <DocSecurity>0</DocSecurity>
  <Lines>69</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2021-04-23T04:33:00Z</dcterms:created>
  <dcterms:modified xsi:type="dcterms:W3CDTF">2021-04-26T05:00:00Z</dcterms:modified>
</cp:coreProperties>
</file>