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2ECCF652" w14:textId="77777777" w:rsidTr="00A40A60">
        <w:trPr>
          <w:cantSplit/>
          <w:trHeight w:val="288"/>
        </w:trPr>
        <w:tc>
          <w:tcPr>
            <w:tcW w:w="1399" w:type="dxa"/>
            <w:vMerge w:val="restart"/>
          </w:tcPr>
          <w:p w14:paraId="75AEA60E" w14:textId="78A9E7A1" w:rsidR="00C516C7" w:rsidRPr="00891D0B" w:rsidRDefault="00C516C7" w:rsidP="00A40A6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rPr>
              <w:drawing>
                <wp:inline distT="0" distB="0" distL="0" distR="0" wp14:anchorId="7B1F8029" wp14:editId="02849FA2">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825566E" w14:textId="77777777" w:rsidR="00C516C7" w:rsidRPr="00E86131" w:rsidRDefault="00C516C7" w:rsidP="00A40A60">
            <w:r w:rsidRPr="00E86131">
              <w:t>ASIA-PACIFIC TELECOMMUNITY</w:t>
            </w:r>
          </w:p>
        </w:tc>
        <w:tc>
          <w:tcPr>
            <w:tcW w:w="2160" w:type="dxa"/>
          </w:tcPr>
          <w:p w14:paraId="5B7190CD" w14:textId="77777777" w:rsidR="00C516C7" w:rsidRPr="00723BE9" w:rsidRDefault="00C516C7" w:rsidP="00A40A60">
            <w:pPr>
              <w:rPr>
                <w:b/>
                <w:sz w:val="22"/>
                <w:szCs w:val="22"/>
              </w:rPr>
            </w:pPr>
            <w:r w:rsidRPr="00723BE9">
              <w:rPr>
                <w:b/>
              </w:rPr>
              <w:t>Document No:</w:t>
            </w:r>
          </w:p>
        </w:tc>
      </w:tr>
      <w:tr w:rsidR="00C516C7" w:rsidRPr="00C15799" w14:paraId="67EA8B4C" w14:textId="77777777" w:rsidTr="00A40A60">
        <w:trPr>
          <w:cantSplit/>
          <w:trHeight w:val="504"/>
        </w:trPr>
        <w:tc>
          <w:tcPr>
            <w:tcW w:w="1399" w:type="dxa"/>
            <w:vMerge/>
          </w:tcPr>
          <w:p w14:paraId="08126635" w14:textId="77777777" w:rsidR="00C516C7" w:rsidRPr="00891D0B" w:rsidRDefault="00C516C7" w:rsidP="00A40A60"/>
        </w:tc>
        <w:tc>
          <w:tcPr>
            <w:tcW w:w="5760" w:type="dxa"/>
          </w:tcPr>
          <w:p w14:paraId="44E7BE7E" w14:textId="77777777" w:rsidR="00C516C7" w:rsidRDefault="00C516C7" w:rsidP="00A40A60">
            <w:pPr>
              <w:spacing w:line="0" w:lineRule="atLeast"/>
              <w:rPr>
                <w:b/>
              </w:rPr>
            </w:pPr>
            <w:r>
              <w:rPr>
                <w:b/>
              </w:rPr>
              <w:t xml:space="preserve">The </w:t>
            </w:r>
            <w:r w:rsidR="007F0AE6">
              <w:rPr>
                <w:b/>
              </w:rPr>
              <w:t>2nd</w:t>
            </w:r>
            <w:r>
              <w:rPr>
                <w:b/>
              </w:rPr>
              <w:t xml:space="preserve"> Meeting of the APT Conference Preparatory</w:t>
            </w:r>
          </w:p>
          <w:p w14:paraId="0983CD4E" w14:textId="77777777" w:rsidR="00C516C7" w:rsidRPr="00891D0B" w:rsidRDefault="00C516C7" w:rsidP="00A40A60">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4C440116" w14:textId="2C68D7A9" w:rsidR="00C516C7" w:rsidRDefault="00C516C7" w:rsidP="00881502">
            <w:pPr>
              <w:rPr>
                <w:b/>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881502">
              <w:rPr>
                <w:b/>
                <w:bCs/>
                <w:lang w:val="fr-FR"/>
              </w:rPr>
              <w:t>OUT-10</w:t>
            </w:r>
          </w:p>
        </w:tc>
      </w:tr>
      <w:tr w:rsidR="00C516C7" w:rsidRPr="00891D0B" w14:paraId="7B8BE24A" w14:textId="77777777" w:rsidTr="00A40A60">
        <w:trPr>
          <w:cantSplit/>
          <w:trHeight w:val="288"/>
        </w:trPr>
        <w:tc>
          <w:tcPr>
            <w:tcW w:w="1399" w:type="dxa"/>
            <w:vMerge/>
          </w:tcPr>
          <w:p w14:paraId="2BEEC870" w14:textId="77777777" w:rsidR="00C516C7" w:rsidRPr="007E1FDD" w:rsidRDefault="00C516C7" w:rsidP="00A40A60">
            <w:pPr>
              <w:rPr>
                <w:lang w:val="en-GB"/>
              </w:rPr>
            </w:pPr>
          </w:p>
        </w:tc>
        <w:tc>
          <w:tcPr>
            <w:tcW w:w="5760" w:type="dxa"/>
            <w:vAlign w:val="bottom"/>
          </w:tcPr>
          <w:p w14:paraId="028C44C3" w14:textId="77777777" w:rsidR="00C516C7" w:rsidRPr="007F0AE6" w:rsidRDefault="007F0AE6" w:rsidP="00A40A60">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5A3698AC" w14:textId="00853EF3" w:rsidR="00C516C7" w:rsidRDefault="007F0AE6" w:rsidP="00A40A60">
            <w:r>
              <w:rPr>
                <w:bCs/>
              </w:rPr>
              <w:t>2</w:t>
            </w:r>
            <w:r w:rsidR="0074164F">
              <w:rPr>
                <w:bCs/>
              </w:rPr>
              <w:t>3</w:t>
            </w:r>
            <w:r w:rsidR="00C516C7" w:rsidRPr="007E1FDD">
              <w:rPr>
                <w:bCs/>
              </w:rPr>
              <w:t xml:space="preserve"> </w:t>
            </w:r>
            <w:r>
              <w:rPr>
                <w:bCs/>
              </w:rPr>
              <w:t xml:space="preserve">April </w:t>
            </w:r>
            <w:r w:rsidR="00C516C7" w:rsidRPr="007E1FDD">
              <w:rPr>
                <w:bCs/>
              </w:rPr>
              <w:t>20</w:t>
            </w:r>
            <w:r>
              <w:rPr>
                <w:bCs/>
              </w:rPr>
              <w:t>21</w:t>
            </w:r>
          </w:p>
        </w:tc>
      </w:tr>
    </w:tbl>
    <w:p w14:paraId="40751FA1" w14:textId="77777777" w:rsidR="00311E8A" w:rsidRDefault="00311E8A" w:rsidP="0072518B">
      <w:pPr>
        <w:jc w:val="center"/>
        <w:rPr>
          <w:lang w:val="en-NZ"/>
        </w:rPr>
      </w:pPr>
    </w:p>
    <w:p w14:paraId="684B28F2" w14:textId="69ABA472" w:rsidR="00B64A60" w:rsidRPr="002A0111" w:rsidRDefault="00881502" w:rsidP="00B64A60">
      <w:pPr>
        <w:jc w:val="center"/>
        <w:rPr>
          <w:lang w:val="en-NZ" w:eastAsia="ko-KR"/>
        </w:rPr>
      </w:pPr>
      <w:r>
        <w:rPr>
          <w:lang w:val="en-NZ" w:eastAsia="ko-KR"/>
        </w:rPr>
        <w:t>Working Party 1</w:t>
      </w:r>
    </w:p>
    <w:p w14:paraId="266EB45E" w14:textId="77777777" w:rsidR="00B64A60" w:rsidRPr="002A0111" w:rsidRDefault="00B64A60" w:rsidP="00B64A60">
      <w:pPr>
        <w:jc w:val="center"/>
        <w:rPr>
          <w:bCs/>
          <w:caps/>
          <w:lang w:val="en-NZ"/>
        </w:rPr>
      </w:pPr>
    </w:p>
    <w:p w14:paraId="000A3592" w14:textId="78D0AB56" w:rsidR="00B64A60" w:rsidRPr="00441526" w:rsidRDefault="00B64A60" w:rsidP="00B64A60">
      <w:pPr>
        <w:jc w:val="center"/>
        <w:rPr>
          <w:b/>
          <w:bCs/>
          <w:caps/>
          <w:lang w:val="en-NZ" w:eastAsia="ko-KR"/>
        </w:rPr>
      </w:pPr>
      <w:r w:rsidRPr="00441526">
        <w:rPr>
          <w:b/>
          <w:bCs/>
          <w:caps/>
          <w:lang w:val="en-NZ"/>
        </w:rPr>
        <w:t>PRELIMINARY VIEWs on WRC-</w:t>
      </w:r>
      <w:r w:rsidR="007F0AE6">
        <w:rPr>
          <w:b/>
          <w:bCs/>
          <w:caps/>
          <w:lang w:val="en-NZ"/>
        </w:rPr>
        <w:t>23</w:t>
      </w:r>
      <w:r w:rsidRPr="00441526">
        <w:rPr>
          <w:b/>
          <w:bCs/>
          <w:caps/>
          <w:lang w:val="en-NZ"/>
        </w:rPr>
        <w:t xml:space="preserve"> agenda item </w:t>
      </w:r>
      <w:r w:rsidR="0056169D">
        <w:rPr>
          <w:rFonts w:hint="eastAsia"/>
          <w:b/>
          <w:bCs/>
          <w:caps/>
          <w:lang w:val="en-NZ" w:eastAsia="ko-KR"/>
        </w:rPr>
        <w:t>9.1 Topic c)</w:t>
      </w:r>
    </w:p>
    <w:p w14:paraId="22B5D717" w14:textId="77777777" w:rsidR="00B64A60" w:rsidRPr="00441526" w:rsidRDefault="00B64A60" w:rsidP="00264566">
      <w:pPr>
        <w:spacing w:after="120"/>
        <w:rPr>
          <w:lang w:val="en-NZ"/>
        </w:rPr>
      </w:pPr>
    </w:p>
    <w:p w14:paraId="350957E9" w14:textId="08FDB228" w:rsidR="0056169D" w:rsidRPr="00441526" w:rsidRDefault="0056169D" w:rsidP="0056169D">
      <w:pPr>
        <w:overflowPunct w:val="0"/>
        <w:spacing w:after="120"/>
        <w:jc w:val="both"/>
        <w:rPr>
          <w:lang w:val="en-NZ" w:eastAsia="ko-KR"/>
        </w:rPr>
      </w:pPr>
      <w:r>
        <w:rPr>
          <w:b/>
          <w:lang w:val="en-NZ"/>
        </w:rPr>
        <w:t xml:space="preserve">Agenda Item </w:t>
      </w:r>
      <w:r>
        <w:rPr>
          <w:rFonts w:hint="eastAsia"/>
          <w:b/>
          <w:lang w:val="en-NZ" w:eastAsia="ko-KR"/>
        </w:rPr>
        <w:t>9.1</w:t>
      </w:r>
      <w:r w:rsidR="00FA4B3F">
        <w:rPr>
          <w:rFonts w:hint="eastAsia"/>
          <w:b/>
          <w:lang w:val="en-NZ" w:eastAsia="ko-KR"/>
        </w:rPr>
        <w:t xml:space="preserve"> topic</w:t>
      </w:r>
      <w:r w:rsidR="00157307">
        <w:rPr>
          <w:b/>
          <w:lang w:val="en-NZ" w:eastAsia="ko-KR"/>
        </w:rPr>
        <w:t xml:space="preserve"> </w:t>
      </w:r>
      <w:r w:rsidR="007805DF">
        <w:rPr>
          <w:b/>
          <w:lang w:val="en-NZ" w:eastAsia="ko-KR"/>
        </w:rPr>
        <w:t>c</w:t>
      </w:r>
      <w:r w:rsidR="00FA4B3F">
        <w:rPr>
          <w:rFonts w:hint="eastAsia"/>
          <w:b/>
          <w:lang w:val="en-NZ" w:eastAsia="ko-KR"/>
        </w:rPr>
        <w:t>)</w:t>
      </w:r>
      <w:r w:rsidRPr="00441526">
        <w:rPr>
          <w:b/>
          <w:lang w:val="en-NZ"/>
        </w:rPr>
        <w:t xml:space="preserve">: </w:t>
      </w:r>
    </w:p>
    <w:p w14:paraId="427E62DB" w14:textId="77777777" w:rsidR="0056169D" w:rsidRPr="00441526" w:rsidRDefault="0056169D" w:rsidP="0056169D">
      <w:pPr>
        <w:overflowPunct w:val="0"/>
        <w:spacing w:after="120"/>
        <w:jc w:val="both"/>
        <w:rPr>
          <w:i/>
          <w:lang w:val="en-NZ"/>
        </w:rPr>
      </w:pPr>
      <w:r w:rsidRPr="004B2CCC">
        <w:rPr>
          <w:rFonts w:hint="eastAsia"/>
          <w:i/>
          <w:lang w:val="en-NZ"/>
        </w:rPr>
        <w:t xml:space="preserve">to study the use of International Mobile Telecommunication system for fixed wireless broadband in the frequency bands allocated to the fixed services on primary basis, in accordance with Resolution </w:t>
      </w:r>
      <w:r w:rsidRPr="004B2CCC">
        <w:rPr>
          <w:rFonts w:hint="eastAsia"/>
          <w:b/>
          <w:i/>
          <w:lang w:val="en-NZ"/>
        </w:rPr>
        <w:t>175 (WRC-19)</w:t>
      </w:r>
      <w:r w:rsidRPr="004B2CCC">
        <w:rPr>
          <w:rFonts w:hint="eastAsia"/>
          <w:i/>
          <w:lang w:val="en-NZ"/>
        </w:rPr>
        <w:t>;</w:t>
      </w:r>
    </w:p>
    <w:p w14:paraId="05A343E7" w14:textId="77777777" w:rsidR="002A0111" w:rsidRPr="0056169D" w:rsidRDefault="002A0111" w:rsidP="002A0111">
      <w:pPr>
        <w:jc w:val="both"/>
        <w:rPr>
          <w:lang w:val="en-NZ"/>
        </w:rPr>
      </w:pPr>
    </w:p>
    <w:p w14:paraId="6370AE50"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39B1028A" w14:textId="77777777" w:rsidR="0069622C" w:rsidRPr="0069622C" w:rsidRDefault="0069622C" w:rsidP="0069622C">
      <w:pPr>
        <w:spacing w:afterLines="60" w:after="144"/>
        <w:jc w:val="both"/>
      </w:pPr>
      <w:r>
        <w:t xml:space="preserve">Resolution </w:t>
      </w:r>
      <w:r w:rsidRPr="0069622C">
        <w:rPr>
          <w:b/>
        </w:rPr>
        <w:t>175 (WRC-19)</w:t>
      </w:r>
      <w:r>
        <w:t xml:space="preserve"> </w:t>
      </w:r>
      <w:r w:rsidRPr="0069622C">
        <w:rPr>
          <w:i/>
          <w:iCs/>
        </w:rPr>
        <w:t xml:space="preserve">resolves to invite the ITU Radiocommunication Sector </w:t>
      </w:r>
      <w:r>
        <w:t>“</w:t>
      </w:r>
      <w:r w:rsidRPr="0069622C">
        <w:t>to conduct any necessary studies on the use of IMT systems for fixed wireless broadband in the frequency bands allocated to the fixed service on primary basis, taking into account the relevant ITU-R studies, Handboo</w:t>
      </w:r>
      <w:r>
        <w:t>ks, Recommendations and Reports”.</w:t>
      </w:r>
    </w:p>
    <w:p w14:paraId="56BB2D97" w14:textId="6A188B6B" w:rsidR="0056169D" w:rsidRDefault="0069622C" w:rsidP="0056169D">
      <w:pPr>
        <w:spacing w:afterLines="60" w:after="144"/>
        <w:jc w:val="both"/>
      </w:pPr>
      <w:r>
        <w:rPr>
          <w:rFonts w:eastAsia="MS Mincho"/>
          <w:lang w:eastAsia="ja-JP"/>
        </w:rPr>
        <w:t xml:space="preserve">In accordance with the results of </w:t>
      </w:r>
      <w:r>
        <w:rPr>
          <w:rFonts w:eastAsia="MS Mincho" w:hint="eastAsia"/>
          <w:lang w:eastAsia="ja-JP"/>
        </w:rPr>
        <w:t>C</w:t>
      </w:r>
      <w:r>
        <w:rPr>
          <w:rFonts w:eastAsia="MS Mincho"/>
          <w:lang w:eastAsia="ja-JP"/>
        </w:rPr>
        <w:t xml:space="preserve">PM23-1, the above studies </w:t>
      </w:r>
      <w:r w:rsidR="00D76B7A">
        <w:rPr>
          <w:rFonts w:eastAsia="MS Mincho"/>
          <w:lang w:eastAsia="ja-JP"/>
        </w:rPr>
        <w:t xml:space="preserve">are </w:t>
      </w:r>
      <w:r w:rsidR="00DA205B">
        <w:rPr>
          <w:rFonts w:eastAsia="MS Mincho"/>
          <w:lang w:eastAsia="ja-JP"/>
        </w:rPr>
        <w:t xml:space="preserve">being </w:t>
      </w:r>
      <w:r w:rsidR="00D76B7A">
        <w:rPr>
          <w:rFonts w:eastAsia="MS Mincho"/>
          <w:lang w:eastAsia="ja-JP"/>
        </w:rPr>
        <w:t xml:space="preserve">conducted by ITU-R Working Parties 5A (WP 5A) and 5C (WP 5C) jointly. </w:t>
      </w:r>
      <w:r w:rsidR="00D76B7A">
        <w:t xml:space="preserve">WP </w:t>
      </w:r>
      <w:r w:rsidR="0056169D" w:rsidRPr="006B0E3F">
        <w:t>5A is responsible for the fixed wireless access applications in the fixed service and WP 5C is responsible for all the other applications of fixed wireless systems, according to the assignment of work by S</w:t>
      </w:r>
      <w:r w:rsidR="0056169D">
        <w:t xml:space="preserve">tudy </w:t>
      </w:r>
      <w:r w:rsidR="0056169D" w:rsidRPr="006B0E3F">
        <w:t>G</w:t>
      </w:r>
      <w:r w:rsidR="0056169D">
        <w:t>roup</w:t>
      </w:r>
      <w:r w:rsidR="0056169D" w:rsidRPr="006B0E3F">
        <w:t xml:space="preserve"> 5 to its working parties.</w:t>
      </w:r>
    </w:p>
    <w:p w14:paraId="65D0E24E" w14:textId="77777777" w:rsidR="002A0111" w:rsidRPr="00441526" w:rsidRDefault="002A0111" w:rsidP="002A0111">
      <w:pPr>
        <w:jc w:val="both"/>
        <w:rPr>
          <w:lang w:val="en-NZ"/>
        </w:rPr>
      </w:pPr>
    </w:p>
    <w:p w14:paraId="1986AC1F"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5E85D64F" w14:textId="079E88C4" w:rsidR="0096448A" w:rsidRDefault="0056169D" w:rsidP="0096448A">
      <w:pPr>
        <w:numPr>
          <w:ilvl w:val="0"/>
          <w:numId w:val="18"/>
        </w:numPr>
        <w:spacing w:after="120"/>
        <w:ind w:leftChars="145" w:left="708"/>
        <w:jc w:val="both"/>
      </w:pPr>
      <w:r w:rsidRPr="008623D8">
        <w:rPr>
          <w:lang w:val="en-NZ"/>
        </w:rPr>
        <w:t xml:space="preserve">Input Documents </w:t>
      </w:r>
      <w:r>
        <w:t>APG</w:t>
      </w:r>
      <w:r>
        <w:rPr>
          <w:rFonts w:hint="eastAsia"/>
          <w:lang w:eastAsia="ko-KR"/>
        </w:rPr>
        <w:t>23</w:t>
      </w:r>
      <w:r>
        <w:t>-</w:t>
      </w:r>
      <w:r>
        <w:rPr>
          <w:rFonts w:hint="eastAsia"/>
          <w:lang w:eastAsia="ko-KR"/>
        </w:rPr>
        <w:t>2</w:t>
      </w:r>
      <w:r w:rsidRPr="00F96707">
        <w:t>/</w:t>
      </w:r>
      <w:hyperlink r:id="rId9" w:history="1">
        <w:r w:rsidRPr="00E57FE3">
          <w:rPr>
            <w:rStyle w:val="Hyperlink"/>
          </w:rPr>
          <w:t>INP-</w:t>
        </w:r>
        <w:r w:rsidRPr="00E57FE3">
          <w:rPr>
            <w:rStyle w:val="Hyperlink"/>
            <w:rFonts w:hint="eastAsia"/>
            <w:lang w:eastAsia="ko-KR"/>
          </w:rPr>
          <w:t>18</w:t>
        </w:r>
        <w:r w:rsidRPr="00E57FE3">
          <w:rPr>
            <w:rStyle w:val="Hyperlink"/>
          </w:rPr>
          <w:t xml:space="preserve"> (</w:t>
        </w:r>
        <w:r w:rsidRPr="00E57FE3">
          <w:rPr>
            <w:rStyle w:val="Hyperlink"/>
            <w:rFonts w:hint="eastAsia"/>
            <w:lang w:eastAsia="ko-KR"/>
          </w:rPr>
          <w:t>THA</w:t>
        </w:r>
        <w:r w:rsidRPr="00E57FE3">
          <w:rPr>
            <w:rStyle w:val="Hyperlink"/>
          </w:rPr>
          <w:t>),</w:t>
        </w:r>
      </w:hyperlink>
      <w:r>
        <w:t xml:space="preserve"> </w:t>
      </w:r>
      <w:hyperlink r:id="rId10" w:history="1">
        <w:r w:rsidRPr="00083351">
          <w:rPr>
            <w:rStyle w:val="Hyperlink"/>
          </w:rPr>
          <w:t>INP-</w:t>
        </w:r>
        <w:r w:rsidRPr="00083351">
          <w:rPr>
            <w:rStyle w:val="Hyperlink"/>
            <w:rFonts w:hint="eastAsia"/>
            <w:lang w:eastAsia="ko-KR"/>
          </w:rPr>
          <w:t>24</w:t>
        </w:r>
        <w:r w:rsidRPr="00083351">
          <w:rPr>
            <w:rStyle w:val="Hyperlink"/>
          </w:rPr>
          <w:t xml:space="preserve"> (</w:t>
        </w:r>
        <w:r w:rsidRPr="00083351">
          <w:rPr>
            <w:rStyle w:val="Hyperlink"/>
            <w:rFonts w:hint="eastAsia"/>
            <w:lang w:eastAsia="ko-KR"/>
          </w:rPr>
          <w:t>AUS</w:t>
        </w:r>
        <w:r w:rsidRPr="00083351">
          <w:rPr>
            <w:rStyle w:val="Hyperlink"/>
          </w:rPr>
          <w:t>)</w:t>
        </w:r>
      </w:hyperlink>
      <w:r>
        <w:t>,</w:t>
      </w:r>
      <w:r w:rsidRPr="00B0429C">
        <w:t xml:space="preserve"> </w:t>
      </w:r>
      <w:hyperlink r:id="rId11" w:history="1">
        <w:r w:rsidRPr="00083351">
          <w:rPr>
            <w:rStyle w:val="Hyperlink"/>
          </w:rPr>
          <w:t>INP-</w:t>
        </w:r>
        <w:r w:rsidRPr="00083351">
          <w:rPr>
            <w:rStyle w:val="Hyperlink"/>
            <w:rFonts w:hint="eastAsia"/>
            <w:lang w:eastAsia="ko-KR"/>
          </w:rPr>
          <w:t>30</w:t>
        </w:r>
        <w:r w:rsidRPr="00083351">
          <w:rPr>
            <w:rStyle w:val="Hyperlink"/>
          </w:rPr>
          <w:t xml:space="preserve"> (</w:t>
        </w:r>
        <w:r w:rsidRPr="00083351">
          <w:rPr>
            <w:rStyle w:val="Hyperlink"/>
            <w:rFonts w:hint="eastAsia"/>
            <w:lang w:eastAsia="ko-KR"/>
          </w:rPr>
          <w:t>KOR</w:t>
        </w:r>
        <w:r w:rsidRPr="00083351">
          <w:rPr>
            <w:rStyle w:val="Hyperlink"/>
          </w:rPr>
          <w:t>)</w:t>
        </w:r>
      </w:hyperlink>
      <w:r>
        <w:t>,</w:t>
      </w:r>
      <w:r w:rsidRPr="00B0429C">
        <w:t xml:space="preserve"> </w:t>
      </w:r>
      <w:hyperlink r:id="rId12" w:history="1">
        <w:r w:rsidRPr="00083351">
          <w:rPr>
            <w:rStyle w:val="Hyperlink"/>
          </w:rPr>
          <w:t>INP-</w:t>
        </w:r>
        <w:r w:rsidRPr="00083351">
          <w:rPr>
            <w:rStyle w:val="Hyperlink"/>
            <w:rFonts w:hint="eastAsia"/>
            <w:lang w:eastAsia="ko-KR"/>
          </w:rPr>
          <w:t>38</w:t>
        </w:r>
        <w:r w:rsidRPr="00083351">
          <w:rPr>
            <w:rStyle w:val="Hyperlink"/>
          </w:rPr>
          <w:t xml:space="preserve"> (</w:t>
        </w:r>
        <w:r w:rsidRPr="00083351">
          <w:rPr>
            <w:rStyle w:val="Hyperlink"/>
            <w:rFonts w:hint="eastAsia"/>
            <w:lang w:eastAsia="ko-KR"/>
          </w:rPr>
          <w:t>SGP, NZL</w:t>
        </w:r>
        <w:r w:rsidRPr="00083351">
          <w:rPr>
            <w:rStyle w:val="Hyperlink"/>
          </w:rPr>
          <w:t>)</w:t>
        </w:r>
      </w:hyperlink>
    </w:p>
    <w:p w14:paraId="4F7B859E" w14:textId="2F88879A" w:rsidR="0056169D" w:rsidRPr="00FB1BF4" w:rsidRDefault="0056169D" w:rsidP="00FB1BF4">
      <w:pPr>
        <w:numPr>
          <w:ilvl w:val="0"/>
          <w:numId w:val="23"/>
        </w:numPr>
        <w:spacing w:after="120"/>
        <w:ind w:leftChars="145" w:left="748"/>
        <w:jc w:val="both"/>
        <w:rPr>
          <w:b/>
          <w:lang w:val="en-NZ" w:eastAsia="ko-KR"/>
        </w:rPr>
      </w:pPr>
      <w:r w:rsidRPr="0096448A">
        <w:rPr>
          <w:lang w:val="en-NZ"/>
        </w:rPr>
        <w:t xml:space="preserve">Information </w:t>
      </w:r>
      <w:r w:rsidRPr="00FB1BF4">
        <w:rPr>
          <w:lang w:val="en-NZ"/>
        </w:rPr>
        <w:t xml:space="preserve">Documents </w:t>
      </w:r>
      <w:r w:rsidRPr="00FB1BF4">
        <w:t>APG</w:t>
      </w:r>
      <w:r w:rsidRPr="00FB1BF4">
        <w:rPr>
          <w:rFonts w:hint="eastAsia"/>
          <w:lang w:eastAsia="ko-KR"/>
        </w:rPr>
        <w:t>23</w:t>
      </w:r>
      <w:r w:rsidRPr="00FB1BF4">
        <w:t>-</w:t>
      </w:r>
      <w:r w:rsidRPr="00FB1BF4">
        <w:rPr>
          <w:rFonts w:hint="eastAsia"/>
          <w:lang w:eastAsia="ko-KR"/>
        </w:rPr>
        <w:t>2</w:t>
      </w:r>
      <w:r w:rsidRPr="0010103E">
        <w:t>/</w:t>
      </w:r>
      <w:hyperlink r:id="rId13" w:history="1">
        <w:r w:rsidRPr="0096448A">
          <w:rPr>
            <w:rStyle w:val="Hyperlink"/>
            <w:lang w:val="vi-VN"/>
          </w:rPr>
          <w:t>INF-0</w:t>
        </w:r>
        <w:r w:rsidRPr="0096448A">
          <w:rPr>
            <w:rStyle w:val="Hyperlink"/>
            <w:rFonts w:hint="eastAsia"/>
            <w:lang w:val="vi-VN" w:eastAsia="ko-KR"/>
          </w:rPr>
          <w:t>7</w:t>
        </w:r>
        <w:r w:rsidRPr="0096448A">
          <w:rPr>
            <w:rStyle w:val="Hyperlink"/>
            <w:lang w:val="vi-VN"/>
          </w:rPr>
          <w:t xml:space="preserve"> (</w:t>
        </w:r>
        <w:r w:rsidR="00624DCF" w:rsidRPr="0096448A">
          <w:rPr>
            <w:rStyle w:val="Hyperlink"/>
            <w:rFonts w:hint="eastAsia"/>
            <w:lang w:val="vi-VN"/>
          </w:rPr>
          <w:t>DG</w:t>
        </w:r>
        <w:r w:rsidR="00624DCF" w:rsidRPr="0096448A">
          <w:rPr>
            <w:rStyle w:val="Hyperlink"/>
            <w:rFonts w:hint="eastAsia"/>
            <w:lang w:val="vi-VN" w:eastAsia="ko-KR"/>
          </w:rPr>
          <w:t>,</w:t>
        </w:r>
        <w:r w:rsidR="00624DCF" w:rsidRPr="0096448A">
          <w:rPr>
            <w:rStyle w:val="Hyperlink"/>
            <w:rFonts w:hint="eastAsia"/>
            <w:lang w:val="vi-VN"/>
          </w:rPr>
          <w:t xml:space="preserve"> </w:t>
        </w:r>
        <w:r w:rsidRPr="0096448A">
          <w:rPr>
            <w:rStyle w:val="Hyperlink"/>
            <w:rFonts w:hint="eastAsia"/>
            <w:lang w:val="vi-VN" w:eastAsia="ko-KR"/>
          </w:rPr>
          <w:t>Chair)</w:t>
        </w:r>
      </w:hyperlink>
      <w:r w:rsidR="00624DCF" w:rsidRPr="00624DCF">
        <w:rPr>
          <w:rFonts w:hint="eastAsia"/>
        </w:rPr>
        <w:t>,</w:t>
      </w:r>
      <w:r w:rsidR="00624DCF">
        <w:rPr>
          <w:rFonts w:hint="eastAsia"/>
          <w:lang w:eastAsia="ko-KR"/>
        </w:rPr>
        <w:t xml:space="preserve"> </w:t>
      </w:r>
      <w:hyperlink r:id="rId14" w:history="1">
        <w:r w:rsidR="00624DCF" w:rsidRPr="00624DCF">
          <w:rPr>
            <w:rStyle w:val="Hyperlink"/>
            <w:rFonts w:hint="eastAsia"/>
            <w:lang w:eastAsia="ko-KR"/>
          </w:rPr>
          <w:t>INF-25 (ASMG)</w:t>
        </w:r>
      </w:hyperlink>
      <w:r w:rsidR="00914395">
        <w:rPr>
          <w:rStyle w:val="Hyperlink"/>
          <w:rFonts w:hint="eastAsia"/>
          <w:lang w:eastAsia="ko-KR"/>
        </w:rPr>
        <w:t xml:space="preserve">, </w:t>
      </w:r>
      <w:hyperlink r:id="rId15" w:history="1">
        <w:r w:rsidR="00914395" w:rsidRPr="00EA048C">
          <w:rPr>
            <w:rStyle w:val="Hyperlink"/>
            <w:rFonts w:hint="eastAsia"/>
          </w:rPr>
          <w:t>INF-35(CEPT)</w:t>
        </w:r>
      </w:hyperlink>
      <w:r w:rsidR="00914395">
        <w:rPr>
          <w:rFonts w:hint="eastAsia"/>
          <w:lang w:eastAsia="ko-KR"/>
        </w:rPr>
        <w:t xml:space="preserve">, </w:t>
      </w:r>
      <w:hyperlink r:id="rId16" w:history="1">
        <w:r w:rsidR="00914395" w:rsidRPr="00EA048C">
          <w:rPr>
            <w:rStyle w:val="Hyperlink"/>
            <w:rFonts w:hint="eastAsia"/>
            <w:lang w:eastAsia="ko-KR"/>
          </w:rPr>
          <w:t>INF-36(RCC)</w:t>
        </w:r>
      </w:hyperlink>
      <w:r w:rsidR="00624DCF" w:rsidRPr="00914395">
        <w:rPr>
          <w:rStyle w:val="Hyperlink"/>
          <w:rFonts w:hint="eastAsia"/>
          <w:lang w:val="vi-VN" w:eastAsia="ko-KR"/>
        </w:rPr>
        <w:t xml:space="preserve"> </w:t>
      </w:r>
    </w:p>
    <w:p w14:paraId="50C1CDF9" w14:textId="77777777" w:rsidR="002A0111" w:rsidRPr="0056169D" w:rsidRDefault="002A0111" w:rsidP="003D3D47">
      <w:pPr>
        <w:jc w:val="both"/>
        <w:rPr>
          <w:b/>
          <w:lang w:val="en-NZ" w:eastAsia="ko-KR"/>
        </w:rPr>
      </w:pPr>
    </w:p>
    <w:p w14:paraId="36079F8D"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5D80B2BF"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D563104" w14:textId="77777777" w:rsidR="0056169D" w:rsidRDefault="0056169D" w:rsidP="0056169D">
      <w:pPr>
        <w:spacing w:after="120"/>
        <w:jc w:val="both"/>
        <w:rPr>
          <w:lang w:eastAsia="ko-KR"/>
        </w:rPr>
      </w:pPr>
      <w:r w:rsidRPr="0004299B">
        <w:rPr>
          <w:b/>
          <w:lang w:val="en-NZ" w:eastAsia="ko-KR"/>
        </w:rPr>
        <w:t xml:space="preserve">3.1.1 </w:t>
      </w:r>
      <w:r w:rsidRPr="0004299B">
        <w:rPr>
          <w:b/>
          <w:lang w:val="en-NZ" w:eastAsia="ko-KR"/>
        </w:rPr>
        <w:tab/>
      </w:r>
      <w:r>
        <w:rPr>
          <w:rFonts w:hint="eastAsia"/>
          <w:b/>
          <w:lang w:val="en-NZ" w:eastAsia="ko-KR"/>
        </w:rPr>
        <w:t xml:space="preserve">Thailand - </w:t>
      </w:r>
      <w:r w:rsidRPr="0004299B">
        <w:rPr>
          <w:b/>
          <w:lang w:val="en-NZ" w:eastAsia="ko-KR"/>
        </w:rPr>
        <w:t xml:space="preserve">Document </w:t>
      </w:r>
      <w:r>
        <w:rPr>
          <w:b/>
        </w:rPr>
        <w:t>APG</w:t>
      </w:r>
      <w:r>
        <w:rPr>
          <w:rFonts w:hint="eastAsia"/>
          <w:b/>
          <w:lang w:eastAsia="ko-KR"/>
        </w:rPr>
        <w:t>23</w:t>
      </w:r>
      <w:r>
        <w:rPr>
          <w:b/>
        </w:rPr>
        <w:t>-</w:t>
      </w:r>
      <w:r>
        <w:rPr>
          <w:rFonts w:hint="eastAsia"/>
          <w:b/>
          <w:lang w:eastAsia="ko-KR"/>
        </w:rPr>
        <w:t>2</w:t>
      </w:r>
      <w:r w:rsidRPr="0004299B">
        <w:rPr>
          <w:b/>
        </w:rPr>
        <w:t>/INP-</w:t>
      </w:r>
      <w:r>
        <w:rPr>
          <w:rFonts w:hint="eastAsia"/>
          <w:b/>
          <w:lang w:eastAsia="ko-KR"/>
        </w:rPr>
        <w:t>18</w:t>
      </w:r>
    </w:p>
    <w:p w14:paraId="5EA321F2" w14:textId="77777777" w:rsidR="0056169D" w:rsidRDefault="0056169D" w:rsidP="0056169D">
      <w:pPr>
        <w:jc w:val="both"/>
      </w:pPr>
      <w:r w:rsidRPr="00A82C40">
        <w:t xml:space="preserve">Thailand supports studies currently carried </w:t>
      </w:r>
      <w:r>
        <w:t xml:space="preserve">out </w:t>
      </w:r>
      <w:r w:rsidRPr="00A82C40">
        <w:t xml:space="preserve">by ITU-R on a guidance towards the implementation of technical and operational measures for using </w:t>
      </w:r>
      <w:r w:rsidRPr="00A82C40">
        <w:rPr>
          <w:iCs/>
        </w:rPr>
        <w:t>IMT systems for fixed wireless broadband in the frequency bands allocated to the fixed service on primary basis</w:t>
      </w:r>
      <w:r>
        <w:t xml:space="preserve">. The studies shall take into account the coexistence between the IMT and existing systems in the bands </w:t>
      </w:r>
      <w:r w:rsidRPr="007459D6">
        <w:t>currently allocated</w:t>
      </w:r>
      <w:r>
        <w:t xml:space="preserve"> for fixed service.</w:t>
      </w:r>
    </w:p>
    <w:p w14:paraId="335A234C" w14:textId="77777777" w:rsidR="002A0111" w:rsidRPr="00441526" w:rsidRDefault="002A0111" w:rsidP="003D3D47">
      <w:pPr>
        <w:jc w:val="both"/>
        <w:rPr>
          <w:lang w:val="en-NZ"/>
        </w:rPr>
      </w:pPr>
    </w:p>
    <w:p w14:paraId="2408E10B" w14:textId="77777777" w:rsidR="0056169D" w:rsidRPr="0004299B" w:rsidRDefault="0056169D" w:rsidP="0056169D">
      <w:pPr>
        <w:spacing w:after="120"/>
        <w:jc w:val="both"/>
        <w:rPr>
          <w:b/>
          <w:lang w:eastAsia="ko-KR"/>
        </w:rPr>
      </w:pPr>
      <w:r w:rsidRPr="0004299B">
        <w:rPr>
          <w:b/>
          <w:lang w:val="en-NZ" w:eastAsia="ko-KR"/>
        </w:rPr>
        <w:t>3.1.</w:t>
      </w:r>
      <w:r>
        <w:rPr>
          <w:rFonts w:hint="eastAsia"/>
          <w:b/>
          <w:lang w:val="en-NZ" w:eastAsia="ko-KR"/>
        </w:rPr>
        <w:t>2</w:t>
      </w:r>
      <w:r w:rsidRPr="0004299B">
        <w:rPr>
          <w:b/>
          <w:lang w:val="en-NZ" w:eastAsia="ko-KR"/>
        </w:rPr>
        <w:t xml:space="preserve"> </w:t>
      </w:r>
      <w:r w:rsidRPr="0004299B">
        <w:rPr>
          <w:b/>
          <w:lang w:val="en-NZ" w:eastAsia="ko-KR"/>
        </w:rPr>
        <w:tab/>
      </w:r>
      <w:r>
        <w:rPr>
          <w:rFonts w:hint="eastAsia"/>
          <w:b/>
          <w:lang w:val="en-NZ" w:eastAsia="ko-KR"/>
        </w:rPr>
        <w:t>Australia</w:t>
      </w:r>
      <w:r w:rsidRPr="0004299B">
        <w:rPr>
          <w:b/>
          <w:lang w:val="en-NZ" w:eastAsia="ko-KR"/>
        </w:rPr>
        <w:t xml:space="preserve"> </w:t>
      </w:r>
      <w:r w:rsidRPr="0004299B">
        <w:rPr>
          <w:b/>
        </w:rPr>
        <w:t xml:space="preserve">- </w:t>
      </w:r>
      <w:r w:rsidRPr="0004299B">
        <w:rPr>
          <w:b/>
          <w:lang w:val="en-NZ" w:eastAsia="ko-KR"/>
        </w:rPr>
        <w:t xml:space="preserve">Document </w:t>
      </w:r>
      <w:r>
        <w:rPr>
          <w:rFonts w:hint="eastAsia"/>
          <w:b/>
          <w:lang w:eastAsia="ko-KR"/>
        </w:rPr>
        <w:t>APG23-2/INP-24</w:t>
      </w:r>
    </w:p>
    <w:p w14:paraId="03AE32F3" w14:textId="77777777" w:rsidR="0056169D" w:rsidRDefault="0056169D" w:rsidP="0056169D">
      <w:pPr>
        <w:jc w:val="both"/>
      </w:pPr>
      <w:r w:rsidRPr="00160BF3">
        <w:t xml:space="preserve">Australia supports studies in accordance with Resolution </w:t>
      </w:r>
      <w:r w:rsidRPr="00160BF3">
        <w:rPr>
          <w:b/>
        </w:rPr>
        <w:t>175 (WRC-19)</w:t>
      </w:r>
      <w:r w:rsidRPr="00160BF3">
        <w:t>. Australia also supports the modification of existing or, if required, the development of new ITU-R Recommendations, Reports and/ or Handbooks as a result of these studies, but does not support changes to the Radio Regulations being made under this issue.</w:t>
      </w:r>
    </w:p>
    <w:p w14:paraId="4CE5407C" w14:textId="77777777" w:rsidR="002A0111" w:rsidRPr="00441526" w:rsidRDefault="002A0111" w:rsidP="003D3D47">
      <w:pPr>
        <w:jc w:val="both"/>
        <w:rPr>
          <w:lang w:val="en-NZ"/>
        </w:rPr>
      </w:pPr>
    </w:p>
    <w:p w14:paraId="11E7B555" w14:textId="77777777" w:rsidR="0056169D" w:rsidRPr="0004299B" w:rsidRDefault="0056169D" w:rsidP="0056169D">
      <w:pPr>
        <w:spacing w:after="120"/>
        <w:jc w:val="both"/>
        <w:rPr>
          <w:b/>
          <w:lang w:eastAsia="ko-KR"/>
        </w:rPr>
      </w:pPr>
      <w:r w:rsidRPr="0004299B">
        <w:rPr>
          <w:b/>
          <w:lang w:val="en-NZ" w:eastAsia="ko-KR"/>
        </w:rPr>
        <w:t>3.1.</w:t>
      </w:r>
      <w:r>
        <w:rPr>
          <w:rFonts w:hint="eastAsia"/>
          <w:b/>
          <w:lang w:val="en-NZ" w:eastAsia="ko-KR"/>
        </w:rPr>
        <w:t>3</w:t>
      </w:r>
      <w:r w:rsidRPr="0004299B">
        <w:rPr>
          <w:b/>
          <w:lang w:val="en-NZ" w:eastAsia="ko-KR"/>
        </w:rPr>
        <w:t xml:space="preserve"> </w:t>
      </w:r>
      <w:r w:rsidRPr="0004299B">
        <w:rPr>
          <w:b/>
          <w:lang w:val="en-NZ" w:eastAsia="ko-KR"/>
        </w:rPr>
        <w:tab/>
      </w:r>
      <w:r>
        <w:rPr>
          <w:rFonts w:hint="eastAsia"/>
          <w:b/>
          <w:lang w:eastAsia="ko-KR"/>
        </w:rPr>
        <w:t xml:space="preserve"> Korea (Republic of)</w:t>
      </w:r>
      <w:r w:rsidRPr="0004299B">
        <w:rPr>
          <w:rFonts w:hint="eastAsia"/>
          <w:b/>
          <w:lang w:eastAsia="ko-KR"/>
        </w:rPr>
        <w:t xml:space="preserve"> </w:t>
      </w:r>
      <w:r w:rsidRPr="0004299B">
        <w:rPr>
          <w:b/>
        </w:rPr>
        <w:t xml:space="preserve">- </w:t>
      </w:r>
      <w:r w:rsidRPr="0004299B">
        <w:rPr>
          <w:b/>
          <w:lang w:val="en-NZ" w:eastAsia="ko-KR"/>
        </w:rPr>
        <w:t xml:space="preserve">Document </w:t>
      </w:r>
      <w:r>
        <w:rPr>
          <w:rFonts w:hint="eastAsia"/>
          <w:b/>
          <w:lang w:eastAsia="ko-KR"/>
        </w:rPr>
        <w:t>APG23-2/INP-30</w:t>
      </w:r>
    </w:p>
    <w:p w14:paraId="01244105" w14:textId="77777777" w:rsidR="0056169D" w:rsidRPr="00124720" w:rsidRDefault="0056169D" w:rsidP="0056169D">
      <w:pPr>
        <w:jc w:val="both"/>
        <w:rPr>
          <w:rFonts w:eastAsiaTheme="minorEastAsia"/>
          <w:lang w:val="en-GB" w:eastAsia="ko-KR"/>
        </w:rPr>
      </w:pPr>
      <w:r w:rsidRPr="001A200C">
        <w:rPr>
          <w:rFonts w:eastAsia="MS Mincho"/>
          <w:lang w:eastAsia="ja-JP"/>
        </w:rPr>
        <w:t xml:space="preserve">The </w:t>
      </w:r>
      <w:r w:rsidRPr="001A200C">
        <w:rPr>
          <w:rFonts w:eastAsiaTheme="minorEastAsia"/>
          <w:lang w:val="en-GB" w:eastAsia="ko-KR"/>
        </w:rPr>
        <w:t xml:space="preserve">Republic of Korea supports that ITU-R WPs 5A and 5C continue to discuss further in order to address the study results appropriately. However, </w:t>
      </w:r>
      <w:r>
        <w:rPr>
          <w:rFonts w:eastAsia="MS Mincho"/>
          <w:lang w:eastAsia="ja-JP"/>
        </w:rPr>
        <w:t>t</w:t>
      </w:r>
      <w:r w:rsidRPr="001A200C">
        <w:rPr>
          <w:rFonts w:eastAsia="MS Mincho"/>
          <w:lang w:eastAsia="ja-JP"/>
        </w:rPr>
        <w:t xml:space="preserve">he </w:t>
      </w:r>
      <w:r w:rsidRPr="001A200C">
        <w:rPr>
          <w:rFonts w:eastAsiaTheme="minorEastAsia"/>
          <w:lang w:val="en-GB" w:eastAsia="ko-KR"/>
        </w:rPr>
        <w:t xml:space="preserve">Republic of Korea </w:t>
      </w:r>
      <w:r>
        <w:rPr>
          <w:rFonts w:eastAsiaTheme="minorEastAsia"/>
          <w:lang w:val="en-GB" w:eastAsia="ko-KR"/>
        </w:rPr>
        <w:t xml:space="preserve">is of the preliminary view that </w:t>
      </w:r>
      <w:r w:rsidRPr="001A200C">
        <w:rPr>
          <w:rFonts w:eastAsiaTheme="minorEastAsia"/>
          <w:lang w:val="en-GB" w:eastAsia="ko-KR"/>
        </w:rPr>
        <w:t>this study does not require any regulatory matters.</w:t>
      </w:r>
      <w:r>
        <w:rPr>
          <w:rFonts w:eastAsiaTheme="minorEastAsia"/>
          <w:lang w:val="en-GB" w:eastAsia="ko-KR"/>
        </w:rPr>
        <w:t xml:space="preserve"> </w:t>
      </w:r>
    </w:p>
    <w:p w14:paraId="66DF06B3" w14:textId="77777777" w:rsidR="002A0111" w:rsidRDefault="002A0111" w:rsidP="002A0111">
      <w:pPr>
        <w:rPr>
          <w:lang w:val="en-GB" w:eastAsia="ko-KR"/>
        </w:rPr>
      </w:pPr>
    </w:p>
    <w:p w14:paraId="1510EF7A" w14:textId="77777777" w:rsidR="0056169D" w:rsidRPr="0004299B" w:rsidRDefault="0056169D" w:rsidP="0056169D">
      <w:pPr>
        <w:spacing w:after="120"/>
        <w:jc w:val="both"/>
        <w:rPr>
          <w:b/>
          <w:lang w:eastAsia="ko-KR"/>
        </w:rPr>
      </w:pPr>
      <w:r w:rsidRPr="0004299B">
        <w:rPr>
          <w:b/>
          <w:lang w:val="en-NZ" w:eastAsia="ko-KR"/>
        </w:rPr>
        <w:t>3.1</w:t>
      </w:r>
      <w:r w:rsidRPr="0004299B">
        <w:rPr>
          <w:rFonts w:hint="eastAsia"/>
          <w:b/>
          <w:lang w:val="en-NZ" w:eastAsia="ko-KR"/>
        </w:rPr>
        <w:t>.</w:t>
      </w:r>
      <w:r>
        <w:rPr>
          <w:rFonts w:hint="eastAsia"/>
          <w:b/>
          <w:lang w:val="en-NZ" w:eastAsia="ko-KR"/>
        </w:rPr>
        <w:t>4</w:t>
      </w:r>
      <w:r w:rsidRPr="0004299B">
        <w:rPr>
          <w:b/>
          <w:lang w:val="en-NZ" w:eastAsia="ko-KR"/>
        </w:rPr>
        <w:t xml:space="preserve"> </w:t>
      </w:r>
      <w:r w:rsidRPr="0004299B">
        <w:rPr>
          <w:b/>
          <w:lang w:val="en-NZ" w:eastAsia="ko-KR"/>
        </w:rPr>
        <w:tab/>
      </w:r>
      <w:r>
        <w:rPr>
          <w:rFonts w:hint="eastAsia"/>
          <w:b/>
          <w:lang w:eastAsia="ko-KR"/>
        </w:rPr>
        <w:t>Singapore and New Zealand</w:t>
      </w:r>
      <w:r w:rsidRPr="0004299B">
        <w:rPr>
          <w:b/>
          <w:lang w:val="en-NZ" w:eastAsia="ko-KR"/>
        </w:rPr>
        <w:t xml:space="preserve"> </w:t>
      </w:r>
      <w:r w:rsidRPr="0004299B">
        <w:rPr>
          <w:b/>
        </w:rPr>
        <w:t xml:space="preserve">- </w:t>
      </w:r>
      <w:r w:rsidRPr="0004299B">
        <w:rPr>
          <w:b/>
          <w:lang w:val="en-NZ" w:eastAsia="ko-KR"/>
        </w:rPr>
        <w:t xml:space="preserve">Document </w:t>
      </w:r>
      <w:r>
        <w:rPr>
          <w:rFonts w:hint="eastAsia"/>
          <w:b/>
          <w:lang w:eastAsia="ko-KR"/>
        </w:rPr>
        <w:t>APG23-2/INP-38</w:t>
      </w:r>
    </w:p>
    <w:p w14:paraId="45BFD038" w14:textId="77777777" w:rsidR="0056169D" w:rsidRPr="002607EE" w:rsidRDefault="0056169D" w:rsidP="0056169D">
      <w:pPr>
        <w:jc w:val="both"/>
        <w:rPr>
          <w:rFonts w:eastAsia="SimSun"/>
          <w:lang w:eastAsia="zh-CN"/>
        </w:rPr>
      </w:pPr>
      <w:r w:rsidRPr="00A57151">
        <w:t xml:space="preserve">Singapore and New Zealand </w:t>
      </w:r>
      <w:r w:rsidRPr="00A57151">
        <w:rPr>
          <w:rFonts w:eastAsia="SimSun"/>
          <w:lang w:eastAsia="zh-CN"/>
        </w:rPr>
        <w:t xml:space="preserve">are of the view that agenda item 9.1 topic c) should be addressed by reviewing the existing ITU-R Recommendations/Reports and Handbooks and make necessary modifications to implement FWA/FWB systems using IMT technology. </w:t>
      </w:r>
      <w:r w:rsidRPr="00A57151">
        <w:t>There is no need to develop new regulatory provisions in the Radio Regulations for FWB applications using IMT technology.</w:t>
      </w:r>
      <w:r w:rsidRPr="00A57151">
        <w:rPr>
          <w:rFonts w:eastAsia="SimSun"/>
          <w:lang w:eastAsia="zh-CN"/>
        </w:rPr>
        <w:t xml:space="preserve"> In addition, these views are aligned with the mandate stated in Resolution </w:t>
      </w:r>
      <w:r w:rsidRPr="00A57151">
        <w:rPr>
          <w:rFonts w:eastAsia="SimSun"/>
          <w:b/>
          <w:bCs/>
          <w:lang w:eastAsia="zh-CN"/>
        </w:rPr>
        <w:t>175 (WRC-19),</w:t>
      </w:r>
      <w:r w:rsidRPr="00A57151">
        <w:rPr>
          <w:rFonts w:eastAsia="SimSun"/>
          <w:lang w:eastAsia="zh-CN"/>
        </w:rPr>
        <w:t xml:space="preserve"> the common understanding that any topic under agenda item 9.1 cannot and should not lead to the Radio Regulations changes, and alignment with the latest development within WP 5A and WP 5C.</w:t>
      </w:r>
    </w:p>
    <w:p w14:paraId="2A8862F8" w14:textId="77777777" w:rsidR="001658D9" w:rsidRPr="0056169D" w:rsidRDefault="001658D9" w:rsidP="002A0111">
      <w:pPr>
        <w:rPr>
          <w:lang w:eastAsia="ko-KR"/>
        </w:rPr>
      </w:pPr>
    </w:p>
    <w:p w14:paraId="4D499970" w14:textId="67F17DF9" w:rsidR="002A0111" w:rsidRPr="00157307" w:rsidRDefault="002A0111" w:rsidP="00157307">
      <w:pPr>
        <w:pStyle w:val="ListParagraph"/>
        <w:numPr>
          <w:ilvl w:val="1"/>
          <w:numId w:val="28"/>
        </w:numPr>
        <w:spacing w:after="120"/>
        <w:jc w:val="both"/>
        <w:rPr>
          <w:b/>
          <w:lang w:val="en-NZ"/>
        </w:rPr>
      </w:pPr>
      <w:r w:rsidRPr="00157307">
        <w:rPr>
          <w:b/>
          <w:lang w:val="en-NZ"/>
        </w:rPr>
        <w:tab/>
        <w:t>S</w:t>
      </w:r>
      <w:r w:rsidRPr="00157307">
        <w:rPr>
          <w:b/>
          <w:lang w:val="en-NZ" w:eastAsia="ko-KR"/>
        </w:rPr>
        <w:t>ummary of issues raised du</w:t>
      </w:r>
      <w:r w:rsidRPr="00157307">
        <w:rPr>
          <w:b/>
          <w:lang w:val="en-NZ"/>
        </w:rPr>
        <w:t>ring the meeting</w:t>
      </w:r>
    </w:p>
    <w:p w14:paraId="48443332" w14:textId="7A09DCDE" w:rsidR="007805DF" w:rsidRPr="003C5C3B" w:rsidRDefault="007805DF" w:rsidP="00157307">
      <w:pPr>
        <w:pStyle w:val="ListParagraph"/>
        <w:numPr>
          <w:ilvl w:val="0"/>
          <w:numId w:val="18"/>
        </w:numPr>
        <w:jc w:val="both"/>
        <w:rPr>
          <w:lang w:val="en-NZ" w:eastAsia="ko-KR"/>
        </w:rPr>
      </w:pPr>
      <w:r>
        <w:rPr>
          <w:lang w:val="en-NZ" w:eastAsia="ko-KR"/>
        </w:rPr>
        <w:t>V</w:t>
      </w:r>
      <w:r w:rsidR="00AA1985">
        <w:rPr>
          <w:rFonts w:hint="eastAsia"/>
          <w:lang w:val="en-NZ" w:eastAsia="ko-KR"/>
        </w:rPr>
        <w:t xml:space="preserve">iews </w:t>
      </w:r>
      <w:r>
        <w:rPr>
          <w:lang w:val="en-NZ" w:eastAsia="ko-KR"/>
        </w:rPr>
        <w:t xml:space="preserve">were expressed </w:t>
      </w:r>
      <w:r w:rsidR="00AA1985">
        <w:rPr>
          <w:rFonts w:hint="eastAsia"/>
          <w:lang w:val="en-NZ" w:eastAsia="ko-KR"/>
        </w:rPr>
        <w:t xml:space="preserve">that </w:t>
      </w:r>
      <w:r w:rsidR="006D4344" w:rsidRPr="00A57151">
        <w:t xml:space="preserve">no </w:t>
      </w:r>
      <w:r w:rsidR="006D4344">
        <w:t xml:space="preserve">change to </w:t>
      </w:r>
      <w:r w:rsidR="006D4344" w:rsidRPr="00A57151">
        <w:t xml:space="preserve">the </w:t>
      </w:r>
      <w:r w:rsidR="006D4344">
        <w:t xml:space="preserve">ITU </w:t>
      </w:r>
      <w:r w:rsidR="006D4344" w:rsidRPr="00A57151">
        <w:t xml:space="preserve">Radio Regulations </w:t>
      </w:r>
      <w:r w:rsidR="00A215B0">
        <w:t xml:space="preserve">(RR) </w:t>
      </w:r>
      <w:r w:rsidR="006D4344">
        <w:t xml:space="preserve">is required under this topic </w:t>
      </w:r>
      <w:r w:rsidR="006D4344" w:rsidRPr="00A57151">
        <w:t xml:space="preserve">for </w:t>
      </w:r>
      <w:r w:rsidR="006D4344">
        <w:t xml:space="preserve">fixed wireless broadband </w:t>
      </w:r>
      <w:r w:rsidR="006D4344" w:rsidRPr="00A57151">
        <w:t>applications using IMT technology.</w:t>
      </w:r>
      <w:r w:rsidR="00AA1985">
        <w:rPr>
          <w:rFonts w:hint="eastAsia"/>
          <w:lang w:eastAsia="ko-KR"/>
        </w:rPr>
        <w:t xml:space="preserve"> </w:t>
      </w:r>
    </w:p>
    <w:p w14:paraId="2396AC43" w14:textId="4B35478A" w:rsidR="00484BFB" w:rsidRPr="00157307" w:rsidRDefault="007805DF" w:rsidP="00157307">
      <w:pPr>
        <w:pStyle w:val="ListParagraph"/>
        <w:numPr>
          <w:ilvl w:val="0"/>
          <w:numId w:val="18"/>
        </w:numPr>
        <w:jc w:val="both"/>
        <w:rPr>
          <w:lang w:val="en-NZ" w:eastAsia="ko-KR"/>
        </w:rPr>
      </w:pPr>
      <w:r>
        <w:rPr>
          <w:lang w:val="en-NZ" w:eastAsia="ko-KR"/>
        </w:rPr>
        <w:t>V</w:t>
      </w:r>
      <w:r w:rsidR="00E83945" w:rsidRPr="00AA1985">
        <w:rPr>
          <w:rFonts w:hint="eastAsia"/>
          <w:lang w:val="en-NZ" w:eastAsia="ko-KR"/>
        </w:rPr>
        <w:t>iew</w:t>
      </w:r>
      <w:r>
        <w:rPr>
          <w:lang w:val="en-NZ" w:eastAsia="ko-KR"/>
        </w:rPr>
        <w:t>s were expressed</w:t>
      </w:r>
      <w:r w:rsidR="00E83945" w:rsidRPr="00AA1985">
        <w:rPr>
          <w:rFonts w:hint="eastAsia"/>
          <w:lang w:val="en-NZ" w:eastAsia="ko-KR"/>
        </w:rPr>
        <w:t xml:space="preserve"> that </w:t>
      </w:r>
      <w:r w:rsidR="00484BFB">
        <w:rPr>
          <w:rFonts w:hint="eastAsia"/>
          <w:lang w:eastAsia="ko-KR"/>
        </w:rPr>
        <w:t>the</w:t>
      </w:r>
      <w:r w:rsidR="00484BFB">
        <w:t xml:space="preserve"> </w:t>
      </w:r>
      <w:r>
        <w:t xml:space="preserve">ITU-R </w:t>
      </w:r>
      <w:r w:rsidR="00484BFB">
        <w:t xml:space="preserve">studies shall take into account the coexistence between the IMT and existing systems in the </w:t>
      </w:r>
      <w:r>
        <w:t xml:space="preserve">frequency </w:t>
      </w:r>
      <w:r w:rsidR="00484BFB">
        <w:t xml:space="preserve">bands </w:t>
      </w:r>
      <w:r w:rsidR="00484BFB" w:rsidRPr="007459D6">
        <w:t>currently allocated</w:t>
      </w:r>
      <w:r w:rsidR="00484BFB">
        <w:t xml:space="preserve"> </w:t>
      </w:r>
      <w:r>
        <w:t xml:space="preserve">to the </w:t>
      </w:r>
      <w:r w:rsidR="00484BFB">
        <w:t>fixed service</w:t>
      </w:r>
      <w:r w:rsidR="003C5C3B">
        <w:t>, and consequently it is premature to conclude that no change to the RR is required</w:t>
      </w:r>
      <w:r w:rsidR="001A4504">
        <w:rPr>
          <w:rFonts w:hint="eastAsia"/>
          <w:lang w:eastAsia="ko-KR"/>
        </w:rPr>
        <w:t xml:space="preserve">. </w:t>
      </w:r>
    </w:p>
    <w:p w14:paraId="37269135" w14:textId="4ADEFEFE" w:rsidR="001A4504" w:rsidRDefault="00484BFB" w:rsidP="00157307">
      <w:pPr>
        <w:pStyle w:val="ListParagraph"/>
        <w:numPr>
          <w:ilvl w:val="0"/>
          <w:numId w:val="18"/>
        </w:numPr>
        <w:jc w:val="both"/>
        <w:rPr>
          <w:lang w:val="en-NZ" w:eastAsia="ko-KR"/>
        </w:rPr>
      </w:pPr>
      <w:r>
        <w:rPr>
          <w:rFonts w:hint="eastAsia"/>
          <w:lang w:val="en-NZ" w:eastAsia="ko-KR"/>
        </w:rPr>
        <w:t>Due to the lack of time</w:t>
      </w:r>
      <w:r w:rsidR="009933A1">
        <w:rPr>
          <w:lang w:val="en-NZ" w:eastAsia="ko-KR"/>
        </w:rPr>
        <w:t>,</w:t>
      </w:r>
      <w:r w:rsidR="00614E8A">
        <w:rPr>
          <w:rFonts w:hint="eastAsia"/>
          <w:lang w:val="en-NZ" w:eastAsia="ko-KR"/>
        </w:rPr>
        <w:t xml:space="preserve"> it was not able to continue the discussion</w:t>
      </w:r>
      <w:r w:rsidR="00A215B0">
        <w:rPr>
          <w:lang w:val="en-NZ" w:eastAsia="ko-KR"/>
        </w:rPr>
        <w:t xml:space="preserve"> to reconcile these </w:t>
      </w:r>
      <w:r w:rsidR="00781859">
        <w:rPr>
          <w:lang w:val="en-NZ" w:eastAsia="ko-KR"/>
        </w:rPr>
        <w:t xml:space="preserve">different </w:t>
      </w:r>
      <w:r w:rsidR="00A215B0">
        <w:rPr>
          <w:lang w:val="en-NZ" w:eastAsia="ko-KR"/>
        </w:rPr>
        <w:t>views</w:t>
      </w:r>
      <w:r w:rsidR="00614E8A">
        <w:rPr>
          <w:rFonts w:hint="eastAsia"/>
          <w:lang w:val="en-NZ" w:eastAsia="ko-KR"/>
        </w:rPr>
        <w:t xml:space="preserve">. </w:t>
      </w:r>
    </w:p>
    <w:p w14:paraId="4E0972E1" w14:textId="34AB7360" w:rsidR="004C750A" w:rsidRPr="004C750A" w:rsidRDefault="00A215B0" w:rsidP="00157307">
      <w:pPr>
        <w:pStyle w:val="ListParagraph"/>
        <w:numPr>
          <w:ilvl w:val="0"/>
          <w:numId w:val="18"/>
        </w:numPr>
        <w:jc w:val="both"/>
        <w:rPr>
          <w:lang w:val="en-NZ" w:eastAsia="ko-KR"/>
        </w:rPr>
      </w:pPr>
      <w:r>
        <w:rPr>
          <w:lang w:val="en-NZ" w:eastAsia="ko-KR"/>
        </w:rPr>
        <w:t>Furthermore, no consensus was reached whether to send a l</w:t>
      </w:r>
      <w:r w:rsidR="004C750A">
        <w:rPr>
          <w:rFonts w:hint="eastAsia"/>
          <w:lang w:val="en-NZ" w:eastAsia="ko-KR"/>
        </w:rPr>
        <w:t xml:space="preserve">iaison </w:t>
      </w:r>
      <w:r>
        <w:rPr>
          <w:lang w:val="en-NZ" w:eastAsia="ko-KR"/>
        </w:rPr>
        <w:t>s</w:t>
      </w:r>
      <w:r w:rsidR="004C750A">
        <w:rPr>
          <w:rFonts w:hint="eastAsia"/>
          <w:lang w:val="en-NZ" w:eastAsia="ko-KR"/>
        </w:rPr>
        <w:t>tatement to AWG</w:t>
      </w:r>
      <w:r>
        <w:rPr>
          <w:lang w:val="en-NZ" w:eastAsia="ko-KR"/>
        </w:rPr>
        <w:t xml:space="preserve"> for this topic</w:t>
      </w:r>
      <w:r w:rsidR="003C5C3B">
        <w:rPr>
          <w:lang w:val="en-NZ" w:eastAsia="ko-KR"/>
        </w:rPr>
        <w:t xml:space="preserve"> during the DG discussion</w:t>
      </w:r>
      <w:r>
        <w:rPr>
          <w:lang w:val="en-NZ" w:eastAsia="ko-KR"/>
        </w:rPr>
        <w:t>.</w:t>
      </w:r>
    </w:p>
    <w:p w14:paraId="4D363411" w14:textId="77777777" w:rsidR="001658D9" w:rsidRPr="00441526" w:rsidRDefault="001658D9" w:rsidP="003D3D47">
      <w:pPr>
        <w:jc w:val="both"/>
        <w:rPr>
          <w:lang w:val="en-NZ" w:eastAsia="ko-KR"/>
        </w:rPr>
      </w:pPr>
    </w:p>
    <w:p w14:paraId="33784538"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494D2503" w14:textId="392FDCC3" w:rsidR="0056169D" w:rsidRDefault="0056169D" w:rsidP="003C5C3B">
      <w:pPr>
        <w:pStyle w:val="ListParagraph"/>
        <w:numPr>
          <w:ilvl w:val="0"/>
          <w:numId w:val="18"/>
        </w:numPr>
        <w:overflowPunct w:val="0"/>
        <w:jc w:val="both"/>
        <w:rPr>
          <w:lang w:val="en-NZ" w:eastAsia="ko-KR"/>
        </w:rPr>
      </w:pPr>
      <w:r>
        <w:rPr>
          <w:rFonts w:hint="eastAsia"/>
          <w:lang w:val="en-NZ" w:eastAsia="ko-KR"/>
        </w:rPr>
        <w:t xml:space="preserve">APT Members support the </w:t>
      </w:r>
      <w:r w:rsidR="00D76B7A">
        <w:rPr>
          <w:lang w:val="en-NZ" w:eastAsia="ko-KR"/>
        </w:rPr>
        <w:t xml:space="preserve">on-going </w:t>
      </w:r>
      <w:r>
        <w:rPr>
          <w:rFonts w:hint="eastAsia"/>
          <w:lang w:val="en-NZ" w:eastAsia="ko-KR"/>
        </w:rPr>
        <w:t xml:space="preserve">ITU-R studies </w:t>
      </w:r>
      <w:r w:rsidR="00D76B7A" w:rsidRPr="00160BF3">
        <w:t xml:space="preserve">in accordance with Resolution </w:t>
      </w:r>
      <w:r w:rsidR="00D76B7A" w:rsidRPr="00160BF3">
        <w:rPr>
          <w:b/>
        </w:rPr>
        <w:t>175 (WRC-19)</w:t>
      </w:r>
      <w:r w:rsidR="00D76B7A">
        <w:rPr>
          <w:b/>
        </w:rPr>
        <w:t xml:space="preserve"> </w:t>
      </w:r>
      <w:r>
        <w:rPr>
          <w:rFonts w:hint="eastAsia"/>
          <w:lang w:val="en-NZ" w:eastAsia="ko-KR"/>
        </w:rPr>
        <w:t xml:space="preserve">under </w:t>
      </w:r>
      <w:r w:rsidR="00D76B7A">
        <w:rPr>
          <w:lang w:val="en-NZ" w:eastAsia="ko-KR"/>
        </w:rPr>
        <w:t xml:space="preserve">WRC-23 </w:t>
      </w:r>
      <w:r w:rsidR="009933A1">
        <w:rPr>
          <w:lang w:val="en-NZ" w:eastAsia="ko-KR"/>
        </w:rPr>
        <w:t>a</w:t>
      </w:r>
      <w:r>
        <w:rPr>
          <w:rFonts w:hint="eastAsia"/>
          <w:lang w:val="en-NZ" w:eastAsia="ko-KR"/>
        </w:rPr>
        <w:t>genda item 9.1 topic c</w:t>
      </w:r>
      <w:r w:rsidR="007E0EBF">
        <w:rPr>
          <w:rFonts w:hint="eastAsia"/>
          <w:lang w:val="en-NZ" w:eastAsia="ko-KR"/>
        </w:rPr>
        <w:t>)</w:t>
      </w:r>
      <w:r w:rsidR="00E83945">
        <w:rPr>
          <w:rFonts w:hint="eastAsia"/>
          <w:lang w:val="en-NZ" w:eastAsia="ko-KR"/>
        </w:rPr>
        <w:t>.</w:t>
      </w:r>
      <w:r>
        <w:rPr>
          <w:rFonts w:hint="eastAsia"/>
          <w:lang w:val="en-NZ" w:eastAsia="ko-KR"/>
        </w:rPr>
        <w:t xml:space="preserve"> </w:t>
      </w:r>
    </w:p>
    <w:p w14:paraId="133AB0B3" w14:textId="77777777" w:rsidR="002A0111" w:rsidRPr="00441526" w:rsidRDefault="002A0111" w:rsidP="002A0111">
      <w:pPr>
        <w:rPr>
          <w:lang w:val="en-NZ"/>
        </w:rPr>
      </w:pPr>
    </w:p>
    <w:p w14:paraId="4D9978C0"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12088F07" w14:textId="644F4F43" w:rsidR="003B1CFC" w:rsidRPr="00194D9B" w:rsidRDefault="003B1CFC" w:rsidP="003B1CFC">
      <w:pPr>
        <w:pStyle w:val="ListParagraph"/>
        <w:numPr>
          <w:ilvl w:val="0"/>
          <w:numId w:val="18"/>
        </w:numPr>
        <w:overflowPunct w:val="0"/>
        <w:jc w:val="both"/>
        <w:rPr>
          <w:lang w:val="en-NZ" w:eastAsia="ko-KR"/>
        </w:rPr>
      </w:pPr>
      <w:r>
        <w:rPr>
          <w:rFonts w:hint="eastAsia"/>
          <w:lang w:eastAsia="ko-KR"/>
        </w:rPr>
        <w:t>None.</w:t>
      </w:r>
    </w:p>
    <w:p w14:paraId="3024FD5E" w14:textId="77777777" w:rsidR="005206E9" w:rsidRPr="00441526" w:rsidRDefault="005206E9" w:rsidP="002A0111">
      <w:pPr>
        <w:rPr>
          <w:lang w:val="en-NZ"/>
        </w:rPr>
      </w:pPr>
    </w:p>
    <w:p w14:paraId="1618C343"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02144A21" w14:textId="3B7779C5" w:rsidR="00614E8A" w:rsidRPr="00157307" w:rsidRDefault="00DA205B" w:rsidP="003C5C3B">
      <w:pPr>
        <w:pStyle w:val="ListParagraph"/>
        <w:numPr>
          <w:ilvl w:val="0"/>
          <w:numId w:val="18"/>
        </w:numPr>
        <w:jc w:val="both"/>
        <w:rPr>
          <w:rFonts w:eastAsia="MS Mincho"/>
          <w:lang w:val="en-NZ" w:eastAsia="ja-JP"/>
        </w:rPr>
      </w:pPr>
      <w:r w:rsidRPr="003C5C3B">
        <w:rPr>
          <w:lang w:val="en-NZ" w:eastAsia="ko-KR"/>
        </w:rPr>
        <w:t>Contributions</w:t>
      </w:r>
      <w:r w:rsidRPr="00157307">
        <w:rPr>
          <w:rFonts w:eastAsia="MS Mincho"/>
          <w:lang w:val="en-NZ" w:eastAsia="ja-JP"/>
        </w:rPr>
        <w:t xml:space="preserve"> are sought to update the APT preliminary views taking into account the progress of ITU-R studies</w:t>
      </w:r>
      <w:r w:rsidR="00A215B0">
        <w:rPr>
          <w:rFonts w:eastAsia="MS Mincho"/>
          <w:lang w:val="en-NZ" w:eastAsia="ja-JP"/>
        </w:rPr>
        <w:t xml:space="preserve"> and </w:t>
      </w:r>
      <w:r w:rsidR="001A4504">
        <w:rPr>
          <w:rFonts w:eastAsia="Malgun Gothic" w:hint="eastAsia"/>
          <w:lang w:val="en-NZ" w:eastAsia="ko-KR"/>
        </w:rPr>
        <w:t>to discuss</w:t>
      </w:r>
      <w:r w:rsidR="00A215B0">
        <w:rPr>
          <w:rFonts w:eastAsia="MS Mincho"/>
          <w:lang w:val="en-NZ" w:eastAsia="ja-JP"/>
        </w:rPr>
        <w:t xml:space="preserve"> </w:t>
      </w:r>
      <w:r w:rsidR="003C5C3B">
        <w:rPr>
          <w:rFonts w:eastAsia="MS Mincho"/>
          <w:lang w:val="en-NZ" w:eastAsia="ja-JP"/>
        </w:rPr>
        <w:t xml:space="preserve">the </w:t>
      </w:r>
      <w:r w:rsidR="00A215B0">
        <w:rPr>
          <w:rFonts w:eastAsia="MS Mincho"/>
          <w:lang w:val="en-NZ" w:eastAsia="ja-JP"/>
        </w:rPr>
        <w:t>views explained in section 3</w:t>
      </w:r>
      <w:r w:rsidR="00781859">
        <w:rPr>
          <w:rFonts w:eastAsia="MS Mincho"/>
          <w:lang w:val="en-NZ" w:eastAsia="ja-JP"/>
        </w:rPr>
        <w:t>.2</w:t>
      </w:r>
      <w:r w:rsidR="00A215B0">
        <w:rPr>
          <w:rFonts w:eastAsia="MS Mincho"/>
          <w:lang w:val="en-NZ" w:eastAsia="ja-JP"/>
        </w:rPr>
        <w:t xml:space="preserve"> above</w:t>
      </w:r>
      <w:r w:rsidRPr="00157307">
        <w:rPr>
          <w:rFonts w:eastAsia="MS Mincho"/>
          <w:lang w:val="en-NZ" w:eastAsia="ja-JP"/>
        </w:rPr>
        <w:t>.</w:t>
      </w:r>
    </w:p>
    <w:p w14:paraId="46DA981A" w14:textId="77777777" w:rsidR="002A0111" w:rsidRPr="00441526" w:rsidRDefault="002A0111" w:rsidP="003D3D47">
      <w:pPr>
        <w:jc w:val="both"/>
        <w:rPr>
          <w:lang w:val="en-NZ"/>
        </w:rPr>
      </w:pPr>
    </w:p>
    <w:p w14:paraId="4B09F017"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574C899B" w14:textId="77777777"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6B09DB">
        <w:rPr>
          <w:lang w:val="en-NZ"/>
        </w:rPr>
        <w:t>2</w:t>
      </w:r>
      <w:r w:rsidR="003D3D47">
        <w:rPr>
          <w:lang w:val="en-NZ"/>
        </w:rPr>
        <w:t>)</w:t>
      </w:r>
    </w:p>
    <w:p w14:paraId="171D0490"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4F44CCDF"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23-2</w:t>
      </w:r>
      <w:r w:rsidR="002A0111" w:rsidRPr="00441526">
        <w:rPr>
          <w:b/>
          <w:lang w:val="en-NZ" w:eastAsia="ko-KR"/>
        </w:rPr>
        <w:t>/INF-</w:t>
      </w:r>
      <w:r w:rsidR="0056169D">
        <w:rPr>
          <w:rFonts w:hint="eastAsia"/>
          <w:b/>
          <w:lang w:val="en-NZ" w:eastAsia="ko-KR"/>
        </w:rPr>
        <w:t>25</w:t>
      </w:r>
    </w:p>
    <w:p w14:paraId="15DC6F8D" w14:textId="4CA4E059" w:rsidR="002A0111" w:rsidRPr="00194D9B" w:rsidRDefault="0056169D" w:rsidP="00FB1BF4">
      <w:pPr>
        <w:pStyle w:val="ListParagraph"/>
        <w:numPr>
          <w:ilvl w:val="0"/>
          <w:numId w:val="18"/>
        </w:numPr>
        <w:overflowPunct w:val="0"/>
        <w:jc w:val="both"/>
        <w:rPr>
          <w:lang w:val="en-NZ" w:eastAsia="ko-KR"/>
        </w:rPr>
      </w:pPr>
      <w:r w:rsidRPr="00686B8C">
        <w:lastRenderedPageBreak/>
        <w:t>Inviting ASMG administrations to consider the frequency bands that will be studied for using the IMT systems for fixed wireless broadband in the frequency bands allocated to the fixed service on a primary basis. Ensure the protection of the existing services.</w:t>
      </w:r>
    </w:p>
    <w:p w14:paraId="5323A15B" w14:textId="77777777" w:rsidR="00194D9B" w:rsidRDefault="00194D9B" w:rsidP="00194D9B">
      <w:pPr>
        <w:overflowPunct w:val="0"/>
        <w:jc w:val="both"/>
        <w:rPr>
          <w:lang w:val="en-NZ" w:eastAsia="ko-KR"/>
        </w:rPr>
      </w:pPr>
    </w:p>
    <w:p w14:paraId="753C065C" w14:textId="4DF34636" w:rsidR="00C76C31" w:rsidRPr="00C76C31" w:rsidRDefault="00C76C31" w:rsidP="00C76C31">
      <w:pPr>
        <w:spacing w:after="120"/>
        <w:jc w:val="both"/>
        <w:rPr>
          <w:b/>
          <w:lang w:val="en-NZ" w:eastAsia="ko-KR"/>
        </w:rPr>
      </w:pPr>
      <w:r w:rsidRPr="00C76C31">
        <w:rPr>
          <w:b/>
          <w:lang w:val="en-NZ" w:eastAsia="ko-KR"/>
        </w:rPr>
        <w:t xml:space="preserve">7.1.2 </w:t>
      </w:r>
      <w:r w:rsidRPr="00C76C31">
        <w:rPr>
          <w:b/>
          <w:lang w:val="en-NZ" w:eastAsia="ko-KR"/>
        </w:rPr>
        <w:tab/>
        <w:t>ATU - Document APG23-2/INF-</w:t>
      </w:r>
      <w:r w:rsidR="007C30F9">
        <w:rPr>
          <w:rFonts w:hint="eastAsia"/>
          <w:b/>
          <w:lang w:val="en-NZ" w:eastAsia="ko-KR"/>
        </w:rPr>
        <w:t>26</w:t>
      </w:r>
    </w:p>
    <w:p w14:paraId="0659F97F" w14:textId="47CE8A42" w:rsidR="00194D9B" w:rsidRDefault="00C76C31" w:rsidP="00C76C31">
      <w:pPr>
        <w:overflowPunct w:val="0"/>
        <w:ind w:left="425" w:hangingChars="177" w:hanging="425"/>
        <w:jc w:val="both"/>
        <w:rPr>
          <w:lang w:val="en-NZ" w:eastAsia="ko-KR"/>
        </w:rPr>
      </w:pPr>
      <w:r w:rsidRPr="00C76C31">
        <w:rPr>
          <w:lang w:val="en-NZ" w:eastAsia="ko-KR"/>
        </w:rPr>
        <w:t>-</w:t>
      </w:r>
      <w:r w:rsidRPr="00C76C31">
        <w:rPr>
          <w:lang w:val="en-NZ" w:eastAsia="ko-KR"/>
        </w:rPr>
        <w:tab/>
      </w:r>
      <w:r w:rsidRPr="00C76C31">
        <w:rPr>
          <w:lang w:eastAsia="ko-KR"/>
        </w:rPr>
        <w:t>No views are provided</w:t>
      </w:r>
      <w:r>
        <w:rPr>
          <w:rFonts w:hint="eastAsia"/>
          <w:lang w:eastAsia="ko-KR"/>
        </w:rPr>
        <w:t>.</w:t>
      </w:r>
    </w:p>
    <w:p w14:paraId="44C52440" w14:textId="77777777" w:rsidR="00194D9B" w:rsidRDefault="00194D9B" w:rsidP="00194D9B">
      <w:pPr>
        <w:overflowPunct w:val="0"/>
        <w:jc w:val="both"/>
        <w:rPr>
          <w:lang w:val="en-NZ" w:eastAsia="ko-KR"/>
        </w:rPr>
      </w:pPr>
    </w:p>
    <w:p w14:paraId="7AEB959D" w14:textId="13EBF29C" w:rsidR="00914395" w:rsidRDefault="00914395" w:rsidP="00914395">
      <w:pPr>
        <w:spacing w:after="120"/>
        <w:jc w:val="both"/>
        <w:rPr>
          <w:b/>
          <w:lang w:val="en-NZ" w:eastAsia="ko-KR"/>
        </w:rPr>
      </w:pPr>
      <w:r w:rsidRPr="004E5C88">
        <w:rPr>
          <w:b/>
          <w:lang w:val="en-NZ" w:eastAsia="ko-KR"/>
        </w:rPr>
        <w:t>7.1.</w:t>
      </w:r>
      <w:r w:rsidR="00C76C31">
        <w:rPr>
          <w:rFonts w:hint="eastAsia"/>
          <w:b/>
          <w:lang w:val="en-NZ" w:eastAsia="ko-KR"/>
        </w:rPr>
        <w:t>3</w:t>
      </w:r>
      <w:r w:rsidRPr="004E5C88">
        <w:rPr>
          <w:b/>
          <w:lang w:val="en-NZ" w:eastAsia="ko-KR"/>
        </w:rPr>
        <w:t xml:space="preserve"> </w:t>
      </w:r>
      <w:r w:rsidRPr="004E5C88">
        <w:rPr>
          <w:b/>
          <w:lang w:val="en-NZ" w:eastAsia="ko-KR"/>
        </w:rPr>
        <w:tab/>
      </w:r>
      <w:r>
        <w:rPr>
          <w:rFonts w:hint="eastAsia"/>
          <w:b/>
          <w:lang w:val="en-NZ" w:eastAsia="ko-KR"/>
        </w:rPr>
        <w:t>CEPT</w:t>
      </w:r>
      <w:r w:rsidRPr="00441526">
        <w:t xml:space="preserve"> - </w:t>
      </w:r>
      <w:r w:rsidRPr="004E5C88">
        <w:rPr>
          <w:b/>
          <w:lang w:val="en-NZ" w:eastAsia="ko-KR"/>
        </w:rPr>
        <w:t>Document APG23-2/INF-</w:t>
      </w:r>
      <w:r>
        <w:rPr>
          <w:rFonts w:hint="eastAsia"/>
          <w:b/>
          <w:lang w:val="en-NZ" w:eastAsia="ko-KR"/>
        </w:rPr>
        <w:t>3</w:t>
      </w:r>
      <w:r w:rsidRPr="004E5C88">
        <w:rPr>
          <w:rFonts w:hint="eastAsia"/>
          <w:b/>
          <w:lang w:val="en-NZ" w:eastAsia="ko-KR"/>
        </w:rPr>
        <w:t>5</w:t>
      </w:r>
    </w:p>
    <w:p w14:paraId="3AD7997A" w14:textId="77777777" w:rsidR="00914395" w:rsidRPr="00F561E8" w:rsidRDefault="00914395" w:rsidP="00914395">
      <w:pPr>
        <w:pStyle w:val="ListParagraph"/>
        <w:numPr>
          <w:ilvl w:val="0"/>
          <w:numId w:val="18"/>
        </w:numPr>
        <w:overflowPunct w:val="0"/>
        <w:jc w:val="both"/>
        <w:rPr>
          <w:rFonts w:ascii="Arial" w:hAnsi="Arial" w:cs="Arial"/>
          <w:sz w:val="20"/>
          <w:bdr w:val="none" w:sz="0" w:space="0" w:color="auto" w:frame="1"/>
          <w:lang w:val="en-GB"/>
        </w:rPr>
      </w:pPr>
      <w:r>
        <w:rPr>
          <w:rFonts w:hint="eastAsia"/>
          <w:lang w:eastAsia="ko-KR"/>
        </w:rPr>
        <w:t xml:space="preserve"> CEPT is of the view that : </w:t>
      </w:r>
    </w:p>
    <w:p w14:paraId="7C27C2D8" w14:textId="77777777" w:rsidR="00914395" w:rsidRPr="00F561E8" w:rsidRDefault="00914395" w:rsidP="00914395">
      <w:pPr>
        <w:pStyle w:val="ListParagraph"/>
        <w:numPr>
          <w:ilvl w:val="0"/>
          <w:numId w:val="25"/>
        </w:numPr>
        <w:overflowPunct w:val="0"/>
        <w:jc w:val="both"/>
        <w:rPr>
          <w:rFonts w:ascii="Arial" w:hAnsi="Arial" w:cs="Arial"/>
          <w:sz w:val="20"/>
          <w:bdr w:val="none" w:sz="0" w:space="0" w:color="auto" w:frame="1"/>
          <w:lang w:val="en-GB"/>
        </w:rPr>
      </w:pPr>
      <w:r>
        <w:rPr>
          <w:rFonts w:hint="eastAsia"/>
          <w:lang w:eastAsia="ko-KR"/>
        </w:rPr>
        <w:t>Fixed w</w:t>
      </w:r>
      <w:r w:rsidRPr="00F561E8">
        <w:rPr>
          <w:rFonts w:hint="eastAsia"/>
        </w:rPr>
        <w:t>ireless broadband applications</w:t>
      </w:r>
      <w:r>
        <w:rPr>
          <w:rFonts w:hint="eastAsia"/>
          <w:lang w:eastAsia="ko-KR"/>
        </w:rPr>
        <w:t xml:space="preserve"> using IMT technologies as well as other technologies in the frequency bands allocated to the fixed service can be adequately addressed through an update of appropriate existing ITU-R Recommendation/Reports/Handbooks</w:t>
      </w:r>
      <w:r>
        <w:rPr>
          <w:lang w:eastAsia="ko-KR"/>
        </w:rPr>
        <w:t>;</w:t>
      </w:r>
    </w:p>
    <w:p w14:paraId="1C6ADD65" w14:textId="77777777" w:rsidR="00914395" w:rsidRPr="00F561E8" w:rsidRDefault="00914395" w:rsidP="00914395">
      <w:pPr>
        <w:pStyle w:val="ListParagraph"/>
        <w:numPr>
          <w:ilvl w:val="0"/>
          <w:numId w:val="25"/>
        </w:numPr>
        <w:overflowPunct w:val="0"/>
        <w:jc w:val="both"/>
        <w:rPr>
          <w:rFonts w:ascii="Arial" w:hAnsi="Arial" w:cs="Arial"/>
          <w:sz w:val="20"/>
          <w:bdr w:val="none" w:sz="0" w:space="0" w:color="auto" w:frame="1"/>
          <w:lang w:val="en-GB"/>
        </w:rPr>
      </w:pPr>
      <w:r>
        <w:rPr>
          <w:lang w:val="en-GB" w:eastAsia="ko-KR"/>
        </w:rPr>
        <w:t>G</w:t>
      </w:r>
      <w:r>
        <w:rPr>
          <w:rFonts w:hint="eastAsia"/>
          <w:lang w:val="en-GB" w:eastAsia="ko-KR"/>
        </w:rPr>
        <w:t>iven the existing provisions of the Radio Regulations and taking a technology neutral approach there is no need to consider/study specific frequency bands under this topic;</w:t>
      </w:r>
    </w:p>
    <w:p w14:paraId="4ABC2829" w14:textId="77777777" w:rsidR="00914395" w:rsidRPr="00F561E8" w:rsidRDefault="00914395" w:rsidP="00914395">
      <w:pPr>
        <w:pStyle w:val="ListParagraph"/>
        <w:numPr>
          <w:ilvl w:val="0"/>
          <w:numId w:val="25"/>
        </w:numPr>
        <w:overflowPunct w:val="0"/>
        <w:jc w:val="both"/>
        <w:rPr>
          <w:rFonts w:ascii="Arial" w:hAnsi="Arial" w:cs="Arial"/>
          <w:sz w:val="20"/>
          <w:bdr w:val="none" w:sz="0" w:space="0" w:color="auto" w:frame="1"/>
          <w:lang w:val="en-GB"/>
        </w:rPr>
      </w:pPr>
      <w:r>
        <w:rPr>
          <w:lang w:val="en-GB" w:eastAsia="ko-KR"/>
        </w:rPr>
        <w:t>T</w:t>
      </w:r>
      <w:r>
        <w:rPr>
          <w:rFonts w:hint="eastAsia"/>
          <w:lang w:val="en-GB" w:eastAsia="ko-KR"/>
        </w:rPr>
        <w:t xml:space="preserve">he development of new ITU-R </w:t>
      </w:r>
      <w:r>
        <w:rPr>
          <w:rFonts w:hint="eastAsia"/>
          <w:lang w:eastAsia="ko-KR"/>
        </w:rPr>
        <w:t>Recommendation/Reports should only be considered, if necessary, based on the outcome of a review of existing ITU-R deliverables</w:t>
      </w:r>
      <w:r>
        <w:rPr>
          <w:lang w:eastAsia="ko-KR"/>
        </w:rPr>
        <w:t>;</w:t>
      </w:r>
    </w:p>
    <w:p w14:paraId="2F5D76C6" w14:textId="77777777" w:rsidR="00914395" w:rsidRPr="00F561E8" w:rsidRDefault="00914395" w:rsidP="00914395">
      <w:pPr>
        <w:pStyle w:val="ListParagraph"/>
        <w:numPr>
          <w:ilvl w:val="0"/>
          <w:numId w:val="25"/>
        </w:numPr>
        <w:overflowPunct w:val="0"/>
        <w:jc w:val="both"/>
        <w:rPr>
          <w:rFonts w:ascii="Arial" w:hAnsi="Arial" w:cs="Arial"/>
          <w:sz w:val="20"/>
          <w:bdr w:val="none" w:sz="0" w:space="0" w:color="auto" w:frame="1"/>
          <w:lang w:val="en-GB"/>
        </w:rPr>
      </w:pPr>
      <w:r>
        <w:rPr>
          <w:lang w:val="en-GB" w:eastAsia="ko-KR"/>
        </w:rPr>
        <w:t>T</w:t>
      </w:r>
      <w:r>
        <w:rPr>
          <w:rFonts w:hint="eastAsia"/>
          <w:lang w:val="en-GB" w:eastAsia="ko-KR"/>
        </w:rPr>
        <w:t>his work falls under the scope of ITU-R Working Parties 5A and 5C.</w:t>
      </w:r>
    </w:p>
    <w:p w14:paraId="2FA26784" w14:textId="77777777" w:rsidR="00914395" w:rsidRPr="00F561E8" w:rsidRDefault="00914395" w:rsidP="00914395">
      <w:pPr>
        <w:overflowPunct w:val="0"/>
        <w:jc w:val="both"/>
        <w:rPr>
          <w:rFonts w:ascii="Arial" w:hAnsi="Arial" w:cs="Arial"/>
          <w:sz w:val="20"/>
          <w:bdr w:val="none" w:sz="0" w:space="0" w:color="auto" w:frame="1"/>
          <w:lang w:val="en-GB" w:eastAsia="ko-KR"/>
        </w:rPr>
      </w:pPr>
    </w:p>
    <w:p w14:paraId="046A07C7" w14:textId="77777777" w:rsidR="00914395" w:rsidRPr="00F561E8" w:rsidRDefault="00914395" w:rsidP="00914395">
      <w:pPr>
        <w:pStyle w:val="ListParagraph"/>
        <w:numPr>
          <w:ilvl w:val="0"/>
          <w:numId w:val="18"/>
        </w:numPr>
        <w:overflowPunct w:val="0"/>
        <w:jc w:val="both"/>
        <w:rPr>
          <w:rFonts w:ascii="Arial" w:hAnsi="Arial" w:cs="Arial"/>
          <w:sz w:val="20"/>
          <w:bdr w:val="none" w:sz="0" w:space="0" w:color="auto" w:frame="1"/>
          <w:lang w:val="en-GB"/>
        </w:rPr>
      </w:pPr>
      <w:r>
        <w:rPr>
          <w:rFonts w:hint="eastAsia"/>
          <w:lang w:eastAsia="ko-KR"/>
        </w:rPr>
        <w:t>In conclusion, CEPT oppose any changes to the RR in response to WRC-23 Agenda item 9.1, topic c.</w:t>
      </w:r>
    </w:p>
    <w:p w14:paraId="72B90214" w14:textId="77777777" w:rsidR="00914395" w:rsidRPr="00C76C31" w:rsidRDefault="00914395" w:rsidP="00914395">
      <w:pPr>
        <w:pStyle w:val="ListParagraph"/>
        <w:numPr>
          <w:ilvl w:val="0"/>
          <w:numId w:val="18"/>
        </w:numPr>
        <w:overflowPunct w:val="0"/>
        <w:jc w:val="both"/>
        <w:rPr>
          <w:rFonts w:ascii="Arial" w:hAnsi="Arial" w:cs="Arial"/>
          <w:sz w:val="20"/>
          <w:bdr w:val="none" w:sz="0" w:space="0" w:color="auto" w:frame="1"/>
          <w:lang w:val="en-GB" w:eastAsia="ko-KR"/>
        </w:rPr>
      </w:pPr>
      <w:r>
        <w:rPr>
          <w:rFonts w:hint="eastAsia"/>
          <w:lang w:eastAsia="ko-KR"/>
        </w:rPr>
        <w:t xml:space="preserve">CEPT considers that discussions on fixed wireless broadband applications using IMT technologies as well as other technologies should take place in ITU-R WPs 5A and 5C to avoid fragmentation of work and to </w:t>
      </w:r>
      <w:r>
        <w:rPr>
          <w:lang w:eastAsia="ko-KR"/>
        </w:rPr>
        <w:t>ensure</w:t>
      </w:r>
      <w:r>
        <w:rPr>
          <w:rFonts w:hint="eastAsia"/>
          <w:lang w:eastAsia="ko-KR"/>
        </w:rPr>
        <w:t xml:space="preserve"> efficient working within ITU-R</w:t>
      </w:r>
    </w:p>
    <w:p w14:paraId="3348C787" w14:textId="77777777" w:rsidR="00C76C31" w:rsidRPr="00C76C31" w:rsidRDefault="00C76C31" w:rsidP="00914395">
      <w:pPr>
        <w:pStyle w:val="ListParagraph"/>
        <w:numPr>
          <w:ilvl w:val="0"/>
          <w:numId w:val="18"/>
        </w:numPr>
        <w:overflowPunct w:val="0"/>
        <w:jc w:val="both"/>
        <w:rPr>
          <w:rFonts w:ascii="Arial" w:hAnsi="Arial" w:cs="Arial"/>
          <w:sz w:val="20"/>
          <w:bdr w:val="none" w:sz="0" w:space="0" w:color="auto" w:frame="1"/>
          <w:lang w:val="en-GB" w:eastAsia="ko-KR"/>
        </w:rPr>
      </w:pPr>
    </w:p>
    <w:p w14:paraId="5A3F1322" w14:textId="061935AA" w:rsidR="00C76C31" w:rsidRPr="00441526" w:rsidRDefault="00C76C31" w:rsidP="00C76C31">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/INF-</w:t>
      </w:r>
      <w:r w:rsidR="007C30F9">
        <w:rPr>
          <w:rFonts w:hint="eastAsia"/>
          <w:b/>
          <w:lang w:val="en-NZ" w:eastAsia="ko-KR"/>
        </w:rPr>
        <w:t>34</w:t>
      </w:r>
    </w:p>
    <w:p w14:paraId="562973C5" w14:textId="77777777" w:rsidR="00C76C31" w:rsidRPr="00C76C31" w:rsidRDefault="00C76C31" w:rsidP="00C76C31">
      <w:pPr>
        <w:pStyle w:val="ListParagraph"/>
        <w:numPr>
          <w:ilvl w:val="0"/>
          <w:numId w:val="18"/>
        </w:numPr>
        <w:overflowPunct w:val="0"/>
        <w:jc w:val="both"/>
        <w:rPr>
          <w:rFonts w:ascii="Arial" w:hAnsi="Arial" w:cs="Arial"/>
          <w:sz w:val="20"/>
          <w:bdr w:val="none" w:sz="0" w:space="0" w:color="auto" w:frame="1"/>
          <w:lang w:val="en-NZ" w:eastAsia="ko-KR"/>
        </w:rPr>
      </w:pPr>
      <w:r w:rsidRPr="00C76C31">
        <w:rPr>
          <w:lang w:eastAsia="ko-KR"/>
        </w:rPr>
        <w:t>No views are provided</w:t>
      </w:r>
      <w:r>
        <w:rPr>
          <w:rFonts w:hint="eastAsia"/>
          <w:lang w:eastAsia="ko-KR"/>
        </w:rPr>
        <w:t>.</w:t>
      </w:r>
    </w:p>
    <w:p w14:paraId="14DD94A2" w14:textId="0F4B3997" w:rsidR="00C76C31" w:rsidRPr="00C76C31" w:rsidRDefault="00C76C31" w:rsidP="00C76C31">
      <w:pPr>
        <w:pStyle w:val="ListParagraph"/>
        <w:overflowPunct w:val="0"/>
        <w:ind w:left="360"/>
        <w:jc w:val="both"/>
        <w:rPr>
          <w:rFonts w:ascii="Arial" w:hAnsi="Arial" w:cs="Arial"/>
          <w:sz w:val="20"/>
          <w:bdr w:val="none" w:sz="0" w:space="0" w:color="auto" w:frame="1"/>
          <w:lang w:val="en-NZ" w:eastAsia="ko-KR"/>
        </w:rPr>
      </w:pPr>
      <w:r w:rsidRPr="00C76C31">
        <w:rPr>
          <w:rFonts w:ascii="Arial" w:hAnsi="Arial" w:cs="Arial"/>
          <w:sz w:val="20"/>
          <w:bdr w:val="none" w:sz="0" w:space="0" w:color="auto" w:frame="1"/>
          <w:lang w:val="en-NZ" w:eastAsia="ko-KR"/>
        </w:rPr>
        <w:t xml:space="preserve"> </w:t>
      </w:r>
    </w:p>
    <w:p w14:paraId="78961620" w14:textId="4BC5B7EB" w:rsidR="00914395" w:rsidRPr="004E5C88" w:rsidRDefault="00914395" w:rsidP="00914395">
      <w:pPr>
        <w:spacing w:after="120"/>
        <w:jc w:val="both"/>
        <w:rPr>
          <w:b/>
          <w:lang w:val="en-NZ" w:eastAsia="ko-KR"/>
        </w:rPr>
      </w:pPr>
      <w:r w:rsidRPr="004E5C88">
        <w:rPr>
          <w:b/>
          <w:lang w:val="en-NZ" w:eastAsia="ko-KR"/>
        </w:rPr>
        <w:t>7.1.</w:t>
      </w:r>
      <w:r w:rsidR="00C76C31">
        <w:rPr>
          <w:rFonts w:hint="eastAsia"/>
          <w:b/>
          <w:lang w:val="en-NZ" w:eastAsia="ko-KR"/>
        </w:rPr>
        <w:t>5</w:t>
      </w:r>
      <w:r w:rsidRPr="004E5C88">
        <w:rPr>
          <w:b/>
          <w:lang w:val="en-NZ" w:eastAsia="ko-KR"/>
        </w:rPr>
        <w:t xml:space="preserve"> </w:t>
      </w:r>
      <w:r w:rsidRPr="004E5C88">
        <w:rPr>
          <w:b/>
          <w:lang w:val="en-NZ" w:eastAsia="ko-KR"/>
        </w:rPr>
        <w:tab/>
      </w:r>
      <w:r>
        <w:rPr>
          <w:rFonts w:hint="eastAsia"/>
          <w:b/>
          <w:lang w:val="en-NZ" w:eastAsia="ko-KR"/>
        </w:rPr>
        <w:t>RCC</w:t>
      </w:r>
      <w:r w:rsidRPr="00441526">
        <w:t xml:space="preserve"> - </w:t>
      </w:r>
      <w:r w:rsidRPr="004E5C88">
        <w:rPr>
          <w:b/>
          <w:lang w:val="en-NZ" w:eastAsia="ko-KR"/>
        </w:rPr>
        <w:t>Document APG23-2/INF-</w:t>
      </w:r>
      <w:r>
        <w:rPr>
          <w:rFonts w:hint="eastAsia"/>
          <w:b/>
          <w:lang w:val="en-NZ" w:eastAsia="ko-KR"/>
        </w:rPr>
        <w:t>36</w:t>
      </w:r>
    </w:p>
    <w:p w14:paraId="30DBCF73" w14:textId="77777777" w:rsidR="00914395" w:rsidRDefault="00914395" w:rsidP="00914395">
      <w:pPr>
        <w:pStyle w:val="ListParagraph"/>
        <w:numPr>
          <w:ilvl w:val="0"/>
          <w:numId w:val="18"/>
        </w:numPr>
        <w:overflowPunct w:val="0"/>
        <w:jc w:val="both"/>
        <w:rPr>
          <w:lang w:eastAsia="ko-KR"/>
        </w:rPr>
      </w:pPr>
      <w:r w:rsidRPr="00CA5988">
        <w:rPr>
          <w:rFonts w:hint="eastAsia"/>
          <w:lang w:eastAsia="ko-KR"/>
        </w:rPr>
        <w:t>The RCC</w:t>
      </w:r>
      <w:r>
        <w:rPr>
          <w:rFonts w:hint="eastAsia"/>
          <w:lang w:eastAsia="ko-KR"/>
        </w:rPr>
        <w:t xml:space="preserve"> Administrations consider that decision on usage of IMT systems in the frequency bands allocated to the fixed service on the primary basis is subject to:</w:t>
      </w:r>
    </w:p>
    <w:p w14:paraId="7BB23222" w14:textId="77777777" w:rsidR="00914395" w:rsidRDefault="00914395" w:rsidP="00914395">
      <w:pPr>
        <w:pStyle w:val="ListParagraph"/>
        <w:numPr>
          <w:ilvl w:val="0"/>
          <w:numId w:val="26"/>
        </w:numPr>
        <w:overflowPunct w:val="0"/>
        <w:jc w:val="both"/>
        <w:rPr>
          <w:lang w:eastAsia="ko-KR"/>
        </w:rPr>
      </w:pPr>
      <w:r>
        <w:rPr>
          <w:lang w:eastAsia="ko-KR"/>
        </w:rPr>
        <w:t>C</w:t>
      </w:r>
      <w:r>
        <w:rPr>
          <w:rFonts w:hint="eastAsia"/>
          <w:lang w:eastAsia="ko-KR"/>
        </w:rPr>
        <w:t xml:space="preserve">ompliance of such usage to the fixed wireless broadband communication </w:t>
      </w:r>
      <w:r>
        <w:rPr>
          <w:lang w:eastAsia="ko-KR"/>
        </w:rPr>
        <w:t>requirements</w:t>
      </w:r>
      <w:r>
        <w:rPr>
          <w:rFonts w:hint="eastAsia"/>
          <w:lang w:eastAsia="ko-KR"/>
        </w:rPr>
        <w:t>;</w:t>
      </w:r>
    </w:p>
    <w:p w14:paraId="7E3A4DDD" w14:textId="77777777" w:rsidR="00914395" w:rsidRPr="00CA5988" w:rsidRDefault="00914395" w:rsidP="00914395">
      <w:pPr>
        <w:pStyle w:val="ListParagraph"/>
        <w:numPr>
          <w:ilvl w:val="0"/>
          <w:numId w:val="26"/>
        </w:numPr>
        <w:overflowPunct w:val="0"/>
        <w:jc w:val="both"/>
        <w:rPr>
          <w:lang w:eastAsia="ko-KR"/>
        </w:rPr>
      </w:pPr>
      <w:r>
        <w:rPr>
          <w:lang w:eastAsia="ko-KR"/>
        </w:rPr>
        <w:t>P</w:t>
      </w:r>
      <w:r>
        <w:rPr>
          <w:rFonts w:hint="eastAsia"/>
          <w:lang w:eastAsia="ko-KR"/>
        </w:rPr>
        <w:t>rotection of services operating in the same or adjacent frequency bands.</w:t>
      </w:r>
    </w:p>
    <w:p w14:paraId="44B024C7" w14:textId="77777777" w:rsidR="002A0111" w:rsidRDefault="002A0111" w:rsidP="002A0111">
      <w:pPr>
        <w:rPr>
          <w:b/>
          <w:lang w:val="en-NZ" w:eastAsia="ko-KR"/>
        </w:rPr>
      </w:pPr>
    </w:p>
    <w:p w14:paraId="7065264D" w14:textId="77777777" w:rsidR="00303129" w:rsidRPr="00303129" w:rsidRDefault="00303129" w:rsidP="002A0111">
      <w:pPr>
        <w:rPr>
          <w:b/>
          <w:lang w:val="en-NZ" w:eastAsia="ko-KR"/>
        </w:rPr>
      </w:pPr>
    </w:p>
    <w:p w14:paraId="347FB4BE" w14:textId="77777777" w:rsidR="002A0111" w:rsidRPr="00710333" w:rsidRDefault="002A0111" w:rsidP="002A0111">
      <w:pPr>
        <w:jc w:val="center"/>
        <w:rPr>
          <w:snapToGrid w:val="0"/>
          <w:lang w:val="en-NZ"/>
        </w:rPr>
      </w:pPr>
      <w:r w:rsidRPr="00441526">
        <w:rPr>
          <w:lang w:val="en-NZ"/>
        </w:rPr>
        <w:t>____________</w:t>
      </w:r>
    </w:p>
    <w:sectPr w:rsidR="002A0111" w:rsidRPr="00710333" w:rsidSect="00C516C7">
      <w:headerReference w:type="default" r:id="rId17"/>
      <w:footerReference w:type="even" r:id="rId18"/>
      <w:footerReference w:type="default" r:id="rId19"/>
      <w:headerReference w:type="first" r:id="rId20"/>
      <w:footerReference w:type="first" r:id="rId2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A9CF" w14:textId="77777777" w:rsidR="00F21B73" w:rsidRDefault="00F21B73">
      <w:r>
        <w:separator/>
      </w:r>
    </w:p>
  </w:endnote>
  <w:endnote w:type="continuationSeparator" w:id="0">
    <w:p w14:paraId="092CCD62" w14:textId="77777777" w:rsidR="00F21B73" w:rsidRDefault="00F2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E22" w14:textId="77777777" w:rsidR="00A40A60" w:rsidRDefault="00A40A60"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142C3A" w14:textId="77777777" w:rsidR="00A40A60" w:rsidRDefault="00A40A60"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1DD4" w14:textId="307B3D06" w:rsidR="00A40A60" w:rsidRDefault="00A40A60" w:rsidP="0092727B">
    <w:pPr>
      <w:pStyle w:val="Footer"/>
      <w:tabs>
        <w:tab w:val="clear" w:pos="4320"/>
        <w:tab w:val="clear" w:pos="8640"/>
        <w:tab w:val="right" w:pos="9180"/>
      </w:tabs>
      <w:ind w:right="-7"/>
    </w:pPr>
    <w:r>
      <w:rPr>
        <w:rFonts w:hint="eastAsia"/>
        <w:lang w:eastAsia="ko-KR"/>
      </w:rPr>
      <w:t>A</w:t>
    </w:r>
    <w:r>
      <w:rPr>
        <w:lang w:eastAsia="ko-KR"/>
      </w:rPr>
      <w:t>PG23-2/</w:t>
    </w:r>
    <w:r w:rsidR="00A931C4">
      <w:rPr>
        <w:lang w:eastAsia="ko-KR"/>
      </w:rPr>
      <w:t>OUT-10</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115DA5">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115DA5">
      <w:rPr>
        <w:rStyle w:val="PageNumber"/>
        <w:noProof/>
      </w:rPr>
      <w:t>3</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A40A60" w14:paraId="333CF87C" w14:textId="77777777" w:rsidTr="00BB0EA4">
      <w:trPr>
        <w:trHeight w:val="432"/>
      </w:trPr>
      <w:tc>
        <w:tcPr>
          <w:tcW w:w="1296" w:type="dxa"/>
          <w:tcBorders>
            <w:top w:val="single" w:sz="8" w:space="0" w:color="auto"/>
            <w:bottom w:val="nil"/>
            <w:right w:val="nil"/>
          </w:tcBorders>
        </w:tcPr>
        <w:p w14:paraId="7A856690" w14:textId="77777777" w:rsidR="00A40A60" w:rsidRDefault="00A40A60"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6ABC8D3C" w14:textId="7E0E6F9C" w:rsidR="00A40A60" w:rsidRDefault="007E3943" w:rsidP="0092727B">
          <w:pPr>
            <w:pStyle w:val="Footer"/>
            <w:tabs>
              <w:tab w:val="clear" w:pos="4320"/>
              <w:tab w:val="clear" w:pos="8640"/>
            </w:tabs>
          </w:pPr>
          <w:r>
            <w:rPr>
              <w:rFonts w:hint="eastAsia"/>
              <w:lang w:eastAsia="ko-KR"/>
            </w:rPr>
            <w:t xml:space="preserve">Dr. </w:t>
          </w:r>
          <w:r w:rsidR="00A40A60">
            <w:rPr>
              <w:rFonts w:hint="eastAsia"/>
              <w:lang w:eastAsia="ko-KR"/>
            </w:rPr>
            <w:t>Yongseok SEO</w:t>
          </w:r>
        </w:p>
        <w:p w14:paraId="5E83186D" w14:textId="77777777" w:rsidR="00A40A60" w:rsidRPr="002A0111" w:rsidRDefault="00A40A60" w:rsidP="001658D9">
          <w:pPr>
            <w:pStyle w:val="Footer"/>
            <w:tabs>
              <w:tab w:val="clear" w:pos="4320"/>
              <w:tab w:val="clear" w:pos="8640"/>
            </w:tabs>
            <w:rPr>
              <w:lang w:eastAsia="ko-KR"/>
            </w:rPr>
          </w:pPr>
          <w:r>
            <w:t>Chairman, DG AI</w:t>
          </w:r>
          <w:r>
            <w:rPr>
              <w:rFonts w:hint="eastAsia"/>
              <w:lang w:eastAsia="ko-KR"/>
            </w:rPr>
            <w:t>9.</w:t>
          </w:r>
          <w:r>
            <w:t>1</w:t>
          </w:r>
          <w:r>
            <w:rPr>
              <w:rFonts w:hint="eastAsia"/>
              <w:lang w:eastAsia="ko-KR"/>
            </w:rPr>
            <w:t xml:space="preserve"> (Topic c)</w:t>
          </w:r>
        </w:p>
      </w:tc>
      <w:tc>
        <w:tcPr>
          <w:tcW w:w="2880" w:type="dxa"/>
          <w:tcBorders>
            <w:top w:val="single" w:sz="8" w:space="0" w:color="auto"/>
            <w:left w:val="nil"/>
            <w:bottom w:val="nil"/>
          </w:tcBorders>
        </w:tcPr>
        <w:p w14:paraId="664D016F" w14:textId="12CB48D9" w:rsidR="00A40A60" w:rsidRPr="0092727B" w:rsidRDefault="00A40A60" w:rsidP="0092727B">
          <w:pPr>
            <w:pStyle w:val="Footer"/>
            <w:tabs>
              <w:tab w:val="clear" w:pos="4320"/>
              <w:tab w:val="clear" w:pos="8640"/>
            </w:tabs>
            <w:rPr>
              <w:lang w:eastAsia="ko-KR"/>
            </w:rPr>
          </w:pPr>
          <w:r>
            <w:t>E-mail:</w:t>
          </w:r>
          <w:r>
            <w:rPr>
              <w:rFonts w:hint="eastAsia"/>
              <w:lang w:eastAsia="ko-KR"/>
            </w:rPr>
            <w:t xml:space="preserve"> </w:t>
          </w:r>
          <w:hyperlink r:id="rId1" w:history="1">
            <w:r w:rsidR="00197B78" w:rsidRPr="006E724F">
              <w:rPr>
                <w:rStyle w:val="Hyperlink"/>
                <w:rFonts w:hint="eastAsia"/>
                <w:lang w:eastAsia="ko-KR"/>
              </w:rPr>
              <w:t>on1yys@korea.kr</w:t>
            </w:r>
          </w:hyperlink>
          <w:r w:rsidR="00197B78">
            <w:rPr>
              <w:lang w:eastAsia="ko-KR"/>
            </w:rPr>
            <w:t xml:space="preserve"> </w:t>
          </w:r>
        </w:p>
      </w:tc>
    </w:tr>
  </w:tbl>
  <w:p w14:paraId="45157BDF" w14:textId="77777777" w:rsidR="00A40A60" w:rsidRDefault="00A40A60"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B208" w14:textId="77777777" w:rsidR="00F21B73" w:rsidRDefault="00F21B73">
      <w:r>
        <w:separator/>
      </w:r>
    </w:p>
  </w:footnote>
  <w:footnote w:type="continuationSeparator" w:id="0">
    <w:p w14:paraId="260AE200" w14:textId="77777777" w:rsidR="00F21B73" w:rsidRDefault="00F21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A68D" w14:textId="77777777" w:rsidR="00A40A60" w:rsidRDefault="00A40A60" w:rsidP="0092727B">
    <w:pPr>
      <w:pStyle w:val="Header"/>
      <w:tabs>
        <w:tab w:val="clear" w:pos="4320"/>
        <w:tab w:val="clear" w:pos="8640"/>
      </w:tabs>
      <w:rPr>
        <w:lang w:eastAsia="ko-KR"/>
      </w:rPr>
    </w:pPr>
  </w:p>
  <w:p w14:paraId="585561F0" w14:textId="77777777" w:rsidR="00A40A60" w:rsidRDefault="00A40A60"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C814" w14:textId="77777777" w:rsidR="00A40A60" w:rsidRDefault="00A40A60"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2131B"/>
    <w:multiLevelType w:val="hybridMultilevel"/>
    <w:tmpl w:val="41360FB2"/>
    <w:lvl w:ilvl="0" w:tplc="A114EBFA">
      <w:start w:val="1"/>
      <w:numFmt w:val="bullet"/>
      <w:lvlText w:val="-"/>
      <w:lvlJc w:val="left"/>
      <w:pPr>
        <w:ind w:left="800" w:hanging="40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4180EA0"/>
    <w:multiLevelType w:val="hybridMultilevel"/>
    <w:tmpl w:val="8BA837AE"/>
    <w:lvl w:ilvl="0" w:tplc="B816B436">
      <w:start w:val="1"/>
      <w:numFmt w:val="bullet"/>
      <w:lvlText w:val="-"/>
      <w:lvlJc w:val="left"/>
      <w:pPr>
        <w:ind w:left="1120" w:hanging="40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 w15:restartNumberingAfterBreak="0">
    <w:nsid w:val="1B8F069C"/>
    <w:multiLevelType w:val="hybridMultilevel"/>
    <w:tmpl w:val="849A98A2"/>
    <w:lvl w:ilvl="0" w:tplc="04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61C4857"/>
    <w:multiLevelType w:val="hybridMultilevel"/>
    <w:tmpl w:val="10EED13E"/>
    <w:lvl w:ilvl="0" w:tplc="04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 w15:restartNumberingAfterBreak="0">
    <w:nsid w:val="27897D7F"/>
    <w:multiLevelType w:val="hybridMultilevel"/>
    <w:tmpl w:val="E2AEDC26"/>
    <w:lvl w:ilvl="0" w:tplc="722A45E8">
      <w:start w:val="2"/>
      <w:numFmt w:val="bullet"/>
      <w:lvlText w:val="-"/>
      <w:lvlJc w:val="left"/>
      <w:pPr>
        <w:ind w:left="1880" w:hanging="400"/>
      </w:pPr>
      <w:rPr>
        <w:rFonts w:ascii="Times New Roman" w:eastAsia="GulimChe" w:hAnsi="Times New Roman" w:cs="Times New Roman" w:hint="default"/>
      </w:rPr>
    </w:lvl>
    <w:lvl w:ilvl="1" w:tplc="04090003" w:tentative="1">
      <w:start w:val="1"/>
      <w:numFmt w:val="bullet"/>
      <w:lvlText w:val=""/>
      <w:lvlJc w:val="left"/>
      <w:pPr>
        <w:ind w:left="2280" w:hanging="400"/>
      </w:pPr>
      <w:rPr>
        <w:rFonts w:ascii="Wingdings" w:hAnsi="Wingdings" w:hint="default"/>
      </w:rPr>
    </w:lvl>
    <w:lvl w:ilvl="2" w:tplc="04090005" w:tentative="1">
      <w:start w:val="1"/>
      <w:numFmt w:val="bullet"/>
      <w:lvlText w:val=""/>
      <w:lvlJc w:val="left"/>
      <w:pPr>
        <w:ind w:left="2680" w:hanging="400"/>
      </w:pPr>
      <w:rPr>
        <w:rFonts w:ascii="Wingdings" w:hAnsi="Wingdings" w:hint="default"/>
      </w:rPr>
    </w:lvl>
    <w:lvl w:ilvl="3" w:tplc="04090001" w:tentative="1">
      <w:start w:val="1"/>
      <w:numFmt w:val="bullet"/>
      <w:lvlText w:val=""/>
      <w:lvlJc w:val="left"/>
      <w:pPr>
        <w:ind w:left="3080" w:hanging="400"/>
      </w:pPr>
      <w:rPr>
        <w:rFonts w:ascii="Wingdings" w:hAnsi="Wingdings" w:hint="default"/>
      </w:rPr>
    </w:lvl>
    <w:lvl w:ilvl="4" w:tplc="04090003" w:tentative="1">
      <w:start w:val="1"/>
      <w:numFmt w:val="bullet"/>
      <w:lvlText w:val=""/>
      <w:lvlJc w:val="left"/>
      <w:pPr>
        <w:ind w:left="3480" w:hanging="400"/>
      </w:pPr>
      <w:rPr>
        <w:rFonts w:ascii="Wingdings" w:hAnsi="Wingdings" w:hint="default"/>
      </w:rPr>
    </w:lvl>
    <w:lvl w:ilvl="5" w:tplc="04090005" w:tentative="1">
      <w:start w:val="1"/>
      <w:numFmt w:val="bullet"/>
      <w:lvlText w:val=""/>
      <w:lvlJc w:val="left"/>
      <w:pPr>
        <w:ind w:left="3880" w:hanging="400"/>
      </w:pPr>
      <w:rPr>
        <w:rFonts w:ascii="Wingdings" w:hAnsi="Wingdings" w:hint="default"/>
      </w:rPr>
    </w:lvl>
    <w:lvl w:ilvl="6" w:tplc="04090001" w:tentative="1">
      <w:start w:val="1"/>
      <w:numFmt w:val="bullet"/>
      <w:lvlText w:val=""/>
      <w:lvlJc w:val="left"/>
      <w:pPr>
        <w:ind w:left="4280" w:hanging="400"/>
      </w:pPr>
      <w:rPr>
        <w:rFonts w:ascii="Wingdings" w:hAnsi="Wingdings" w:hint="default"/>
      </w:rPr>
    </w:lvl>
    <w:lvl w:ilvl="7" w:tplc="04090003" w:tentative="1">
      <w:start w:val="1"/>
      <w:numFmt w:val="bullet"/>
      <w:lvlText w:val=""/>
      <w:lvlJc w:val="left"/>
      <w:pPr>
        <w:ind w:left="4680" w:hanging="400"/>
      </w:pPr>
      <w:rPr>
        <w:rFonts w:ascii="Wingdings" w:hAnsi="Wingdings" w:hint="default"/>
      </w:rPr>
    </w:lvl>
    <w:lvl w:ilvl="8" w:tplc="04090005" w:tentative="1">
      <w:start w:val="1"/>
      <w:numFmt w:val="bullet"/>
      <w:lvlText w:val=""/>
      <w:lvlJc w:val="left"/>
      <w:pPr>
        <w:ind w:left="5080" w:hanging="400"/>
      </w:pPr>
      <w:rPr>
        <w:rFonts w:ascii="Wingdings" w:hAnsi="Wingdings" w:hint="default"/>
      </w:rPr>
    </w:lvl>
  </w:abstractNum>
  <w:abstractNum w:abstractNumId="11"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BBE1A4D"/>
    <w:multiLevelType w:val="hybridMultilevel"/>
    <w:tmpl w:val="09F2F58C"/>
    <w:lvl w:ilvl="0" w:tplc="A114EBFA">
      <w:start w:val="1"/>
      <w:numFmt w:val="bullet"/>
      <w:lvlText w:val="-"/>
      <w:lvlJc w:val="left"/>
      <w:pPr>
        <w:ind w:left="360" w:hanging="360"/>
      </w:pPr>
      <w:rPr>
        <w:rFonts w:ascii="Malgun Gothic" w:eastAsia="Malgun Gothic" w:hAnsi="Malgun Gothic" w:cstheme="minorBidi" w:hint="eastAsia"/>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14090003">
      <w:start w:val="1"/>
      <w:numFmt w:val="bullet"/>
      <w:lvlText w:val="o"/>
      <w:lvlJc w:val="left"/>
      <w:pPr>
        <w:ind w:left="1600" w:hanging="400"/>
      </w:pPr>
      <w:rPr>
        <w:rFonts w:ascii="Courier New" w:hAnsi="Courier New" w:cs="Courier New"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1E711E"/>
    <w:multiLevelType w:val="multilevel"/>
    <w:tmpl w:val="A000BA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3"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5"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4"/>
  </w:num>
  <w:num w:numId="2">
    <w:abstractNumId w:val="8"/>
  </w:num>
  <w:num w:numId="3">
    <w:abstractNumId w:val="7"/>
  </w:num>
  <w:num w:numId="4">
    <w:abstractNumId w:val="21"/>
  </w:num>
  <w:num w:numId="5">
    <w:abstractNumId w:val="13"/>
  </w:num>
  <w:num w:numId="6">
    <w:abstractNumId w:val="15"/>
  </w:num>
  <w:num w:numId="7">
    <w:abstractNumId w:val="5"/>
  </w:num>
  <w:num w:numId="8">
    <w:abstractNumId w:val="2"/>
  </w:num>
  <w:num w:numId="9">
    <w:abstractNumId w:val="24"/>
  </w:num>
  <w:num w:numId="10">
    <w:abstractNumId w:val="19"/>
  </w:num>
  <w:num w:numId="11">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5"/>
  </w:num>
  <w:num w:numId="17">
    <w:abstractNumId w:val="18"/>
  </w:num>
  <w:num w:numId="18">
    <w:abstractNumId w:val="16"/>
  </w:num>
  <w:num w:numId="19">
    <w:abstractNumId w:val="23"/>
  </w:num>
  <w:num w:numId="20">
    <w:abstractNumId w:val="12"/>
  </w:num>
  <w:num w:numId="21">
    <w:abstractNumId w:val="22"/>
  </w:num>
  <w:num w:numId="22">
    <w:abstractNumId w:val="26"/>
  </w:num>
  <w:num w:numId="23">
    <w:abstractNumId w:val="3"/>
  </w:num>
  <w:num w:numId="24">
    <w:abstractNumId w:val="10"/>
  </w:num>
  <w:num w:numId="25">
    <w:abstractNumId w:val="4"/>
  </w:num>
  <w:num w:numId="26">
    <w:abstractNumId w:val="9"/>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633"/>
    <w:rsid w:val="00010C8E"/>
    <w:rsid w:val="00022D09"/>
    <w:rsid w:val="0003595B"/>
    <w:rsid w:val="00036517"/>
    <w:rsid w:val="00036CC9"/>
    <w:rsid w:val="00040149"/>
    <w:rsid w:val="00070642"/>
    <w:rsid w:val="000713CF"/>
    <w:rsid w:val="00075C14"/>
    <w:rsid w:val="000822B5"/>
    <w:rsid w:val="00094B87"/>
    <w:rsid w:val="000A012B"/>
    <w:rsid w:val="000A5418"/>
    <w:rsid w:val="000D47FB"/>
    <w:rsid w:val="000E7976"/>
    <w:rsid w:val="000F345F"/>
    <w:rsid w:val="000F517C"/>
    <w:rsid w:val="000F5540"/>
    <w:rsid w:val="00105F1A"/>
    <w:rsid w:val="00115DA5"/>
    <w:rsid w:val="00125FBD"/>
    <w:rsid w:val="001409B2"/>
    <w:rsid w:val="00152636"/>
    <w:rsid w:val="001539DD"/>
    <w:rsid w:val="00156782"/>
    <w:rsid w:val="00157307"/>
    <w:rsid w:val="00157991"/>
    <w:rsid w:val="001658D9"/>
    <w:rsid w:val="00165F01"/>
    <w:rsid w:val="001731F4"/>
    <w:rsid w:val="00187864"/>
    <w:rsid w:val="001916F2"/>
    <w:rsid w:val="001930A7"/>
    <w:rsid w:val="00194D9B"/>
    <w:rsid w:val="00196568"/>
    <w:rsid w:val="00197B78"/>
    <w:rsid w:val="00197C18"/>
    <w:rsid w:val="001A2F16"/>
    <w:rsid w:val="001A4504"/>
    <w:rsid w:val="001B1804"/>
    <w:rsid w:val="001B18C2"/>
    <w:rsid w:val="001C443F"/>
    <w:rsid w:val="001C61A5"/>
    <w:rsid w:val="001C6707"/>
    <w:rsid w:val="001D5D7E"/>
    <w:rsid w:val="001F5947"/>
    <w:rsid w:val="00202410"/>
    <w:rsid w:val="00214A0C"/>
    <w:rsid w:val="0021588B"/>
    <w:rsid w:val="002161B6"/>
    <w:rsid w:val="002216AC"/>
    <w:rsid w:val="00227485"/>
    <w:rsid w:val="0023212E"/>
    <w:rsid w:val="002475E2"/>
    <w:rsid w:val="002506D2"/>
    <w:rsid w:val="00250DE2"/>
    <w:rsid w:val="002547B2"/>
    <w:rsid w:val="00254A1B"/>
    <w:rsid w:val="0026064A"/>
    <w:rsid w:val="00264566"/>
    <w:rsid w:val="0028249F"/>
    <w:rsid w:val="0028454D"/>
    <w:rsid w:val="00291C9E"/>
    <w:rsid w:val="002926D4"/>
    <w:rsid w:val="0029734E"/>
    <w:rsid w:val="002A0111"/>
    <w:rsid w:val="002A3CF5"/>
    <w:rsid w:val="002B06A3"/>
    <w:rsid w:val="002B435C"/>
    <w:rsid w:val="002B447F"/>
    <w:rsid w:val="002C07DA"/>
    <w:rsid w:val="002C2A49"/>
    <w:rsid w:val="002C7EA9"/>
    <w:rsid w:val="002D3ECE"/>
    <w:rsid w:val="002F575D"/>
    <w:rsid w:val="00303129"/>
    <w:rsid w:val="003113D7"/>
    <w:rsid w:val="00311E8A"/>
    <w:rsid w:val="00342F20"/>
    <w:rsid w:val="00360377"/>
    <w:rsid w:val="00366548"/>
    <w:rsid w:val="0038005B"/>
    <w:rsid w:val="003809C7"/>
    <w:rsid w:val="0038236C"/>
    <w:rsid w:val="00392B5F"/>
    <w:rsid w:val="00393DCD"/>
    <w:rsid w:val="00395B40"/>
    <w:rsid w:val="003A2006"/>
    <w:rsid w:val="003A6568"/>
    <w:rsid w:val="003B1CFC"/>
    <w:rsid w:val="003B4FD1"/>
    <w:rsid w:val="003B6263"/>
    <w:rsid w:val="003C29E6"/>
    <w:rsid w:val="003C5C3B"/>
    <w:rsid w:val="003C64A7"/>
    <w:rsid w:val="003D1128"/>
    <w:rsid w:val="003D1671"/>
    <w:rsid w:val="003D3D47"/>
    <w:rsid w:val="003D3FDA"/>
    <w:rsid w:val="003D6D00"/>
    <w:rsid w:val="003E166F"/>
    <w:rsid w:val="003F186A"/>
    <w:rsid w:val="003F307E"/>
    <w:rsid w:val="004001E5"/>
    <w:rsid w:val="0041313C"/>
    <w:rsid w:val="00420822"/>
    <w:rsid w:val="00420C74"/>
    <w:rsid w:val="00441526"/>
    <w:rsid w:val="004465AA"/>
    <w:rsid w:val="00446A5E"/>
    <w:rsid w:val="0045458F"/>
    <w:rsid w:val="004624CA"/>
    <w:rsid w:val="004633B4"/>
    <w:rsid w:val="00484BFB"/>
    <w:rsid w:val="00495CED"/>
    <w:rsid w:val="004A2F96"/>
    <w:rsid w:val="004A4BDF"/>
    <w:rsid w:val="004B3553"/>
    <w:rsid w:val="004B3F4B"/>
    <w:rsid w:val="004C750A"/>
    <w:rsid w:val="004E1FCA"/>
    <w:rsid w:val="004E47D6"/>
    <w:rsid w:val="00503189"/>
    <w:rsid w:val="00511992"/>
    <w:rsid w:val="00516BD1"/>
    <w:rsid w:val="005206E9"/>
    <w:rsid w:val="00526D01"/>
    <w:rsid w:val="00530E8C"/>
    <w:rsid w:val="00535D34"/>
    <w:rsid w:val="00537166"/>
    <w:rsid w:val="00545933"/>
    <w:rsid w:val="00552105"/>
    <w:rsid w:val="005562F2"/>
    <w:rsid w:val="00557544"/>
    <w:rsid w:val="0056169D"/>
    <w:rsid w:val="00565BBB"/>
    <w:rsid w:val="00571B26"/>
    <w:rsid w:val="00585F3C"/>
    <w:rsid w:val="00586CA0"/>
    <w:rsid w:val="00587875"/>
    <w:rsid w:val="005A63EB"/>
    <w:rsid w:val="005B0876"/>
    <w:rsid w:val="005B144F"/>
    <w:rsid w:val="005C33B6"/>
    <w:rsid w:val="005D6202"/>
    <w:rsid w:val="005D6E98"/>
    <w:rsid w:val="005E1D94"/>
    <w:rsid w:val="00607E2B"/>
    <w:rsid w:val="006139D6"/>
    <w:rsid w:val="00614E8A"/>
    <w:rsid w:val="00616D1B"/>
    <w:rsid w:val="00623CE1"/>
    <w:rsid w:val="00624DCF"/>
    <w:rsid w:val="00627880"/>
    <w:rsid w:val="0063062B"/>
    <w:rsid w:val="00634A82"/>
    <w:rsid w:val="00637351"/>
    <w:rsid w:val="00646166"/>
    <w:rsid w:val="00652BDD"/>
    <w:rsid w:val="00654896"/>
    <w:rsid w:val="006621F0"/>
    <w:rsid w:val="006647BA"/>
    <w:rsid w:val="00667229"/>
    <w:rsid w:val="00682BE5"/>
    <w:rsid w:val="00683846"/>
    <w:rsid w:val="00690FED"/>
    <w:rsid w:val="006939A5"/>
    <w:rsid w:val="0069622C"/>
    <w:rsid w:val="006B09DB"/>
    <w:rsid w:val="006D4344"/>
    <w:rsid w:val="006D5223"/>
    <w:rsid w:val="006D5970"/>
    <w:rsid w:val="006E12FC"/>
    <w:rsid w:val="006E2745"/>
    <w:rsid w:val="006F0F24"/>
    <w:rsid w:val="006F2B2E"/>
    <w:rsid w:val="006F6A5C"/>
    <w:rsid w:val="00703F6F"/>
    <w:rsid w:val="007043A3"/>
    <w:rsid w:val="007052B3"/>
    <w:rsid w:val="00705962"/>
    <w:rsid w:val="00707C21"/>
    <w:rsid w:val="00712451"/>
    <w:rsid w:val="00717DE9"/>
    <w:rsid w:val="0072518B"/>
    <w:rsid w:val="00731041"/>
    <w:rsid w:val="00731CED"/>
    <w:rsid w:val="007329E4"/>
    <w:rsid w:val="00732F08"/>
    <w:rsid w:val="007342F0"/>
    <w:rsid w:val="0074164F"/>
    <w:rsid w:val="0074190C"/>
    <w:rsid w:val="0075493D"/>
    <w:rsid w:val="00762576"/>
    <w:rsid w:val="007673CA"/>
    <w:rsid w:val="00772CEF"/>
    <w:rsid w:val="007805DF"/>
    <w:rsid w:val="00781859"/>
    <w:rsid w:val="00791060"/>
    <w:rsid w:val="007926EA"/>
    <w:rsid w:val="00792BD3"/>
    <w:rsid w:val="007932E5"/>
    <w:rsid w:val="007B5626"/>
    <w:rsid w:val="007B6124"/>
    <w:rsid w:val="007C30F9"/>
    <w:rsid w:val="007D3C53"/>
    <w:rsid w:val="007E0EBF"/>
    <w:rsid w:val="007E3943"/>
    <w:rsid w:val="007E3A0F"/>
    <w:rsid w:val="007E5AD6"/>
    <w:rsid w:val="007F0AE6"/>
    <w:rsid w:val="007F2628"/>
    <w:rsid w:val="007F2FBA"/>
    <w:rsid w:val="00800C3A"/>
    <w:rsid w:val="0080570B"/>
    <w:rsid w:val="008148E1"/>
    <w:rsid w:val="00822B33"/>
    <w:rsid w:val="008304C1"/>
    <w:rsid w:val="008319BF"/>
    <w:rsid w:val="008415F0"/>
    <w:rsid w:val="008433C2"/>
    <w:rsid w:val="00844457"/>
    <w:rsid w:val="008454C8"/>
    <w:rsid w:val="00851D78"/>
    <w:rsid w:val="0087122A"/>
    <w:rsid w:val="00881502"/>
    <w:rsid w:val="008A016F"/>
    <w:rsid w:val="008A1A0D"/>
    <w:rsid w:val="008A72E1"/>
    <w:rsid w:val="008A76ED"/>
    <w:rsid w:val="008B3C72"/>
    <w:rsid w:val="008C5FED"/>
    <w:rsid w:val="008D0E09"/>
    <w:rsid w:val="00903007"/>
    <w:rsid w:val="00911929"/>
    <w:rsid w:val="00914395"/>
    <w:rsid w:val="00923816"/>
    <w:rsid w:val="0092727B"/>
    <w:rsid w:val="0093074B"/>
    <w:rsid w:val="00930E64"/>
    <w:rsid w:val="00943CF9"/>
    <w:rsid w:val="00956F8C"/>
    <w:rsid w:val="00961D57"/>
    <w:rsid w:val="0096448A"/>
    <w:rsid w:val="00976716"/>
    <w:rsid w:val="0097693B"/>
    <w:rsid w:val="00993355"/>
    <w:rsid w:val="009933A1"/>
    <w:rsid w:val="009963F7"/>
    <w:rsid w:val="009A11CB"/>
    <w:rsid w:val="009A4A6D"/>
    <w:rsid w:val="009B44DD"/>
    <w:rsid w:val="009B7E42"/>
    <w:rsid w:val="009C7235"/>
    <w:rsid w:val="009D46CE"/>
    <w:rsid w:val="009D4ADA"/>
    <w:rsid w:val="009E13DD"/>
    <w:rsid w:val="009F547A"/>
    <w:rsid w:val="009F73D7"/>
    <w:rsid w:val="00A03D78"/>
    <w:rsid w:val="00A0503B"/>
    <w:rsid w:val="00A059CD"/>
    <w:rsid w:val="00A11644"/>
    <w:rsid w:val="00A13265"/>
    <w:rsid w:val="00A14900"/>
    <w:rsid w:val="00A2159F"/>
    <w:rsid w:val="00A215B0"/>
    <w:rsid w:val="00A23C16"/>
    <w:rsid w:val="00A324FF"/>
    <w:rsid w:val="00A40A60"/>
    <w:rsid w:val="00A47E40"/>
    <w:rsid w:val="00A529BC"/>
    <w:rsid w:val="00A5346C"/>
    <w:rsid w:val="00A53F51"/>
    <w:rsid w:val="00A562F0"/>
    <w:rsid w:val="00A564FB"/>
    <w:rsid w:val="00A614C1"/>
    <w:rsid w:val="00A61EA6"/>
    <w:rsid w:val="00A657BF"/>
    <w:rsid w:val="00A71136"/>
    <w:rsid w:val="00A7180A"/>
    <w:rsid w:val="00A92578"/>
    <w:rsid w:val="00A931C4"/>
    <w:rsid w:val="00AA039F"/>
    <w:rsid w:val="00AA1985"/>
    <w:rsid w:val="00AA474C"/>
    <w:rsid w:val="00AC35EF"/>
    <w:rsid w:val="00AC4D5B"/>
    <w:rsid w:val="00AD1DDB"/>
    <w:rsid w:val="00AD2697"/>
    <w:rsid w:val="00AD7E5F"/>
    <w:rsid w:val="00AE0707"/>
    <w:rsid w:val="00AE3066"/>
    <w:rsid w:val="00AF68E4"/>
    <w:rsid w:val="00B00A87"/>
    <w:rsid w:val="00B01AA1"/>
    <w:rsid w:val="00B06025"/>
    <w:rsid w:val="00B30C81"/>
    <w:rsid w:val="00B30DA1"/>
    <w:rsid w:val="00B34696"/>
    <w:rsid w:val="00B431BA"/>
    <w:rsid w:val="00B4793B"/>
    <w:rsid w:val="00B56099"/>
    <w:rsid w:val="00B64A60"/>
    <w:rsid w:val="00B661AC"/>
    <w:rsid w:val="00B8468D"/>
    <w:rsid w:val="00B937D7"/>
    <w:rsid w:val="00B96B67"/>
    <w:rsid w:val="00BB0EA4"/>
    <w:rsid w:val="00BC57EF"/>
    <w:rsid w:val="00BC69DB"/>
    <w:rsid w:val="00BE6B6B"/>
    <w:rsid w:val="00BF25F9"/>
    <w:rsid w:val="00C00B04"/>
    <w:rsid w:val="00C13FD5"/>
    <w:rsid w:val="00C15633"/>
    <w:rsid w:val="00C15799"/>
    <w:rsid w:val="00C32E84"/>
    <w:rsid w:val="00C35415"/>
    <w:rsid w:val="00C357AD"/>
    <w:rsid w:val="00C516C7"/>
    <w:rsid w:val="00C51C5F"/>
    <w:rsid w:val="00C554CC"/>
    <w:rsid w:val="00C6069C"/>
    <w:rsid w:val="00C70477"/>
    <w:rsid w:val="00C72AD4"/>
    <w:rsid w:val="00C74745"/>
    <w:rsid w:val="00C76C31"/>
    <w:rsid w:val="00C85119"/>
    <w:rsid w:val="00C86B8E"/>
    <w:rsid w:val="00C95C48"/>
    <w:rsid w:val="00CA41E7"/>
    <w:rsid w:val="00CB7A50"/>
    <w:rsid w:val="00CD170C"/>
    <w:rsid w:val="00CD320B"/>
    <w:rsid w:val="00CD3F37"/>
    <w:rsid w:val="00CD5431"/>
    <w:rsid w:val="00CE2815"/>
    <w:rsid w:val="00CE4B93"/>
    <w:rsid w:val="00CF2491"/>
    <w:rsid w:val="00CF3963"/>
    <w:rsid w:val="00D00880"/>
    <w:rsid w:val="00D101D1"/>
    <w:rsid w:val="00D1252E"/>
    <w:rsid w:val="00D13D9D"/>
    <w:rsid w:val="00D14AFE"/>
    <w:rsid w:val="00D416A3"/>
    <w:rsid w:val="00D459A2"/>
    <w:rsid w:val="00D530FF"/>
    <w:rsid w:val="00D53688"/>
    <w:rsid w:val="00D5407A"/>
    <w:rsid w:val="00D57772"/>
    <w:rsid w:val="00D72AE3"/>
    <w:rsid w:val="00D75A4D"/>
    <w:rsid w:val="00D76B7A"/>
    <w:rsid w:val="00D8478B"/>
    <w:rsid w:val="00D86151"/>
    <w:rsid w:val="00D9172D"/>
    <w:rsid w:val="00D97E84"/>
    <w:rsid w:val="00DA205B"/>
    <w:rsid w:val="00DA5641"/>
    <w:rsid w:val="00DA7595"/>
    <w:rsid w:val="00DB0A68"/>
    <w:rsid w:val="00DC43A3"/>
    <w:rsid w:val="00DC4CF3"/>
    <w:rsid w:val="00DC5C01"/>
    <w:rsid w:val="00DD7C09"/>
    <w:rsid w:val="00DF0EB4"/>
    <w:rsid w:val="00DF111E"/>
    <w:rsid w:val="00E0124F"/>
    <w:rsid w:val="00E5762A"/>
    <w:rsid w:val="00E6285E"/>
    <w:rsid w:val="00E674D3"/>
    <w:rsid w:val="00E708C3"/>
    <w:rsid w:val="00E70FD0"/>
    <w:rsid w:val="00E72B2C"/>
    <w:rsid w:val="00E7309D"/>
    <w:rsid w:val="00E77C4B"/>
    <w:rsid w:val="00E83945"/>
    <w:rsid w:val="00E9301F"/>
    <w:rsid w:val="00E9690A"/>
    <w:rsid w:val="00E97DC7"/>
    <w:rsid w:val="00EB3D6D"/>
    <w:rsid w:val="00EC75CF"/>
    <w:rsid w:val="00F000EF"/>
    <w:rsid w:val="00F012B6"/>
    <w:rsid w:val="00F21B73"/>
    <w:rsid w:val="00F2504E"/>
    <w:rsid w:val="00F2585B"/>
    <w:rsid w:val="00F4053F"/>
    <w:rsid w:val="00F516E7"/>
    <w:rsid w:val="00F57BF7"/>
    <w:rsid w:val="00F6263E"/>
    <w:rsid w:val="00F627C2"/>
    <w:rsid w:val="00F736FD"/>
    <w:rsid w:val="00F84067"/>
    <w:rsid w:val="00F90BD8"/>
    <w:rsid w:val="00FA4B3F"/>
    <w:rsid w:val="00FA50B4"/>
    <w:rsid w:val="00FB1BF4"/>
    <w:rsid w:val="00FB6E83"/>
    <w:rsid w:val="00FC156A"/>
    <w:rsid w:val="00FD6235"/>
    <w:rsid w:val="00FE13D1"/>
    <w:rsid w:val="00FE3454"/>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B117C7"/>
  <w15:docId w15:val="{A9DF813F-66BA-4AC0-95E8-476364E4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link w:val="ListParagraph"/>
    <w:uiPriority w:val="34"/>
    <w:locked/>
    <w:rsid w:val="0056169D"/>
    <w:rPr>
      <w:rFonts w:eastAsia="BatangChe"/>
      <w:sz w:val="24"/>
      <w:szCs w:val="24"/>
    </w:rPr>
  </w:style>
  <w:style w:type="character" w:styleId="UnresolvedMention">
    <w:name w:val="Unresolved Mention"/>
    <w:basedOn w:val="DefaultParagraphFont"/>
    <w:uiPriority w:val="99"/>
    <w:semiHidden/>
    <w:unhideWhenUsed/>
    <w:rsid w:val="00197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50980;&#49688;&#44540;\AppData\Local\Microsoft\Windows\INetCache\IE\NQBMCMRD\INF%20doc\apt-14042021-094439\APG23-2-INF-07_Briefing_on_AI_9.1.C.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50980;&#49688;&#44540;\AppData\Local\Microsoft\Windows\INetCache\IE\NQBMCMRD\Input%20doc\apt-14042021-084823\APG23-2-INP-38_Topic_9.1.c_SNG_NZ.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50980;&#49688;&#44540;\Desktop\&#50629;&#47924;\21&#45380;&#46020;\2.%20&#44397;&#51228;&#54924;&#51032;\APG\APG23-2%20&#54924;&#51032;%20&#51456;&#48708;\INF%20doc\apt-14042021-094439\APG23-2-INF-36_RCC_Preparation_to_the_World_Radio_Conference_and_Radio_Assembly_2023.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50980;&#49688;&#44540;\AppData\Local\Microsoft\Windows\INetCache\IE\NQBMCMRD\Input%20doc\apt-14042021-084823\APG23-2-INP-30_WP1_kor.docx" TargetMode="External"/><Relationship Id="rId5" Type="http://schemas.openxmlformats.org/officeDocument/2006/relationships/webSettings" Target="webSettings.xml"/><Relationship Id="rId15" Type="http://schemas.openxmlformats.org/officeDocument/2006/relationships/hyperlink" Target="file:///C:\Users\&#50980;&#49688;&#44540;\Desktop\&#50629;&#47924;\21&#45380;&#46020;\2.%20&#44397;&#51228;&#54924;&#51032;\APG\APG23-2%20&#54924;&#51032;%20&#51456;&#48708;\INF%20doc\apt-14042021-094439\APG23-2-INF-35_Status_of_CEPT_Preparation_for_WRC-23_and_RA-23.docx" TargetMode="External"/><Relationship Id="rId23" Type="http://schemas.openxmlformats.org/officeDocument/2006/relationships/theme" Target="theme/theme1.xml"/><Relationship Id="rId10" Type="http://schemas.openxmlformats.org/officeDocument/2006/relationships/hyperlink" Target="file:///C:\Users\&#50980;&#49688;&#44540;\AppData\Local\Microsoft\Windows\INetCache\IE\NQBMCMRD\Input%20doc\apt-14042021-084823\APG23-2-INP-24_AUS_contribution_for_WP1_Preliminary_Views_on_WRC-23_Agenda_Items_1.1_1.2_1.3_1.4_1.5_9.1Topic_c_and_No._21.5.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50980;&#49688;&#44540;\AppData\Local\Microsoft\Windows\INetCache\IE\NQBMCMRD\Input%20doc\apt-14042021-084823\APG23-2-INP-18_Contibution_AI_1.1__9.1c_-_Final.docx" TargetMode="External"/><Relationship Id="rId14" Type="http://schemas.openxmlformats.org/officeDocument/2006/relationships/hyperlink" Target="file:///C:\Users\&#50980;&#49688;&#44540;\AppData\Local\Microsoft\Windows\INetCache\IE\NQBMCMRD\INF%20doc\apt-14042021-094439\APG23-2-INF-25_ASMG.docx"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on1yys@korea.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E7E56-49A8-4E6D-9603-3FC8E3C8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1186</Words>
  <Characters>6761</Characters>
  <Application>Microsoft Office Word</Application>
  <DocSecurity>0</DocSecurity>
  <Lines>56</Lines>
  <Paragraphs>15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Tawhid Hussain</cp:lastModifiedBy>
  <cp:revision>10</cp:revision>
  <cp:lastPrinted>2015-02-02T07:28:00Z</cp:lastPrinted>
  <dcterms:created xsi:type="dcterms:W3CDTF">2021-04-22T11:36:00Z</dcterms:created>
  <dcterms:modified xsi:type="dcterms:W3CDTF">2021-04-23T05:05:00Z</dcterms:modified>
</cp:coreProperties>
</file>