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2BD625F1" w14:textId="77777777" w:rsidTr="00194A2D">
        <w:trPr>
          <w:cantSplit/>
          <w:trHeight w:val="288"/>
        </w:trPr>
        <w:tc>
          <w:tcPr>
            <w:tcW w:w="1399" w:type="dxa"/>
            <w:vMerge w:val="restart"/>
          </w:tcPr>
          <w:p w14:paraId="7AFC763A"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CAC0CE6" wp14:editId="2F77B2B7">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2509531" w14:textId="77777777" w:rsidR="00C516C7" w:rsidRPr="00E86131" w:rsidRDefault="00C516C7" w:rsidP="00194A2D">
            <w:r w:rsidRPr="00E86131">
              <w:t>ASIA-PACIFIC TELECOMMUNITY</w:t>
            </w:r>
          </w:p>
        </w:tc>
        <w:tc>
          <w:tcPr>
            <w:tcW w:w="2160" w:type="dxa"/>
          </w:tcPr>
          <w:p w14:paraId="28785809" w14:textId="77777777" w:rsidR="00C516C7" w:rsidRPr="00723BE9" w:rsidRDefault="00C516C7" w:rsidP="00194A2D">
            <w:pPr>
              <w:rPr>
                <w:b/>
                <w:sz w:val="22"/>
                <w:szCs w:val="22"/>
              </w:rPr>
            </w:pPr>
            <w:r w:rsidRPr="00723BE9">
              <w:rPr>
                <w:b/>
              </w:rPr>
              <w:t>Document No:</w:t>
            </w:r>
          </w:p>
        </w:tc>
      </w:tr>
      <w:tr w:rsidR="00C516C7" w:rsidRPr="00C15799" w14:paraId="7FBDF30F" w14:textId="77777777" w:rsidTr="00194A2D">
        <w:trPr>
          <w:cantSplit/>
          <w:trHeight w:val="504"/>
        </w:trPr>
        <w:tc>
          <w:tcPr>
            <w:tcW w:w="1399" w:type="dxa"/>
            <w:vMerge/>
          </w:tcPr>
          <w:p w14:paraId="517A4BC4" w14:textId="77777777" w:rsidR="00C516C7" w:rsidRPr="00891D0B" w:rsidRDefault="00C516C7" w:rsidP="00194A2D"/>
        </w:tc>
        <w:tc>
          <w:tcPr>
            <w:tcW w:w="5760" w:type="dxa"/>
          </w:tcPr>
          <w:p w14:paraId="5BB98767"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778C5527"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5DABB818" w14:textId="0778A56D" w:rsidR="00C516C7" w:rsidRDefault="00C516C7" w:rsidP="00194A2D">
            <w:pPr>
              <w:rPr>
                <w:b/>
                <w:bCs/>
                <w:lang w:val="fr-FR"/>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764F52">
              <w:rPr>
                <w:b/>
                <w:bCs/>
                <w:lang w:val="fr-FR"/>
              </w:rPr>
              <w:t>OUT-15</w:t>
            </w:r>
          </w:p>
          <w:p w14:paraId="1FC26589" w14:textId="77777777" w:rsidR="00C516C7" w:rsidRDefault="00C516C7" w:rsidP="00194A2D">
            <w:pPr>
              <w:spacing w:line="0" w:lineRule="atLeast"/>
              <w:rPr>
                <w:b/>
              </w:rPr>
            </w:pPr>
          </w:p>
        </w:tc>
      </w:tr>
      <w:tr w:rsidR="00C516C7" w:rsidRPr="00891D0B" w14:paraId="2D427F9A" w14:textId="77777777" w:rsidTr="00194A2D">
        <w:trPr>
          <w:cantSplit/>
          <w:trHeight w:val="288"/>
        </w:trPr>
        <w:tc>
          <w:tcPr>
            <w:tcW w:w="1399" w:type="dxa"/>
            <w:vMerge/>
          </w:tcPr>
          <w:p w14:paraId="352292CA" w14:textId="77777777" w:rsidR="00C516C7" w:rsidRPr="007E1FDD" w:rsidRDefault="00C516C7" w:rsidP="00194A2D">
            <w:pPr>
              <w:rPr>
                <w:lang w:val="en-GB"/>
              </w:rPr>
            </w:pPr>
          </w:p>
        </w:tc>
        <w:tc>
          <w:tcPr>
            <w:tcW w:w="5760" w:type="dxa"/>
            <w:vAlign w:val="bottom"/>
          </w:tcPr>
          <w:p w14:paraId="0A663178"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0D847328" w14:textId="72ED6814" w:rsidR="00C516C7" w:rsidRDefault="00764F52" w:rsidP="00BE6969">
            <w:r>
              <w:rPr>
                <w:bCs/>
              </w:rPr>
              <w:t>23</w:t>
            </w:r>
            <w:r w:rsidRPr="007E1FDD">
              <w:rPr>
                <w:bCs/>
              </w:rPr>
              <w:t xml:space="preserve"> </w:t>
            </w:r>
            <w:r w:rsidR="007F0AE6">
              <w:rPr>
                <w:bCs/>
              </w:rPr>
              <w:t xml:space="preserve">April </w:t>
            </w:r>
            <w:r w:rsidR="00C516C7" w:rsidRPr="007E1FDD">
              <w:rPr>
                <w:bCs/>
              </w:rPr>
              <w:t>20</w:t>
            </w:r>
            <w:r w:rsidR="007F0AE6">
              <w:rPr>
                <w:bCs/>
              </w:rPr>
              <w:t>21</w:t>
            </w:r>
          </w:p>
        </w:tc>
      </w:tr>
    </w:tbl>
    <w:p w14:paraId="6B260804" w14:textId="77777777" w:rsidR="00311E8A" w:rsidRDefault="00311E8A" w:rsidP="0072518B">
      <w:pPr>
        <w:jc w:val="center"/>
        <w:rPr>
          <w:lang w:val="en-NZ"/>
        </w:rPr>
      </w:pPr>
    </w:p>
    <w:p w14:paraId="2D0E6FD3" w14:textId="2217A81A" w:rsidR="00B64A60" w:rsidRPr="002A0111" w:rsidRDefault="00764F52" w:rsidP="00B64A60">
      <w:pPr>
        <w:jc w:val="center"/>
        <w:rPr>
          <w:lang w:val="en-NZ" w:eastAsia="ko-KR"/>
        </w:rPr>
      </w:pPr>
      <w:r>
        <w:rPr>
          <w:lang w:val="en-NZ" w:eastAsia="ko-KR"/>
        </w:rPr>
        <w:t>Working Party 2</w:t>
      </w:r>
    </w:p>
    <w:p w14:paraId="1DE4BA8F" w14:textId="77777777" w:rsidR="00B64A60" w:rsidRPr="002A0111" w:rsidRDefault="00B64A60" w:rsidP="00B64A60">
      <w:pPr>
        <w:jc w:val="center"/>
        <w:rPr>
          <w:bCs/>
          <w:caps/>
          <w:lang w:val="en-NZ"/>
        </w:rPr>
      </w:pPr>
    </w:p>
    <w:p w14:paraId="6AD5CFAC" w14:textId="73DC293B"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8A1C0A">
        <w:rPr>
          <w:b/>
          <w:bCs/>
          <w:caps/>
          <w:lang w:val="en-NZ"/>
        </w:rPr>
        <w:t>8</w:t>
      </w:r>
    </w:p>
    <w:p w14:paraId="278CDD84" w14:textId="77777777" w:rsidR="00B64A60" w:rsidRPr="00441526" w:rsidRDefault="00B64A60" w:rsidP="00264566">
      <w:pPr>
        <w:spacing w:after="120"/>
        <w:rPr>
          <w:lang w:val="en-NZ"/>
        </w:rPr>
      </w:pPr>
    </w:p>
    <w:p w14:paraId="6D986D61" w14:textId="77777777" w:rsidR="001570BC" w:rsidRPr="008A089A" w:rsidRDefault="001570BC" w:rsidP="001570BC">
      <w:pPr>
        <w:spacing w:after="120"/>
        <w:jc w:val="both"/>
        <w:rPr>
          <w:lang w:val="en-NZ"/>
        </w:rPr>
      </w:pPr>
      <w:r w:rsidRPr="008A089A">
        <w:rPr>
          <w:b/>
          <w:lang w:val="en-NZ"/>
        </w:rPr>
        <w:t xml:space="preserve">Agenda Item 1.8 </w:t>
      </w:r>
    </w:p>
    <w:p w14:paraId="0BA9169B" w14:textId="77777777" w:rsidR="001570BC" w:rsidRDefault="001570BC" w:rsidP="001570BC">
      <w:pPr>
        <w:spacing w:after="120"/>
        <w:jc w:val="both"/>
        <w:rPr>
          <w:b/>
          <w:highlight w:val="yellow"/>
          <w:lang w:val="en-NZ"/>
        </w:rPr>
      </w:pPr>
      <w:r w:rsidRPr="006D72A6">
        <w:rPr>
          <w:i/>
        </w:rPr>
        <w:t xml:space="preserve">to consider, on the basis of ITU R studies in accordance with Resolution </w:t>
      </w:r>
      <w:r w:rsidRPr="004C4270">
        <w:rPr>
          <w:b/>
          <w:bCs/>
          <w:i/>
        </w:rPr>
        <w:t>171 (WRC-19)</w:t>
      </w:r>
      <w:r w:rsidRPr="006D72A6">
        <w:rPr>
          <w:i/>
        </w:rPr>
        <w:t xml:space="preserve">, appropriate regulatory actions, with a view to reviewing and, if necessary, revising Resolution </w:t>
      </w:r>
      <w:r w:rsidRPr="004C4270">
        <w:rPr>
          <w:b/>
          <w:bCs/>
          <w:i/>
        </w:rPr>
        <w:t xml:space="preserve">155 (Rev.WRC-19) </w:t>
      </w:r>
      <w:r w:rsidRPr="006D72A6">
        <w:rPr>
          <w:i/>
        </w:rPr>
        <w:t xml:space="preserve">and No. </w:t>
      </w:r>
      <w:r w:rsidRPr="004C4270">
        <w:rPr>
          <w:b/>
          <w:bCs/>
          <w:i/>
        </w:rPr>
        <w:t>5.484B</w:t>
      </w:r>
      <w:r w:rsidRPr="006D72A6">
        <w:rPr>
          <w:i/>
        </w:rPr>
        <w:t xml:space="preserve"> to accommodate the use of fixed-satellite service (FSS) networks by control and non-payload communications of unmanned aircraft </w:t>
      </w:r>
      <w:proofErr w:type="gramStart"/>
      <w:r w:rsidRPr="006D72A6">
        <w:rPr>
          <w:i/>
        </w:rPr>
        <w:t>systems;</w:t>
      </w:r>
      <w:proofErr w:type="gramEnd"/>
    </w:p>
    <w:p w14:paraId="77F1F4D8" w14:textId="77777777" w:rsidR="00626D9A" w:rsidRPr="00441526" w:rsidRDefault="00626D9A" w:rsidP="002A0111">
      <w:pPr>
        <w:jc w:val="both"/>
        <w:rPr>
          <w:lang w:val="en-NZ"/>
        </w:rPr>
      </w:pPr>
    </w:p>
    <w:p w14:paraId="184AEF7E" w14:textId="77777777" w:rsidR="002A0111" w:rsidRPr="00626D9A" w:rsidRDefault="002A0111" w:rsidP="00626D9A">
      <w:pPr>
        <w:spacing w:after="120"/>
        <w:jc w:val="both"/>
        <w:rPr>
          <w:b/>
          <w:lang w:val="en-NZ" w:eastAsia="ko-KR"/>
        </w:rPr>
      </w:pPr>
      <w:r w:rsidRPr="00441526">
        <w:rPr>
          <w:b/>
          <w:lang w:val="en-NZ" w:eastAsia="ko-KR"/>
        </w:rPr>
        <w:t xml:space="preserve">1. </w:t>
      </w:r>
      <w:r w:rsidRPr="00441526">
        <w:rPr>
          <w:b/>
          <w:lang w:val="en-NZ" w:eastAsia="ko-KR"/>
        </w:rPr>
        <w:tab/>
        <w:t>Background</w:t>
      </w:r>
    </w:p>
    <w:p w14:paraId="44253F14" w14:textId="77777777" w:rsidR="001570BC" w:rsidRDefault="001570BC" w:rsidP="001570BC">
      <w:pPr>
        <w:spacing w:before="120"/>
        <w:jc w:val="both"/>
      </w:pPr>
      <w:r>
        <w:t>WRC-23</w:t>
      </w:r>
      <w:r w:rsidRPr="00ED27B3">
        <w:t xml:space="preserve"> is to review and undertake a potential revision of Resolution </w:t>
      </w:r>
      <w:r w:rsidRPr="00ED27B3">
        <w:rPr>
          <w:b/>
        </w:rPr>
        <w:t>155 (Rev.WRC 19)</w:t>
      </w:r>
      <w:r w:rsidRPr="00ED27B3">
        <w:t xml:space="preserve"> and No. </w:t>
      </w:r>
      <w:r w:rsidRPr="00ED27B3">
        <w:rPr>
          <w:b/>
        </w:rPr>
        <w:t>5.484B</w:t>
      </w:r>
      <w:r w:rsidRPr="00ED27B3">
        <w:t xml:space="preserve"> in the frequency bands to which they apply.</w:t>
      </w:r>
    </w:p>
    <w:p w14:paraId="7899F368" w14:textId="77777777" w:rsidR="001570BC" w:rsidRDefault="001570BC" w:rsidP="00A01A8D">
      <w:pPr>
        <w:spacing w:before="120"/>
        <w:jc w:val="both"/>
        <w:rPr>
          <w:rFonts w:eastAsia="MS Mincho"/>
          <w:lang w:eastAsia="ja-JP"/>
        </w:rPr>
      </w:pPr>
      <w:r>
        <w:rPr>
          <w:rFonts w:eastAsia="MS Mincho"/>
          <w:lang w:eastAsia="ja-JP"/>
        </w:rPr>
        <w:t xml:space="preserve">The responsible group WP 5B has initiated the work by sending liaison statements to the contributing groups, WP 4A and WP 4B, as well as to WP 3M, WP 5A, WP 5C, and WP 7D to request information on technical/operational characteristics and protection criteria of services which they look over, and on propagation models. </w:t>
      </w:r>
    </w:p>
    <w:p w14:paraId="1E52F5CF" w14:textId="77777777" w:rsidR="00DB4FE3" w:rsidRDefault="00DB4FE3" w:rsidP="001570BC">
      <w:pPr>
        <w:jc w:val="both"/>
        <w:rPr>
          <w:rFonts w:eastAsia="MS Mincho"/>
          <w:lang w:eastAsia="ja-JP"/>
        </w:rPr>
      </w:pPr>
    </w:p>
    <w:p w14:paraId="451BC562" w14:textId="3DB68682" w:rsidR="001570BC" w:rsidRDefault="001570BC" w:rsidP="001570BC">
      <w:pPr>
        <w:jc w:val="both"/>
      </w:pPr>
      <w:r>
        <w:rPr>
          <w:rFonts w:eastAsia="MS Mincho"/>
          <w:lang w:eastAsia="ja-JP"/>
        </w:rPr>
        <w:t xml:space="preserve">WP 5B has also sent back </w:t>
      </w:r>
      <w:r w:rsidR="00687D20">
        <w:rPr>
          <w:rFonts w:eastAsia="MS Mincho"/>
          <w:lang w:eastAsia="ja-JP"/>
        </w:rPr>
        <w:t>a liaison (5B/225 Annex 41)</w:t>
      </w:r>
      <w:r w:rsidR="0039233A">
        <w:rPr>
          <w:rFonts w:eastAsia="MS Mincho"/>
          <w:lang w:eastAsia="ja-JP"/>
        </w:rPr>
        <w:t xml:space="preserve"> </w:t>
      </w:r>
      <w:r>
        <w:rPr>
          <w:rFonts w:eastAsia="MS Mincho"/>
          <w:lang w:eastAsia="ja-JP"/>
        </w:rPr>
        <w:t xml:space="preserve">to ICAO corresponding to the question sent from ICAO on some points to be clarified regarding </w:t>
      </w:r>
      <w:r>
        <w:t>Resolution</w:t>
      </w:r>
      <w:r w:rsidRPr="00C72C88">
        <w:rPr>
          <w:b/>
          <w:bCs/>
        </w:rPr>
        <w:t xml:space="preserve"> 155 (Rev.WRC-19)</w:t>
      </w:r>
      <w:r>
        <w:rPr>
          <w:b/>
          <w:bCs/>
        </w:rPr>
        <w:t xml:space="preserve">. </w:t>
      </w:r>
      <w:r>
        <w:t xml:space="preserve">Since the majority of the time has been spent to develop answers to ICAO’s questions, other documents related to Agenda Item 1.8 such as the </w:t>
      </w:r>
      <w:r w:rsidRPr="001E6B5E">
        <w:t>draft CPM tex</w:t>
      </w:r>
      <w:r>
        <w:t>t, Draft New Report</w:t>
      </w:r>
      <w:r w:rsidRPr="002C117D">
        <w:t xml:space="preserve"> </w:t>
      </w:r>
      <w:r>
        <w:t xml:space="preserve">ITU-R </w:t>
      </w:r>
      <w:proofErr w:type="gramStart"/>
      <w:r>
        <w:t>M</w:t>
      </w:r>
      <w:r w:rsidRPr="002C117D">
        <w:t>.[</w:t>
      </w:r>
      <w:proofErr w:type="gramEnd"/>
      <w:r w:rsidRPr="002C117D">
        <w:t>UA_PFD]</w:t>
      </w:r>
      <w:r>
        <w:t xml:space="preserve"> and Working Document towards Preliminary Draft New Report/Recommendation</w:t>
      </w:r>
      <w:r w:rsidRPr="002C117D">
        <w:t xml:space="preserve"> </w:t>
      </w:r>
      <w:r>
        <w:t xml:space="preserve">ITU-R </w:t>
      </w:r>
      <w:r w:rsidRPr="002C117D">
        <w:t>M.[UAS CNPC_CHAR]</w:t>
      </w:r>
      <w:r>
        <w:t xml:space="preserve"> have not yet been discussed in detail. For this reason, WP 5B agreed to establish a Correspondence Group in hope to make some progress by the next WP 5B meeting planned in May 2021. </w:t>
      </w:r>
    </w:p>
    <w:p w14:paraId="557009F5" w14:textId="77777777" w:rsidR="001570BC" w:rsidRDefault="001570BC" w:rsidP="00A01A8D">
      <w:pPr>
        <w:spacing w:before="120"/>
        <w:jc w:val="both"/>
      </w:pPr>
      <w:r>
        <w:t xml:space="preserve">The Correspondence Group has held two online meetings so far and has prepared a working document </w:t>
      </w:r>
      <w:r w:rsidRPr="00607439">
        <w:t>intended to support the work in preparations and studies for WRC-23 Agenda Item 1.8</w:t>
      </w:r>
      <w:r>
        <w:t xml:space="preserve">. The meetings were mainly devoted to the discussion on how to address the safety of flight/life condition of the UAS CNPC link, </w:t>
      </w:r>
      <w:r>
        <w:rPr>
          <w:rFonts w:eastAsia="MS Mincho"/>
        </w:rPr>
        <w:t xml:space="preserve">to the extent that is practicable and consistent with the operation of other space and terrestrial services, and unfortunately left many other topics to be discussed.   </w:t>
      </w:r>
    </w:p>
    <w:p w14:paraId="3B492EC1" w14:textId="77777777" w:rsidR="002A0111" w:rsidRPr="00441526" w:rsidRDefault="002A0111" w:rsidP="002A0111">
      <w:pPr>
        <w:jc w:val="both"/>
        <w:rPr>
          <w:lang w:val="en-NZ"/>
        </w:rPr>
      </w:pPr>
    </w:p>
    <w:p w14:paraId="0193724A"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10944200" w14:textId="1055CF02" w:rsidR="00F0196E" w:rsidRPr="00F0196E" w:rsidRDefault="00F0196E" w:rsidP="00F0196E">
      <w:pPr>
        <w:numPr>
          <w:ilvl w:val="0"/>
          <w:numId w:val="18"/>
        </w:numPr>
        <w:ind w:leftChars="145" w:left="708"/>
        <w:jc w:val="both"/>
        <w:rPr>
          <w:lang w:val="en-NZ"/>
        </w:rPr>
      </w:pPr>
      <w:r w:rsidRPr="00F0196E">
        <w:rPr>
          <w:lang w:val="en-NZ"/>
        </w:rPr>
        <w:t>Input Documents</w:t>
      </w:r>
      <w:r w:rsidR="004112C7">
        <w:rPr>
          <w:lang w:val="en-NZ"/>
        </w:rPr>
        <w:t>:</w:t>
      </w:r>
      <w:r w:rsidRPr="00F0196E">
        <w:rPr>
          <w:lang w:val="en-NZ"/>
        </w:rPr>
        <w:t xml:space="preserve"> APG23-2/INP-11 (J), APG23-2/INP-22 (NZL), APG23-2/INP-25 (AUS), </w:t>
      </w:r>
      <w:r w:rsidR="00B14DA9" w:rsidRPr="00F0196E">
        <w:rPr>
          <w:lang w:val="en-NZ"/>
        </w:rPr>
        <w:t>APG23-2/INP-</w:t>
      </w:r>
      <w:r w:rsidR="00B14DA9">
        <w:rPr>
          <w:lang w:val="en-NZ"/>
        </w:rPr>
        <w:t>31 (KOR),</w:t>
      </w:r>
      <w:r w:rsidRPr="00F0196E">
        <w:rPr>
          <w:lang w:val="en-NZ"/>
        </w:rPr>
        <w:t xml:space="preserve"> APG23-2/INP-45 (CHN)</w:t>
      </w:r>
      <w:r w:rsidR="00B14DA9">
        <w:rPr>
          <w:lang w:val="en-NZ"/>
        </w:rPr>
        <w:t xml:space="preserve">, </w:t>
      </w:r>
      <w:r w:rsidR="00B14DA9" w:rsidRPr="00F0196E">
        <w:rPr>
          <w:lang w:val="en-NZ"/>
        </w:rPr>
        <w:t>APG23-2/INP-</w:t>
      </w:r>
      <w:r w:rsidR="00B14DA9">
        <w:rPr>
          <w:lang w:val="en-NZ"/>
        </w:rPr>
        <w:t>51 (VTN)</w:t>
      </w:r>
    </w:p>
    <w:p w14:paraId="078CE8B7" w14:textId="46F349FB" w:rsidR="002A0111" w:rsidRPr="00B14DA9" w:rsidRDefault="00F0196E" w:rsidP="00012130">
      <w:pPr>
        <w:numPr>
          <w:ilvl w:val="0"/>
          <w:numId w:val="18"/>
        </w:numPr>
        <w:ind w:leftChars="145" w:left="708"/>
        <w:jc w:val="both"/>
        <w:rPr>
          <w:b/>
          <w:lang w:val="en-NZ" w:eastAsia="ko-KR"/>
        </w:rPr>
      </w:pPr>
      <w:r w:rsidRPr="00B14DA9">
        <w:rPr>
          <w:lang w:val="en-NZ"/>
        </w:rPr>
        <w:t>Information Documents</w:t>
      </w:r>
      <w:r w:rsidR="004112C7">
        <w:rPr>
          <w:lang w:val="en-NZ"/>
        </w:rPr>
        <w:t>:</w:t>
      </w:r>
      <w:r w:rsidRPr="00B14DA9">
        <w:rPr>
          <w:lang w:val="en-NZ"/>
        </w:rPr>
        <w:t xml:space="preserve"> APG23-2/INF-25 (ASMG), </w:t>
      </w:r>
      <w:r w:rsidR="00987EE7" w:rsidRPr="00B14DA9">
        <w:rPr>
          <w:lang w:val="en-NZ"/>
        </w:rPr>
        <w:t>APG23-2/INF-2</w:t>
      </w:r>
      <w:r w:rsidR="00987EE7">
        <w:rPr>
          <w:lang w:val="en-NZ"/>
        </w:rPr>
        <w:t>6</w:t>
      </w:r>
      <w:r w:rsidR="00987EE7" w:rsidRPr="00B14DA9">
        <w:rPr>
          <w:lang w:val="en-NZ"/>
        </w:rPr>
        <w:t xml:space="preserve"> (A</w:t>
      </w:r>
      <w:r w:rsidR="00987EE7">
        <w:rPr>
          <w:lang w:val="en-NZ"/>
        </w:rPr>
        <w:t>TU</w:t>
      </w:r>
      <w:r w:rsidR="00987EE7" w:rsidRPr="00B14DA9">
        <w:rPr>
          <w:lang w:val="en-NZ"/>
        </w:rPr>
        <w:t>)</w:t>
      </w:r>
      <w:r w:rsidR="00987EE7">
        <w:rPr>
          <w:lang w:val="en-NZ"/>
        </w:rPr>
        <w:t xml:space="preserve">, </w:t>
      </w:r>
      <w:r w:rsidRPr="00B14DA9">
        <w:rPr>
          <w:lang w:val="en-NZ"/>
        </w:rPr>
        <w:t>APG23-2/INF-34 (CITEL), APG23-2/INF-35 (CEPT)</w:t>
      </w:r>
      <w:r w:rsidR="00987EE7">
        <w:rPr>
          <w:lang w:val="en-NZ"/>
        </w:rPr>
        <w:t>,</w:t>
      </w:r>
      <w:r w:rsidR="00987EE7" w:rsidRPr="00987EE7">
        <w:rPr>
          <w:lang w:val="en-NZ"/>
        </w:rPr>
        <w:t xml:space="preserve"> </w:t>
      </w:r>
      <w:r w:rsidR="00987EE7" w:rsidRPr="00B14DA9">
        <w:rPr>
          <w:lang w:val="en-NZ"/>
        </w:rPr>
        <w:t>APG23-2/INF-</w:t>
      </w:r>
      <w:r w:rsidR="00987EE7">
        <w:rPr>
          <w:lang w:val="en-NZ"/>
        </w:rPr>
        <w:t>36</w:t>
      </w:r>
      <w:r w:rsidR="00987EE7" w:rsidRPr="00B14DA9">
        <w:rPr>
          <w:lang w:val="en-NZ"/>
        </w:rPr>
        <w:t xml:space="preserve"> (</w:t>
      </w:r>
      <w:r w:rsidR="00987EE7">
        <w:rPr>
          <w:lang w:val="en-NZ"/>
        </w:rPr>
        <w:t>RCC)</w:t>
      </w:r>
      <w:r w:rsidR="00B14DA9">
        <w:rPr>
          <w:lang w:val="en-NZ"/>
        </w:rPr>
        <w:t>.</w:t>
      </w:r>
    </w:p>
    <w:p w14:paraId="616E3AAB" w14:textId="77777777" w:rsidR="00096B24" w:rsidRDefault="00096B24">
      <w:pPr>
        <w:rPr>
          <w:b/>
          <w:lang w:val="en-NZ" w:eastAsia="ko-KR"/>
        </w:rPr>
      </w:pPr>
    </w:p>
    <w:p w14:paraId="7975AD2E"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3281A650" w14:textId="77777777" w:rsidR="002A0111" w:rsidRPr="00441526" w:rsidRDefault="002A0111" w:rsidP="00626D9A">
      <w:pPr>
        <w:spacing w:after="120"/>
        <w:jc w:val="both"/>
        <w:rPr>
          <w:lang w:val="en-NZ"/>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2D6146B" w14:textId="77777777"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F0196E" w:rsidRPr="00F0196E">
        <w:rPr>
          <w:b/>
          <w:lang w:val="en-NZ" w:eastAsia="ko-KR"/>
        </w:rPr>
        <w:t xml:space="preserve">Japan </w:t>
      </w:r>
      <w:r w:rsidR="00F0196E">
        <w:rPr>
          <w:b/>
          <w:lang w:val="en-NZ" w:eastAsia="ko-KR"/>
        </w:rPr>
        <w:t>-</w:t>
      </w:r>
      <w:r w:rsidR="00F0196E" w:rsidRPr="00F0196E">
        <w:rPr>
          <w:b/>
          <w:lang w:val="en-NZ" w:eastAsia="ko-KR"/>
        </w:rPr>
        <w:t xml:space="preserve"> Document APG23-2/INP-11</w:t>
      </w:r>
    </w:p>
    <w:p w14:paraId="1A861B08" w14:textId="533FDD07" w:rsidR="00A700A8" w:rsidRDefault="00A700A8" w:rsidP="00A700A8">
      <w:pPr>
        <w:pStyle w:val="ListParagraph"/>
        <w:numPr>
          <w:ilvl w:val="0"/>
          <w:numId w:val="26"/>
        </w:numPr>
        <w:jc w:val="both"/>
      </w:pPr>
      <w:r>
        <w:lastRenderedPageBreak/>
        <w:t xml:space="preserve">Japan supports ongoing studies on technical, operational, and regulatory aspects as indicated in Resolution </w:t>
      </w:r>
      <w:r w:rsidRPr="00A700A8">
        <w:rPr>
          <w:rFonts w:eastAsiaTheme="minorEastAsia"/>
          <w:b/>
          <w:bCs/>
          <w:lang w:eastAsia="ja-JP"/>
        </w:rPr>
        <w:t>171 (WRC-19)</w:t>
      </w:r>
      <w:r>
        <w:t xml:space="preserve">. During the previous study cycle, Japan has contributed to the development of the Working Document towards Preliminary Draft New Report/Recommendation ITU-R </w:t>
      </w:r>
      <w:proofErr w:type="gramStart"/>
      <w:r>
        <w:t>M.[</w:t>
      </w:r>
      <w:proofErr w:type="gramEnd"/>
      <w:r>
        <w:t xml:space="preserve">UAS CNPC_CHAR], especially on determining the envelope characteristic of the potential UAS CNPC characteristics and providing examples of technical characteristics of on-board antenna. Based on such experience, </w:t>
      </w:r>
      <w:bookmarkStart w:id="0" w:name="_Hlk69900452"/>
      <w:r>
        <w:t>Japan is of the view that future studies should also make good use of the studies made in the previous cycle while incorporating new discussions and decisions after WRC-19.</w:t>
      </w:r>
      <w:bookmarkEnd w:id="0"/>
      <w:r>
        <w:t xml:space="preserve"> </w:t>
      </w:r>
    </w:p>
    <w:p w14:paraId="200C114D" w14:textId="77777777" w:rsidR="002A0111" w:rsidRPr="00441526" w:rsidRDefault="002A0111" w:rsidP="003D3D47">
      <w:pPr>
        <w:jc w:val="both"/>
        <w:rPr>
          <w:lang w:val="en-NZ"/>
        </w:rPr>
      </w:pPr>
    </w:p>
    <w:p w14:paraId="1AE630D4" w14:textId="533C7A11"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F0196E" w:rsidRPr="00F0196E">
        <w:rPr>
          <w:b/>
          <w:lang w:val="en-NZ" w:eastAsia="ko-KR"/>
        </w:rPr>
        <w:t xml:space="preserve">New Zealand </w:t>
      </w:r>
      <w:r w:rsidR="00F0196E">
        <w:rPr>
          <w:b/>
          <w:lang w:val="en-NZ" w:eastAsia="ko-KR"/>
        </w:rPr>
        <w:t>-</w:t>
      </w:r>
      <w:r w:rsidR="00F0196E" w:rsidRPr="00F0196E">
        <w:rPr>
          <w:b/>
          <w:lang w:val="en-NZ" w:eastAsia="ko-KR"/>
        </w:rPr>
        <w:t xml:space="preserve"> Document APG23-2/INP-22</w:t>
      </w:r>
    </w:p>
    <w:p w14:paraId="1B60B674" w14:textId="77777777" w:rsidR="00A700A8" w:rsidRDefault="00A700A8" w:rsidP="00A700A8">
      <w:pPr>
        <w:pStyle w:val="ListParagraph"/>
        <w:numPr>
          <w:ilvl w:val="0"/>
          <w:numId w:val="26"/>
        </w:numPr>
        <w:jc w:val="both"/>
      </w:pPr>
      <w:r>
        <w:t>New Zealand supports the studies to be conducted by ITU-R Working Party 5B</w:t>
      </w:r>
    </w:p>
    <w:p w14:paraId="7354662D" w14:textId="77777777" w:rsidR="00F0196E" w:rsidRPr="00441526" w:rsidRDefault="00F0196E" w:rsidP="00F0196E">
      <w:pPr>
        <w:jc w:val="both"/>
        <w:rPr>
          <w:lang w:val="en-NZ"/>
        </w:rPr>
      </w:pPr>
      <w:r w:rsidRPr="00441526">
        <w:rPr>
          <w:lang w:val="en-NZ"/>
        </w:rPr>
        <w:t xml:space="preserve">. </w:t>
      </w:r>
    </w:p>
    <w:p w14:paraId="07E0C8E2" w14:textId="28697EAB" w:rsidR="00F0196E" w:rsidRPr="00441526" w:rsidRDefault="00F0196E" w:rsidP="00F0196E">
      <w:pPr>
        <w:spacing w:after="120"/>
        <w:jc w:val="both"/>
        <w:rPr>
          <w:b/>
          <w:lang w:val="en-NZ" w:eastAsia="ko-KR"/>
        </w:rPr>
      </w:pPr>
      <w:r w:rsidRPr="00441526">
        <w:rPr>
          <w:b/>
          <w:lang w:val="en-NZ" w:eastAsia="ko-KR"/>
        </w:rPr>
        <w:t>3.1.</w:t>
      </w:r>
      <w:r w:rsidR="00B14DA9">
        <w:rPr>
          <w:b/>
          <w:lang w:val="en-NZ" w:eastAsia="ko-KR"/>
        </w:rPr>
        <w:t>3</w:t>
      </w:r>
      <w:r w:rsidRPr="00441526">
        <w:rPr>
          <w:b/>
          <w:lang w:val="en-NZ" w:eastAsia="ko-KR"/>
        </w:rPr>
        <w:tab/>
      </w:r>
      <w:r w:rsidRPr="00F0196E">
        <w:rPr>
          <w:b/>
          <w:lang w:val="en-NZ" w:eastAsia="ko-KR"/>
        </w:rPr>
        <w:t>Australia – Document APG23-2/INP-25</w:t>
      </w:r>
    </w:p>
    <w:p w14:paraId="2106F75D" w14:textId="77777777" w:rsidR="00A700A8" w:rsidRDefault="00A700A8" w:rsidP="00A700A8">
      <w:pPr>
        <w:pStyle w:val="ListParagraph"/>
        <w:numPr>
          <w:ilvl w:val="0"/>
          <w:numId w:val="26"/>
        </w:numPr>
      </w:pPr>
      <w:r>
        <w:t>Australia has not formed a view on this agenda item. However, Australia supports progress of work on technical and regulatory issues under this agenda item.</w:t>
      </w:r>
    </w:p>
    <w:p w14:paraId="3F17BBAE" w14:textId="77777777" w:rsidR="00F0196E" w:rsidRPr="00441526" w:rsidRDefault="00F0196E" w:rsidP="00F0196E">
      <w:pPr>
        <w:jc w:val="both"/>
        <w:rPr>
          <w:lang w:val="en-NZ"/>
        </w:rPr>
      </w:pPr>
      <w:r w:rsidRPr="00441526">
        <w:rPr>
          <w:lang w:val="en-NZ"/>
        </w:rPr>
        <w:t xml:space="preserve">. </w:t>
      </w:r>
    </w:p>
    <w:p w14:paraId="0C87DC34" w14:textId="514DF66D" w:rsidR="00F0196E" w:rsidRPr="00441526" w:rsidRDefault="00F0196E" w:rsidP="00F0196E">
      <w:pPr>
        <w:spacing w:after="120"/>
        <w:jc w:val="both"/>
        <w:rPr>
          <w:b/>
          <w:lang w:val="en-NZ" w:eastAsia="ko-KR"/>
        </w:rPr>
      </w:pPr>
      <w:r w:rsidRPr="00441526">
        <w:rPr>
          <w:b/>
          <w:lang w:val="en-NZ" w:eastAsia="ko-KR"/>
        </w:rPr>
        <w:t>3.1.</w:t>
      </w:r>
      <w:r w:rsidR="00B14DA9">
        <w:rPr>
          <w:b/>
          <w:lang w:val="en-NZ" w:eastAsia="ko-KR"/>
        </w:rPr>
        <w:t>4</w:t>
      </w:r>
      <w:r w:rsidRPr="00441526">
        <w:rPr>
          <w:b/>
          <w:lang w:val="en-NZ" w:eastAsia="ko-KR"/>
        </w:rPr>
        <w:tab/>
      </w:r>
      <w:r w:rsidR="00B14DA9">
        <w:rPr>
          <w:b/>
          <w:lang w:val="en-NZ" w:eastAsia="ko-KR"/>
        </w:rPr>
        <w:t>Korea</w:t>
      </w:r>
      <w:r w:rsidRPr="00F0196E">
        <w:rPr>
          <w:b/>
          <w:lang w:val="en-NZ" w:eastAsia="ko-KR"/>
        </w:rPr>
        <w:t xml:space="preserve"> – Document APG23-2/INP-3</w:t>
      </w:r>
      <w:r w:rsidR="00B14DA9">
        <w:rPr>
          <w:b/>
          <w:lang w:val="en-NZ" w:eastAsia="ko-KR"/>
        </w:rPr>
        <w:t>1</w:t>
      </w:r>
    </w:p>
    <w:p w14:paraId="414429F2" w14:textId="77777777" w:rsidR="00A700A8" w:rsidRDefault="00A700A8" w:rsidP="00A700A8">
      <w:pPr>
        <w:pStyle w:val="ListParagraph"/>
        <w:numPr>
          <w:ilvl w:val="0"/>
          <w:numId w:val="26"/>
        </w:numPr>
        <w:spacing w:afterLines="60" w:after="144"/>
        <w:jc w:val="both"/>
        <w:rPr>
          <w:lang w:eastAsia="ko-KR"/>
        </w:rPr>
      </w:pPr>
      <w:r>
        <w:rPr>
          <w:lang w:eastAsia="ko-KR"/>
        </w:rPr>
        <w:t xml:space="preserve">The Republic of Korea supports technical, </w:t>
      </w:r>
      <w:proofErr w:type="gramStart"/>
      <w:r>
        <w:rPr>
          <w:lang w:eastAsia="ko-KR"/>
        </w:rPr>
        <w:t>operational</w:t>
      </w:r>
      <w:proofErr w:type="gramEnd"/>
      <w:r>
        <w:rPr>
          <w:lang w:eastAsia="ko-KR"/>
        </w:rPr>
        <w:t xml:space="preserve"> and regulatory studies in relation to the implementation of Resolution </w:t>
      </w:r>
      <w:r w:rsidRPr="00A700A8">
        <w:rPr>
          <w:b/>
          <w:bCs/>
          <w:lang w:eastAsia="ko-KR"/>
        </w:rPr>
        <w:t>155 (Rev.WRC-19)</w:t>
      </w:r>
      <w:r>
        <w:rPr>
          <w:lang w:eastAsia="ko-KR"/>
        </w:rPr>
        <w:t xml:space="preserve">. </w:t>
      </w:r>
    </w:p>
    <w:p w14:paraId="4535BFDD" w14:textId="03075B2F" w:rsidR="00F0196E" w:rsidRPr="00987EE7" w:rsidRDefault="00A700A8" w:rsidP="004112C7">
      <w:pPr>
        <w:pStyle w:val="ListParagraph"/>
        <w:numPr>
          <w:ilvl w:val="0"/>
          <w:numId w:val="26"/>
        </w:numPr>
        <w:spacing w:afterLines="60" w:after="144"/>
        <w:jc w:val="both"/>
        <w:rPr>
          <w:lang w:val="en-NZ"/>
        </w:rPr>
      </w:pPr>
      <w:r>
        <w:rPr>
          <w:lang w:eastAsia="ko-KR"/>
        </w:rPr>
        <w:t xml:space="preserve">The Republic of Korea is of the view that, when reviewing RR No. </w:t>
      </w:r>
      <w:r w:rsidRPr="00A700A8">
        <w:rPr>
          <w:b/>
          <w:bCs/>
          <w:lang w:eastAsia="ko-KR"/>
        </w:rPr>
        <w:t>5.484B</w:t>
      </w:r>
      <w:r>
        <w:rPr>
          <w:lang w:eastAsia="ko-KR"/>
        </w:rPr>
        <w:t xml:space="preserve"> and Resolution </w:t>
      </w:r>
      <w:r w:rsidRPr="00A700A8">
        <w:rPr>
          <w:b/>
          <w:bCs/>
          <w:lang w:eastAsia="ko-KR"/>
        </w:rPr>
        <w:t xml:space="preserve">155 (Rev.WRC-19) </w:t>
      </w:r>
      <w:r>
        <w:rPr>
          <w:lang w:eastAsia="ko-KR"/>
        </w:rPr>
        <w:t>for possible changes, it should be ensured that any potential changes to such regulatory provisions will not impact any other systems or services operating in accordance with the Radio Regulations.</w:t>
      </w:r>
    </w:p>
    <w:p w14:paraId="3A0E5043" w14:textId="3A29807A" w:rsidR="00F0196E" w:rsidRPr="00441526" w:rsidRDefault="00F0196E" w:rsidP="00F0196E">
      <w:pPr>
        <w:spacing w:after="120"/>
        <w:jc w:val="both"/>
        <w:rPr>
          <w:b/>
          <w:lang w:val="en-NZ" w:eastAsia="ko-KR"/>
        </w:rPr>
      </w:pPr>
      <w:r w:rsidRPr="00441526">
        <w:rPr>
          <w:b/>
          <w:lang w:val="en-NZ" w:eastAsia="ko-KR"/>
        </w:rPr>
        <w:t>3.1.</w:t>
      </w:r>
      <w:r w:rsidR="00B14DA9">
        <w:rPr>
          <w:b/>
          <w:lang w:val="en-NZ" w:eastAsia="ko-KR"/>
        </w:rPr>
        <w:t>5</w:t>
      </w:r>
      <w:r w:rsidRPr="00441526">
        <w:rPr>
          <w:b/>
          <w:lang w:val="en-NZ" w:eastAsia="ko-KR"/>
        </w:rPr>
        <w:tab/>
      </w:r>
      <w:r w:rsidRPr="00F0196E">
        <w:rPr>
          <w:b/>
          <w:lang w:val="en-NZ" w:eastAsia="ko-KR"/>
        </w:rPr>
        <w:t>China (People’s Republic of) – Document APG23-2/INP-45</w:t>
      </w:r>
    </w:p>
    <w:p w14:paraId="77349DD2" w14:textId="77777777" w:rsidR="00A700A8" w:rsidRDefault="00A700A8" w:rsidP="00A700A8">
      <w:pPr>
        <w:pStyle w:val="ListParagraph"/>
        <w:numPr>
          <w:ilvl w:val="0"/>
          <w:numId w:val="26"/>
        </w:numPr>
        <w:spacing w:afterLines="60" w:after="144"/>
        <w:jc w:val="both"/>
      </w:pPr>
      <w:r>
        <w:t xml:space="preserve">China supports studies being conducted in ITU-R in accordance with Resolution 155 (Rev.WRC-19) and Resolution 171 (WRC 19) to make progress on technical, </w:t>
      </w:r>
      <w:proofErr w:type="gramStart"/>
      <w:r>
        <w:t>operational</w:t>
      </w:r>
      <w:proofErr w:type="gramEnd"/>
      <w:r>
        <w:t xml:space="preserve"> and regulatory aspects in relation to the implementation of Resolution 155 (Rev.WRC 19).</w:t>
      </w:r>
    </w:p>
    <w:p w14:paraId="27720EF8" w14:textId="77777777" w:rsidR="00A700A8" w:rsidRDefault="00A700A8" w:rsidP="00A700A8">
      <w:pPr>
        <w:pStyle w:val="ListParagraph"/>
        <w:numPr>
          <w:ilvl w:val="0"/>
          <w:numId w:val="26"/>
        </w:numPr>
        <w:spacing w:afterLines="60" w:after="144"/>
        <w:jc w:val="both"/>
      </w:pPr>
      <w:r>
        <w:t>The frequency bands specified in resolves 1 of Resolution 155 (Rev.WRC-19) are also allocated to terrestrial and space services which are used by a variety of different systems. These existing services and their future development need to be fully protected, without the imposition of any additional constraints, from the operation of UAV/CNPC.</w:t>
      </w:r>
    </w:p>
    <w:p w14:paraId="28CDAB03" w14:textId="3967D0F7" w:rsidR="00B14DA9" w:rsidRPr="00B14DA9" w:rsidRDefault="00B14DA9" w:rsidP="00B14DA9">
      <w:pPr>
        <w:spacing w:after="120"/>
        <w:jc w:val="both"/>
        <w:rPr>
          <w:b/>
          <w:lang w:val="en-NZ" w:eastAsia="ko-KR"/>
        </w:rPr>
      </w:pPr>
      <w:r w:rsidRPr="00B14DA9">
        <w:rPr>
          <w:b/>
          <w:lang w:val="en-NZ" w:eastAsia="ko-KR"/>
        </w:rPr>
        <w:t>3.1.</w:t>
      </w:r>
      <w:r>
        <w:rPr>
          <w:b/>
          <w:lang w:val="en-NZ" w:eastAsia="ko-KR"/>
        </w:rPr>
        <w:t>6</w:t>
      </w:r>
      <w:r w:rsidRPr="00B14DA9">
        <w:rPr>
          <w:b/>
          <w:lang w:val="en-NZ" w:eastAsia="ko-KR"/>
        </w:rPr>
        <w:tab/>
      </w:r>
      <w:r>
        <w:rPr>
          <w:b/>
          <w:lang w:val="en-NZ" w:eastAsia="ko-KR"/>
        </w:rPr>
        <w:t xml:space="preserve">Viet Nam </w:t>
      </w:r>
      <w:r w:rsidRPr="00B14DA9">
        <w:rPr>
          <w:b/>
          <w:lang w:val="en-NZ" w:eastAsia="ko-KR"/>
        </w:rPr>
        <w:t>– Document APG23-2/INP-</w:t>
      </w:r>
      <w:r>
        <w:rPr>
          <w:b/>
          <w:lang w:val="en-NZ" w:eastAsia="ko-KR"/>
        </w:rPr>
        <w:t>51</w:t>
      </w:r>
    </w:p>
    <w:p w14:paraId="4E54AB67" w14:textId="77777777" w:rsidR="00A700A8" w:rsidRPr="00A700A8" w:rsidRDefault="00A700A8" w:rsidP="00A700A8">
      <w:pPr>
        <w:pStyle w:val="ListParagraph"/>
        <w:numPr>
          <w:ilvl w:val="0"/>
          <w:numId w:val="26"/>
        </w:numPr>
        <w:spacing w:afterLines="60" w:after="144"/>
        <w:jc w:val="both"/>
        <w:rPr>
          <w:rFonts w:eastAsiaTheme="minorEastAsia"/>
          <w:b/>
          <w:bCs/>
          <w:lang w:eastAsia="ja-JP"/>
        </w:rPr>
      </w:pPr>
      <w:r>
        <w:t xml:space="preserve">Viet Nam supports studying on technical, operational, and regulatory aspects as indicated in Resolution </w:t>
      </w:r>
      <w:r w:rsidRPr="00A700A8">
        <w:rPr>
          <w:rFonts w:eastAsiaTheme="minorEastAsia"/>
          <w:b/>
          <w:bCs/>
          <w:lang w:eastAsia="ja-JP"/>
        </w:rPr>
        <w:t xml:space="preserve">171 (WRC-19), </w:t>
      </w:r>
      <w:r w:rsidRPr="00A700A8">
        <w:rPr>
          <w:rFonts w:eastAsiaTheme="minorEastAsia"/>
          <w:bCs/>
          <w:lang w:eastAsia="ja-JP"/>
        </w:rPr>
        <w:t>with a view</w:t>
      </w:r>
      <w:r w:rsidRPr="00A700A8">
        <w:rPr>
          <w:rFonts w:eastAsiaTheme="minorEastAsia"/>
          <w:b/>
          <w:bCs/>
          <w:lang w:eastAsia="ja-JP"/>
        </w:rPr>
        <w:t xml:space="preserve"> </w:t>
      </w:r>
      <w:r>
        <w:t xml:space="preserve">to revising Resolution </w:t>
      </w:r>
      <w:r w:rsidRPr="00A700A8">
        <w:rPr>
          <w:b/>
          <w:bCs/>
        </w:rPr>
        <w:t xml:space="preserve">155 (Rev.WRC-19) </w:t>
      </w:r>
      <w:r>
        <w:t xml:space="preserve">and No. </w:t>
      </w:r>
      <w:r w:rsidRPr="00A700A8">
        <w:rPr>
          <w:b/>
          <w:bCs/>
        </w:rPr>
        <w:t>5.484B</w:t>
      </w:r>
      <w:r>
        <w:t xml:space="preserve"> to accommodate the use of fixed-satellite service (FSS) networks by control and non-payload communications of unmanned aircraft systems.</w:t>
      </w:r>
    </w:p>
    <w:p w14:paraId="2B5EBEDB" w14:textId="77777777" w:rsidR="002A0111" w:rsidRPr="00441526" w:rsidRDefault="002A0111" w:rsidP="002A0111">
      <w:pPr>
        <w:rPr>
          <w:lang w:val="en-NZ"/>
        </w:rPr>
      </w:pPr>
    </w:p>
    <w:p w14:paraId="6CCC95D2"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7F9C9751" w14:textId="770D94BC" w:rsidR="002A0111" w:rsidRPr="009359C7" w:rsidRDefault="00D90C92" w:rsidP="00626D9A">
      <w:pPr>
        <w:numPr>
          <w:ilvl w:val="0"/>
          <w:numId w:val="18"/>
        </w:numPr>
        <w:ind w:leftChars="145" w:left="708"/>
        <w:jc w:val="both"/>
        <w:rPr>
          <w:lang w:val="en-NZ"/>
        </w:rPr>
      </w:pPr>
      <w:r w:rsidRPr="009359C7">
        <w:rPr>
          <w:rFonts w:eastAsia="MS Mincho"/>
          <w:lang w:val="en-NZ" w:eastAsia="ja-JP"/>
        </w:rPr>
        <w:t xml:space="preserve">Since WRC-19, there has been no significant progress </w:t>
      </w:r>
      <w:proofErr w:type="gramStart"/>
      <w:r w:rsidRPr="009359C7">
        <w:rPr>
          <w:rFonts w:eastAsia="MS Mincho"/>
          <w:lang w:val="en-NZ" w:eastAsia="ja-JP"/>
        </w:rPr>
        <w:t>as of yet</w:t>
      </w:r>
      <w:proofErr w:type="gramEnd"/>
      <w:r w:rsidRPr="009359C7">
        <w:rPr>
          <w:rFonts w:eastAsia="MS Mincho"/>
          <w:lang w:val="en-NZ" w:eastAsia="ja-JP"/>
        </w:rPr>
        <w:t xml:space="preserve"> in ITU-R WP 5B </w:t>
      </w:r>
      <w:r w:rsidR="004D6DB0" w:rsidRPr="009359C7">
        <w:rPr>
          <w:rFonts w:eastAsia="MS Mincho"/>
          <w:lang w:val="en-NZ" w:eastAsia="ja-JP"/>
        </w:rPr>
        <w:t>in regard to</w:t>
      </w:r>
      <w:r w:rsidRPr="009359C7">
        <w:rPr>
          <w:rFonts w:eastAsia="MS Mincho"/>
          <w:lang w:val="en-NZ" w:eastAsia="ja-JP"/>
        </w:rPr>
        <w:t xml:space="preserve"> technical, operational and regulatory studies. APT </w:t>
      </w:r>
      <w:r w:rsidR="004D6DB0" w:rsidRPr="009359C7">
        <w:rPr>
          <w:rFonts w:eastAsia="MS Mincho"/>
          <w:lang w:val="en-NZ" w:eastAsia="ja-JP"/>
        </w:rPr>
        <w:t>M</w:t>
      </w:r>
      <w:r w:rsidRPr="009359C7">
        <w:rPr>
          <w:rFonts w:eastAsia="MS Mincho"/>
          <w:lang w:val="en-NZ" w:eastAsia="ja-JP"/>
        </w:rPr>
        <w:t>embers are encouraged to actively participate in the future ITU-R WP 5B meetings and its corresponding group to follow the discussion.</w:t>
      </w:r>
    </w:p>
    <w:p w14:paraId="3565EC59" w14:textId="15ABD2F0" w:rsidR="005206E9" w:rsidRDefault="005206E9">
      <w:pPr>
        <w:rPr>
          <w:b/>
          <w:lang w:val="en-NZ" w:eastAsia="ko-KR"/>
        </w:rPr>
      </w:pPr>
    </w:p>
    <w:p w14:paraId="4AC2A34F" w14:textId="4D0E3B36" w:rsidR="00036144" w:rsidRPr="00036144" w:rsidRDefault="002A0111" w:rsidP="002A0111">
      <w:pPr>
        <w:spacing w:after="120"/>
        <w:jc w:val="both"/>
        <w:rPr>
          <w:b/>
          <w:lang w:val="en-NZ" w:eastAsia="ko-KR"/>
        </w:rPr>
      </w:pPr>
      <w:r w:rsidRPr="004112C7">
        <w:rPr>
          <w:b/>
          <w:lang w:val="en-NZ" w:eastAsia="ko-KR"/>
        </w:rPr>
        <w:t xml:space="preserve">4. </w:t>
      </w:r>
      <w:r w:rsidRPr="004112C7">
        <w:rPr>
          <w:b/>
          <w:lang w:val="en-NZ" w:eastAsia="ko-KR"/>
        </w:rPr>
        <w:tab/>
        <w:t>APT Preliminary View(s)</w:t>
      </w:r>
    </w:p>
    <w:p w14:paraId="035341A2" w14:textId="2BF63D31" w:rsidR="00A700A8" w:rsidRPr="004112C7" w:rsidRDefault="00F96FE1">
      <w:pPr>
        <w:numPr>
          <w:ilvl w:val="0"/>
          <w:numId w:val="18"/>
        </w:numPr>
        <w:ind w:leftChars="145" w:left="708"/>
        <w:jc w:val="both"/>
        <w:rPr>
          <w:rFonts w:eastAsia="MS Mincho"/>
          <w:lang w:val="en-NZ" w:eastAsia="ja-JP"/>
        </w:rPr>
      </w:pPr>
      <w:r w:rsidRPr="004112C7">
        <w:rPr>
          <w:rFonts w:eastAsia="MS Mincho"/>
          <w:lang w:val="en-NZ" w:eastAsia="ja-JP"/>
        </w:rPr>
        <w:lastRenderedPageBreak/>
        <w:t xml:space="preserve">APT Members </w:t>
      </w:r>
      <w:r w:rsidR="00752089" w:rsidRPr="004112C7">
        <w:rPr>
          <w:rFonts w:eastAsia="MS Mincho"/>
          <w:lang w:val="en-NZ" w:eastAsia="ja-JP"/>
        </w:rPr>
        <w:t>support</w:t>
      </w:r>
      <w:r w:rsidRPr="004112C7">
        <w:rPr>
          <w:rFonts w:eastAsia="MS Mincho"/>
          <w:lang w:val="en-NZ" w:eastAsia="ja-JP"/>
        </w:rPr>
        <w:t xml:space="preserve"> </w:t>
      </w:r>
      <w:r w:rsidR="00DC368E">
        <w:rPr>
          <w:rFonts w:eastAsia="MS Mincho"/>
          <w:lang w:val="en-NZ" w:eastAsia="ja-JP"/>
        </w:rPr>
        <w:t>ongoing studies being carried out by ITU-R WP 5B</w:t>
      </w:r>
      <w:r w:rsidRPr="004112C7">
        <w:rPr>
          <w:rFonts w:eastAsia="MS Mincho"/>
          <w:lang w:val="en-NZ" w:eastAsia="ja-JP"/>
        </w:rPr>
        <w:t xml:space="preserve"> in relation to</w:t>
      </w:r>
      <w:r w:rsidR="00DC368E">
        <w:rPr>
          <w:rFonts w:eastAsia="MS Mincho"/>
          <w:lang w:val="en-NZ" w:eastAsia="ja-JP"/>
        </w:rPr>
        <w:t xml:space="preserve"> Agenda Item 1.8 </w:t>
      </w:r>
      <w:r w:rsidR="001462E8" w:rsidRPr="00353BB9">
        <w:rPr>
          <w:rFonts w:eastAsia="MS Mincho"/>
          <w:lang w:val="en-NZ" w:eastAsia="ja-JP"/>
        </w:rPr>
        <w:t xml:space="preserve">in accordance with </w:t>
      </w:r>
      <w:r w:rsidR="00DC368E" w:rsidRPr="00353BB9">
        <w:rPr>
          <w:rFonts w:eastAsia="MS Mincho"/>
          <w:lang w:val="en-NZ" w:eastAsia="ja-JP"/>
        </w:rPr>
        <w:t xml:space="preserve">Resolution </w:t>
      </w:r>
      <w:r w:rsidR="00DC368E" w:rsidRPr="00353BB9">
        <w:rPr>
          <w:rFonts w:eastAsia="MS Mincho"/>
          <w:b/>
          <w:lang w:val="en-NZ" w:eastAsia="ja-JP"/>
        </w:rPr>
        <w:t>171 (WRC-19).</w:t>
      </w:r>
    </w:p>
    <w:p w14:paraId="298565EF" w14:textId="614FCF74" w:rsidR="002A0111" w:rsidRPr="00441526" w:rsidRDefault="002A0111" w:rsidP="002A0111">
      <w:pPr>
        <w:rPr>
          <w:lang w:val="en-NZ"/>
        </w:rPr>
      </w:pPr>
    </w:p>
    <w:p w14:paraId="7DA44315" w14:textId="64378039" w:rsidR="002A0111" w:rsidRPr="004112C7" w:rsidRDefault="002A0111" w:rsidP="002A0111">
      <w:pPr>
        <w:spacing w:after="120"/>
        <w:jc w:val="both"/>
        <w:rPr>
          <w:b/>
          <w:lang w:val="en-NZ" w:eastAsia="ko-KR"/>
        </w:rPr>
      </w:pPr>
      <w:r w:rsidRPr="004112C7">
        <w:rPr>
          <w:b/>
          <w:lang w:val="en-NZ" w:eastAsia="ko-KR"/>
        </w:rPr>
        <w:t xml:space="preserve">5. </w:t>
      </w:r>
      <w:r w:rsidRPr="004112C7">
        <w:rPr>
          <w:b/>
          <w:lang w:val="en-NZ" w:eastAsia="ko-KR"/>
        </w:rPr>
        <w:tab/>
        <w:t>Other View(s) from APT Members</w:t>
      </w:r>
    </w:p>
    <w:p w14:paraId="74CBB27F" w14:textId="6DBDC24E" w:rsidR="00C43B03" w:rsidRPr="004112C7" w:rsidRDefault="00DD4C23" w:rsidP="00752089">
      <w:pPr>
        <w:pStyle w:val="ListParagraph"/>
        <w:numPr>
          <w:ilvl w:val="0"/>
          <w:numId w:val="26"/>
        </w:numPr>
        <w:spacing w:afterLines="60" w:after="144"/>
        <w:jc w:val="both"/>
        <w:rPr>
          <w:lang w:eastAsia="ko-KR"/>
        </w:rPr>
      </w:pPr>
      <w:r>
        <w:t>Some</w:t>
      </w:r>
      <w:r w:rsidR="007C78AE" w:rsidRPr="00036144">
        <w:t xml:space="preserve"> APT Member</w:t>
      </w:r>
      <w:r>
        <w:t>s</w:t>
      </w:r>
      <w:r w:rsidR="00C43B03" w:rsidRPr="00036144">
        <w:t xml:space="preserve"> </w:t>
      </w:r>
      <w:r>
        <w:t>are</w:t>
      </w:r>
      <w:r w:rsidR="00C43B03" w:rsidRPr="00036144">
        <w:t xml:space="preserve"> of the view that future studies should also make good use of the studies </w:t>
      </w:r>
      <w:r>
        <w:t>undertaken</w:t>
      </w:r>
      <w:r w:rsidR="00C43B03" w:rsidRPr="00036144">
        <w:t xml:space="preserve"> in the previous cycle while incorporating new discussions and decisions after WRC-19.</w:t>
      </w:r>
    </w:p>
    <w:p w14:paraId="7264C391" w14:textId="4325D6FE" w:rsidR="004D6DB0" w:rsidRPr="004112C7" w:rsidRDefault="007C78AE" w:rsidP="007C78AE">
      <w:pPr>
        <w:pStyle w:val="ListParagraph"/>
        <w:numPr>
          <w:ilvl w:val="0"/>
          <w:numId w:val="26"/>
        </w:numPr>
        <w:spacing w:afterLines="60" w:after="144"/>
        <w:jc w:val="both"/>
        <w:rPr>
          <w:lang w:eastAsia="ko-KR"/>
        </w:rPr>
      </w:pPr>
      <w:r w:rsidRPr="004112C7">
        <w:rPr>
          <w:lang w:eastAsia="ko-KR"/>
        </w:rPr>
        <w:t xml:space="preserve">Some APT Members are of the view that potential changes to the regulatory provision and operation of UAS CNPC should not </w:t>
      </w:r>
      <w:r w:rsidR="001462E8">
        <w:rPr>
          <w:lang w:eastAsia="ko-KR"/>
        </w:rPr>
        <w:t xml:space="preserve">adversely </w:t>
      </w:r>
      <w:r w:rsidR="00DD4C23">
        <w:rPr>
          <w:lang w:eastAsia="ko-KR"/>
        </w:rPr>
        <w:t xml:space="preserve">affect </w:t>
      </w:r>
      <w:r w:rsidRPr="004112C7">
        <w:rPr>
          <w:lang w:eastAsia="ko-KR"/>
        </w:rPr>
        <w:t xml:space="preserve">other existing and future services </w:t>
      </w:r>
      <w:r w:rsidR="00DD4C23">
        <w:rPr>
          <w:lang w:eastAsia="ko-KR"/>
        </w:rPr>
        <w:t>to which the frequency bands are allocated</w:t>
      </w:r>
      <w:r w:rsidRPr="004112C7">
        <w:rPr>
          <w:lang w:eastAsia="ko-KR"/>
        </w:rPr>
        <w:t>.</w:t>
      </w:r>
    </w:p>
    <w:p w14:paraId="1CF4908F"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6D5A77DE" w14:textId="6FACC2BD" w:rsidR="002A0111" w:rsidRPr="00F0196E" w:rsidRDefault="00F0196E" w:rsidP="00F0196E">
      <w:pPr>
        <w:numPr>
          <w:ilvl w:val="0"/>
          <w:numId w:val="18"/>
        </w:numPr>
        <w:ind w:leftChars="145" w:left="708"/>
        <w:jc w:val="both"/>
        <w:rPr>
          <w:lang w:val="en-NZ"/>
        </w:rPr>
      </w:pPr>
      <w:r w:rsidRPr="00F0196E">
        <w:rPr>
          <w:lang w:val="en-NZ"/>
        </w:rPr>
        <w:t>APT Members are encouraged to participate in relevant studies and submit their contributions to WP 5B and future APG meetings</w:t>
      </w:r>
      <w:r w:rsidR="00DB4FE3">
        <w:rPr>
          <w:lang w:val="en-NZ"/>
        </w:rPr>
        <w:t>.</w:t>
      </w:r>
    </w:p>
    <w:p w14:paraId="42B56926" w14:textId="77777777" w:rsidR="002A0111" w:rsidRPr="00441526" w:rsidRDefault="002A0111" w:rsidP="003D3D47">
      <w:pPr>
        <w:jc w:val="both"/>
        <w:rPr>
          <w:lang w:val="en-NZ"/>
        </w:rPr>
      </w:pPr>
    </w:p>
    <w:p w14:paraId="448FA70E"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56088C2A" w14:textId="77777777"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6B09DB">
        <w:rPr>
          <w:lang w:val="en-NZ"/>
        </w:rPr>
        <w:t>2</w:t>
      </w:r>
      <w:r w:rsidR="003D3D47">
        <w:rPr>
          <w:lang w:val="en-NZ"/>
        </w:rPr>
        <w:t>)</w:t>
      </w:r>
    </w:p>
    <w:p w14:paraId="20F61D6C" w14:textId="77777777" w:rsidR="002A0111" w:rsidRPr="00441526" w:rsidRDefault="002A0111" w:rsidP="003D3D47">
      <w:pPr>
        <w:jc w:val="both"/>
        <w:rPr>
          <w:lang w:val="en-NZ"/>
        </w:rPr>
      </w:pPr>
    </w:p>
    <w:p w14:paraId="1CD37CDF"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786A392C"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r>
      <w:r w:rsidR="00F24B1A" w:rsidRPr="00F24B1A">
        <w:rPr>
          <w:b/>
          <w:lang w:val="en-NZ" w:eastAsia="ko-KR"/>
        </w:rPr>
        <w:t xml:space="preserve">ASMG </w:t>
      </w:r>
      <w:r w:rsidR="00F24B1A">
        <w:rPr>
          <w:b/>
          <w:lang w:val="en-NZ" w:eastAsia="ko-KR"/>
        </w:rPr>
        <w:t>-</w:t>
      </w:r>
      <w:r w:rsidR="00F24B1A" w:rsidRPr="00F24B1A">
        <w:rPr>
          <w:b/>
          <w:lang w:val="en-NZ" w:eastAsia="ko-KR"/>
        </w:rPr>
        <w:t xml:space="preserve"> Document APG23-2/INF-25</w:t>
      </w:r>
    </w:p>
    <w:p w14:paraId="54BA44BD" w14:textId="501EFDAF" w:rsidR="002A0111" w:rsidRDefault="00F03B3E" w:rsidP="00F03B3E">
      <w:pPr>
        <w:pStyle w:val="ListParagraph"/>
        <w:numPr>
          <w:ilvl w:val="0"/>
          <w:numId w:val="26"/>
        </w:numPr>
        <w:spacing w:afterLines="60" w:after="144"/>
        <w:jc w:val="both"/>
      </w:pPr>
      <w:r>
        <w:t>ASMG Supports the application of safety of life standards with UAS CNPC links and ensuring that the requirements of ICAO to operate UAS CNPC links are followed and studied, as well as to study and review any additional restrictions proposed to the current terrestrial or satellite systems.</w:t>
      </w:r>
    </w:p>
    <w:p w14:paraId="52DC2D8E" w14:textId="3B90D2A8" w:rsidR="00F03B3E" w:rsidRPr="00441526" w:rsidRDefault="00F03B3E" w:rsidP="00F03B3E">
      <w:pPr>
        <w:spacing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r>
      <w:r w:rsidRPr="00F24B1A">
        <w:rPr>
          <w:b/>
          <w:lang w:val="en-NZ" w:eastAsia="ko-KR"/>
        </w:rPr>
        <w:t>A</w:t>
      </w:r>
      <w:r>
        <w:rPr>
          <w:b/>
          <w:lang w:val="en-NZ" w:eastAsia="ko-KR"/>
        </w:rPr>
        <w:t>TU</w:t>
      </w:r>
      <w:r w:rsidRPr="00F24B1A">
        <w:rPr>
          <w:b/>
          <w:lang w:val="en-NZ" w:eastAsia="ko-KR"/>
        </w:rPr>
        <w:t xml:space="preserve"> </w:t>
      </w:r>
      <w:r>
        <w:rPr>
          <w:b/>
          <w:lang w:val="en-NZ" w:eastAsia="ko-KR"/>
        </w:rPr>
        <w:t>-</w:t>
      </w:r>
      <w:r w:rsidRPr="00F24B1A">
        <w:rPr>
          <w:b/>
          <w:lang w:val="en-NZ" w:eastAsia="ko-KR"/>
        </w:rPr>
        <w:t xml:space="preserve"> Document APG23-2/INF-2</w:t>
      </w:r>
      <w:r>
        <w:rPr>
          <w:b/>
          <w:lang w:val="en-NZ" w:eastAsia="ko-KR"/>
        </w:rPr>
        <w:t>6</w:t>
      </w:r>
    </w:p>
    <w:p w14:paraId="1C6806DC" w14:textId="6AED64BE" w:rsidR="00F03B3E" w:rsidRPr="004112C7" w:rsidRDefault="00987EE7" w:rsidP="00F03B3E">
      <w:pPr>
        <w:pStyle w:val="ListParagraph"/>
        <w:numPr>
          <w:ilvl w:val="0"/>
          <w:numId w:val="26"/>
        </w:numPr>
        <w:spacing w:afterLines="60" w:after="144"/>
        <w:jc w:val="both"/>
        <w:rPr>
          <w:b/>
          <w:lang w:val="en-NZ" w:eastAsia="ko-KR"/>
        </w:rPr>
      </w:pPr>
      <w:r>
        <w:t>None</w:t>
      </w:r>
    </w:p>
    <w:p w14:paraId="45305423" w14:textId="3708A4CA" w:rsidR="00F03B3E" w:rsidRPr="004112C7" w:rsidRDefault="00F03B3E" w:rsidP="004112C7">
      <w:pPr>
        <w:spacing w:afterLines="60" w:after="144"/>
        <w:jc w:val="both"/>
        <w:rPr>
          <w:b/>
          <w:lang w:val="en-NZ" w:eastAsia="ko-KR"/>
        </w:rPr>
      </w:pPr>
      <w:r w:rsidRPr="004112C7">
        <w:rPr>
          <w:b/>
          <w:lang w:val="en-NZ" w:eastAsia="ko-KR"/>
        </w:rPr>
        <w:t>7.1.</w:t>
      </w:r>
      <w:r>
        <w:rPr>
          <w:b/>
          <w:lang w:val="en-NZ" w:eastAsia="ko-KR"/>
        </w:rPr>
        <w:t>3</w:t>
      </w:r>
      <w:r w:rsidRPr="004112C7">
        <w:rPr>
          <w:b/>
          <w:lang w:val="en-NZ" w:eastAsia="ko-KR"/>
        </w:rPr>
        <w:tab/>
        <w:t>CITEL - Document APG23-2/INF-34</w:t>
      </w:r>
    </w:p>
    <w:p w14:paraId="54831E5A" w14:textId="7B5B3D14" w:rsidR="00F03B3E" w:rsidRPr="004112C7" w:rsidRDefault="00F03B3E" w:rsidP="004112C7">
      <w:pPr>
        <w:pStyle w:val="ListParagraph"/>
        <w:numPr>
          <w:ilvl w:val="0"/>
          <w:numId w:val="26"/>
        </w:numPr>
        <w:spacing w:afterLines="60" w:after="144"/>
        <w:jc w:val="both"/>
      </w:pPr>
      <w:r>
        <w:t xml:space="preserve">Some Administrations support completion of the studies called for by Resolutions 171 (WRC-19) and 155 (Rev.WRC-19) to define the conditions for operating UAS CNPC links in the FSS (see resolves 19 of Resolution 155 (Rev.WRC-19)) in the frequency bands for which No. 5.484B already applies. Based on the results of studies, to consider revisions to Resolution 155 (Rev.WRC-19) </w:t>
      </w:r>
      <w:proofErr w:type="gramStart"/>
      <w:r>
        <w:t>in order to</w:t>
      </w:r>
      <w:proofErr w:type="gramEnd"/>
      <w:r>
        <w:t xml:space="preserve"> finalize the provisions needed to accommodate the use of FSS networks by UAS CNPC systems and to revise No. 5.484B to provide clarity that the provisions apply to the use of earth stations on board unmanned aircraft.</w:t>
      </w:r>
    </w:p>
    <w:p w14:paraId="28CC8B77" w14:textId="7EE0179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F03B3E">
        <w:rPr>
          <w:b/>
          <w:lang w:val="en-NZ" w:eastAsia="ko-KR"/>
        </w:rPr>
        <w:t>4</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 xml:space="preserve">Document </w:t>
      </w:r>
      <w:r w:rsidR="00F24B1A" w:rsidRPr="00F24B1A">
        <w:rPr>
          <w:b/>
          <w:lang w:val="en-NZ" w:eastAsia="ko-KR"/>
        </w:rPr>
        <w:t>APG23-2/INF-35</w:t>
      </w:r>
    </w:p>
    <w:p w14:paraId="51CF7AF3" w14:textId="77777777" w:rsidR="00F03B3E" w:rsidRPr="004112C7" w:rsidRDefault="00F03B3E" w:rsidP="004112C7">
      <w:pPr>
        <w:pStyle w:val="ListParagraph"/>
        <w:numPr>
          <w:ilvl w:val="0"/>
          <w:numId w:val="26"/>
        </w:numPr>
        <w:spacing w:afterLines="60" w:after="144"/>
        <w:jc w:val="both"/>
      </w:pPr>
      <w:r w:rsidRPr="004112C7">
        <w:t>CEPT is of the view that UAS CNPC links using FSS shall operate:</w:t>
      </w:r>
    </w:p>
    <w:p w14:paraId="1FACA94D" w14:textId="5C5DE277" w:rsidR="00F03B3E" w:rsidRPr="00F03B3E" w:rsidRDefault="00F03B3E" w:rsidP="004112C7">
      <w:pPr>
        <w:pStyle w:val="ListParagraph"/>
        <w:numPr>
          <w:ilvl w:val="1"/>
          <w:numId w:val="26"/>
        </w:numPr>
        <w:rPr>
          <w:lang w:val="en-NZ"/>
        </w:rPr>
      </w:pPr>
      <w:r w:rsidRPr="00F03B3E">
        <w:rPr>
          <w:lang w:val="en-NZ"/>
        </w:rPr>
        <w:t xml:space="preserve">in accordance with ICAO </w:t>
      </w:r>
      <w:proofErr w:type="gramStart"/>
      <w:r w:rsidRPr="00F03B3E">
        <w:rPr>
          <w:lang w:val="en-NZ"/>
        </w:rPr>
        <w:t>SARPs;</w:t>
      </w:r>
      <w:proofErr w:type="gramEnd"/>
    </w:p>
    <w:p w14:paraId="3DE7AD77" w14:textId="335F3709" w:rsidR="00F03B3E" w:rsidRDefault="00F03B3E" w:rsidP="004112C7">
      <w:pPr>
        <w:pStyle w:val="ListParagraph"/>
        <w:numPr>
          <w:ilvl w:val="1"/>
          <w:numId w:val="26"/>
        </w:numPr>
        <w:rPr>
          <w:lang w:val="en-NZ"/>
        </w:rPr>
      </w:pPr>
      <w:r w:rsidRPr="00F03B3E">
        <w:rPr>
          <w:lang w:val="en-NZ"/>
        </w:rPr>
        <w:t>under successfully coordinated assignments for FSS applications.</w:t>
      </w:r>
    </w:p>
    <w:p w14:paraId="66CF336D" w14:textId="299E5954" w:rsidR="00096B24" w:rsidRDefault="00096B24" w:rsidP="00096B24">
      <w:pPr>
        <w:pStyle w:val="ListParagraph"/>
        <w:ind w:left="1440"/>
        <w:rPr>
          <w:lang w:val="en-NZ"/>
        </w:rPr>
      </w:pPr>
    </w:p>
    <w:p w14:paraId="3AD5B013" w14:textId="77777777" w:rsidR="00096B24" w:rsidRPr="00F03B3E" w:rsidRDefault="00096B24" w:rsidP="00096B24">
      <w:pPr>
        <w:pStyle w:val="ListParagraph"/>
        <w:ind w:left="1440"/>
        <w:rPr>
          <w:lang w:val="en-NZ"/>
        </w:rPr>
      </w:pPr>
    </w:p>
    <w:p w14:paraId="7BF6746F" w14:textId="77777777" w:rsidR="00F03B3E" w:rsidRPr="004112C7" w:rsidRDefault="00F03B3E" w:rsidP="004112C7">
      <w:pPr>
        <w:pStyle w:val="ListParagraph"/>
        <w:numPr>
          <w:ilvl w:val="0"/>
          <w:numId w:val="26"/>
        </w:numPr>
        <w:spacing w:afterLines="60" w:after="144"/>
        <w:jc w:val="both"/>
      </w:pPr>
      <w:r w:rsidRPr="004112C7">
        <w:t>CEPT is of the view that the safety aspects of UAS CNPC shall not have any impact on</w:t>
      </w:r>
    </w:p>
    <w:p w14:paraId="38DDCE18" w14:textId="7B805999" w:rsidR="00F03B3E" w:rsidRPr="00F03B3E" w:rsidRDefault="00F03B3E" w:rsidP="004112C7">
      <w:pPr>
        <w:pStyle w:val="ListParagraph"/>
        <w:numPr>
          <w:ilvl w:val="1"/>
          <w:numId w:val="26"/>
        </w:numPr>
        <w:rPr>
          <w:lang w:val="en-NZ"/>
        </w:rPr>
      </w:pPr>
      <w:r w:rsidRPr="00F03B3E">
        <w:rPr>
          <w:lang w:val="en-NZ"/>
        </w:rPr>
        <w:t xml:space="preserve">the existing terrestrial services and their current and expected </w:t>
      </w:r>
      <w:proofErr w:type="gramStart"/>
      <w:r w:rsidRPr="00F03B3E">
        <w:rPr>
          <w:lang w:val="en-NZ"/>
        </w:rPr>
        <w:t>applications;</w:t>
      </w:r>
      <w:proofErr w:type="gramEnd"/>
    </w:p>
    <w:p w14:paraId="30384DA7" w14:textId="69771214" w:rsidR="00F03B3E" w:rsidRPr="00F03B3E" w:rsidRDefault="00F03B3E" w:rsidP="004112C7">
      <w:pPr>
        <w:pStyle w:val="ListParagraph"/>
        <w:numPr>
          <w:ilvl w:val="1"/>
          <w:numId w:val="26"/>
        </w:numPr>
        <w:rPr>
          <w:lang w:val="en-NZ"/>
        </w:rPr>
      </w:pPr>
      <w:r w:rsidRPr="00F03B3E">
        <w:rPr>
          <w:lang w:val="en-NZ"/>
        </w:rPr>
        <w:lastRenderedPageBreak/>
        <w:t xml:space="preserve">the existing agreement between notifying administrations reached during FSS satellite coordination </w:t>
      </w:r>
      <w:proofErr w:type="gramStart"/>
      <w:r w:rsidRPr="00F03B3E">
        <w:rPr>
          <w:lang w:val="en-NZ"/>
        </w:rPr>
        <w:t>process;</w:t>
      </w:r>
      <w:proofErr w:type="gramEnd"/>
    </w:p>
    <w:p w14:paraId="7B07DED3" w14:textId="738FBDC6" w:rsidR="00F03B3E" w:rsidRPr="00F03B3E" w:rsidRDefault="00F03B3E" w:rsidP="004112C7">
      <w:pPr>
        <w:pStyle w:val="ListParagraph"/>
        <w:numPr>
          <w:ilvl w:val="1"/>
          <w:numId w:val="26"/>
        </w:numPr>
        <w:rPr>
          <w:lang w:val="en-NZ"/>
        </w:rPr>
      </w:pPr>
      <w:r w:rsidRPr="00F03B3E">
        <w:rPr>
          <w:lang w:val="en-NZ"/>
        </w:rPr>
        <w:t xml:space="preserve">the future coordination of FSS networks during the application of provisions of Articles 9 and 11 of the </w:t>
      </w:r>
      <w:proofErr w:type="gramStart"/>
      <w:r w:rsidRPr="00F03B3E">
        <w:rPr>
          <w:lang w:val="en-NZ"/>
        </w:rPr>
        <w:t>RR;</w:t>
      </w:r>
      <w:proofErr w:type="gramEnd"/>
    </w:p>
    <w:p w14:paraId="77FC38B7" w14:textId="29E6C8E6" w:rsidR="00F03B3E" w:rsidRPr="00F03B3E" w:rsidRDefault="00F03B3E" w:rsidP="004112C7">
      <w:pPr>
        <w:pStyle w:val="ListParagraph"/>
        <w:numPr>
          <w:ilvl w:val="1"/>
          <w:numId w:val="26"/>
        </w:numPr>
        <w:rPr>
          <w:lang w:val="en-NZ"/>
        </w:rPr>
      </w:pPr>
      <w:r w:rsidRPr="00F03B3E">
        <w:rPr>
          <w:lang w:val="en-NZ"/>
        </w:rPr>
        <w:t>all cases which fall under RR 11.41.</w:t>
      </w:r>
    </w:p>
    <w:p w14:paraId="4FC54FE8" w14:textId="5B8C63BC" w:rsidR="002A0111" w:rsidRDefault="00F03B3E" w:rsidP="00F03B3E">
      <w:pPr>
        <w:pStyle w:val="ListParagraph"/>
        <w:numPr>
          <w:ilvl w:val="0"/>
          <w:numId w:val="26"/>
        </w:numPr>
        <w:spacing w:afterLines="60" w:after="144"/>
        <w:jc w:val="both"/>
      </w:pPr>
      <w:r w:rsidRPr="004112C7">
        <w:t xml:space="preserve">CEPT is of the view that </w:t>
      </w:r>
      <w:proofErr w:type="gramStart"/>
      <w:r w:rsidRPr="004112C7">
        <w:t>in order to</w:t>
      </w:r>
      <w:proofErr w:type="gramEnd"/>
      <w:r w:rsidRPr="004112C7">
        <w:t xml:space="preserve"> ensure safety</w:t>
      </w:r>
      <w:r w:rsidRPr="004112C7">
        <w:rPr>
          <w:rFonts w:ascii="MS Mincho" w:eastAsia="MS Mincho" w:hAnsi="MS Mincho" w:cs="MS Mincho" w:hint="eastAsia"/>
        </w:rPr>
        <w:t>‐</w:t>
      </w:r>
      <w:r w:rsidRPr="004112C7">
        <w:t>of</w:t>
      </w:r>
      <w:r w:rsidRPr="004112C7">
        <w:rPr>
          <w:rFonts w:ascii="MS Mincho" w:eastAsia="MS Mincho" w:hAnsi="MS Mincho" w:cs="MS Mincho" w:hint="eastAsia"/>
        </w:rPr>
        <w:t>‐</w:t>
      </w:r>
      <w:r w:rsidRPr="004112C7">
        <w:t>flight operation of UAS, notifying administrations and the</w:t>
      </w:r>
      <w:r>
        <w:t xml:space="preserve"> </w:t>
      </w:r>
      <w:r w:rsidRPr="004112C7">
        <w:t>administrations authorising the operation of UAS CNPC links shall take the required measures to ensure freedom from</w:t>
      </w:r>
      <w:r>
        <w:rPr>
          <w:rFonts w:ascii="MS Mincho" w:eastAsia="MS Mincho" w:hAnsi="MS Mincho" w:hint="eastAsia"/>
          <w:lang w:eastAsia="ja-JP"/>
        </w:rPr>
        <w:t xml:space="preserve"> </w:t>
      </w:r>
      <w:r w:rsidRPr="004112C7">
        <w:t>harmful interference to earth stations on board UA.</w:t>
      </w:r>
    </w:p>
    <w:p w14:paraId="52CE5101" w14:textId="342C571A" w:rsidR="00F03B3E" w:rsidRDefault="00F03B3E">
      <w:pPr>
        <w:pStyle w:val="ListParagraph"/>
        <w:numPr>
          <w:ilvl w:val="0"/>
          <w:numId w:val="26"/>
        </w:numPr>
        <w:spacing w:afterLines="60" w:after="144"/>
        <w:jc w:val="both"/>
      </w:pPr>
      <w:r>
        <w:t>CEPT is of the view that the pfd mask labelled as example b in Annex 2 of Resolution 155 (REV. WRC</w:t>
      </w:r>
      <w:r>
        <w:rPr>
          <w:rFonts w:ascii="MS Mincho" w:eastAsia="MS Mincho" w:hAnsi="MS Mincho" w:cs="MS Mincho" w:hint="eastAsia"/>
        </w:rPr>
        <w:t>‐</w:t>
      </w:r>
      <w:r>
        <w:t>19) is appropriate to protect the terrestrial services.</w:t>
      </w:r>
    </w:p>
    <w:p w14:paraId="23A63DE6" w14:textId="053373E4" w:rsidR="00F03B3E" w:rsidRDefault="00F03B3E">
      <w:pPr>
        <w:pStyle w:val="ListParagraph"/>
        <w:numPr>
          <w:ilvl w:val="0"/>
          <w:numId w:val="26"/>
        </w:numPr>
        <w:spacing w:afterLines="60" w:after="144"/>
        <w:jc w:val="both"/>
      </w:pPr>
      <w:r>
        <w:t>CEPT is of the view that the RR No. 5.149 for the protection of Radioastronomy from harmful interference in the frequency band 14.47</w:t>
      </w:r>
      <w:r w:rsidRPr="00F03B3E">
        <w:rPr>
          <w:rFonts w:ascii="MS Mincho" w:eastAsia="MS Mincho" w:hAnsi="MS Mincho" w:cs="MS Mincho" w:hint="eastAsia"/>
        </w:rPr>
        <w:t>‐</w:t>
      </w:r>
      <w:r>
        <w:t xml:space="preserve">14.5 GHz </w:t>
      </w:r>
      <w:proofErr w:type="gramStart"/>
      <w:r>
        <w:t>has to</w:t>
      </w:r>
      <w:proofErr w:type="gramEnd"/>
      <w:r>
        <w:t xml:space="preserve"> be taken into account.</w:t>
      </w:r>
    </w:p>
    <w:p w14:paraId="390752B9" w14:textId="26766F4C" w:rsidR="00F03B3E" w:rsidRDefault="00F03B3E">
      <w:pPr>
        <w:pStyle w:val="ListParagraph"/>
        <w:numPr>
          <w:ilvl w:val="0"/>
          <w:numId w:val="26"/>
        </w:numPr>
        <w:spacing w:afterLines="60" w:after="144"/>
        <w:jc w:val="both"/>
      </w:pPr>
      <w:r>
        <w:t>CEPT recognises that ICAO is responsible for the safe operation of aircraft including UAS and is developing appropriate SARPs covering all aspects of safe operation of UAS including the required communication system.</w:t>
      </w:r>
    </w:p>
    <w:p w14:paraId="33DAFD5D" w14:textId="55406787" w:rsidR="00F03B3E" w:rsidRPr="004112C7" w:rsidRDefault="00F03B3E" w:rsidP="004112C7">
      <w:pPr>
        <w:pStyle w:val="ListParagraph"/>
        <w:numPr>
          <w:ilvl w:val="0"/>
          <w:numId w:val="26"/>
        </w:numPr>
        <w:spacing w:afterLines="60" w:after="144"/>
        <w:jc w:val="both"/>
      </w:pPr>
      <w:r>
        <w:t>CEPT is of the view that if the conditions for the safety operation of CNPC established by ICAO cannot be met with the existing FSS link as it stands, then this link should not be used for UAS.</w:t>
      </w:r>
    </w:p>
    <w:p w14:paraId="53E7B534" w14:textId="5620343F" w:rsidR="00F03B3E" w:rsidRPr="00441526" w:rsidRDefault="00F03B3E" w:rsidP="00F03B3E">
      <w:pPr>
        <w:spacing w:after="120"/>
        <w:jc w:val="both"/>
        <w:rPr>
          <w:b/>
          <w:lang w:val="en-NZ" w:eastAsia="ko-KR"/>
        </w:rPr>
      </w:pPr>
      <w:r>
        <w:rPr>
          <w:b/>
          <w:lang w:val="en-NZ" w:eastAsia="ko-KR"/>
        </w:rPr>
        <w:t>7</w:t>
      </w:r>
      <w:r w:rsidRPr="00441526">
        <w:rPr>
          <w:b/>
          <w:lang w:val="en-NZ" w:eastAsia="ko-KR"/>
        </w:rPr>
        <w:t>.1.</w:t>
      </w:r>
      <w:r>
        <w:rPr>
          <w:b/>
          <w:lang w:val="en-NZ" w:eastAsia="ko-KR"/>
        </w:rPr>
        <w:t>5</w:t>
      </w:r>
      <w:r w:rsidRPr="00441526">
        <w:rPr>
          <w:b/>
          <w:lang w:val="en-NZ" w:eastAsia="ko-KR"/>
        </w:rPr>
        <w:t xml:space="preserve"> </w:t>
      </w:r>
      <w:r w:rsidRPr="00441526">
        <w:rPr>
          <w:b/>
          <w:lang w:val="en-NZ" w:eastAsia="ko-KR"/>
        </w:rPr>
        <w:tab/>
      </w:r>
      <w:r>
        <w:rPr>
          <w:b/>
          <w:lang w:val="en-NZ" w:eastAsia="ko-KR"/>
        </w:rPr>
        <w:t>RCC</w:t>
      </w:r>
      <w:r w:rsidRPr="00F24B1A">
        <w:rPr>
          <w:b/>
          <w:lang w:val="en-NZ" w:eastAsia="ko-KR"/>
        </w:rPr>
        <w:t xml:space="preserve"> </w:t>
      </w:r>
      <w:r>
        <w:rPr>
          <w:b/>
          <w:lang w:val="en-NZ" w:eastAsia="ko-KR"/>
        </w:rPr>
        <w:t>-</w:t>
      </w:r>
      <w:r w:rsidRPr="00F24B1A">
        <w:rPr>
          <w:b/>
          <w:lang w:val="en-NZ" w:eastAsia="ko-KR"/>
        </w:rPr>
        <w:t xml:space="preserve"> Document APG23-2/INF-</w:t>
      </w:r>
      <w:r>
        <w:rPr>
          <w:b/>
          <w:lang w:val="en-NZ" w:eastAsia="ko-KR"/>
        </w:rPr>
        <w:t>36</w:t>
      </w:r>
    </w:p>
    <w:p w14:paraId="7B1F74C9" w14:textId="3CC06589" w:rsidR="00F03B3E" w:rsidRPr="008242C6" w:rsidRDefault="00987EE7" w:rsidP="00F03B3E">
      <w:pPr>
        <w:pStyle w:val="ListParagraph"/>
        <w:numPr>
          <w:ilvl w:val="0"/>
          <w:numId w:val="26"/>
        </w:numPr>
        <w:spacing w:afterLines="60" w:after="144"/>
        <w:jc w:val="both"/>
        <w:rPr>
          <w:b/>
          <w:lang w:val="en-NZ" w:eastAsia="ko-KR"/>
        </w:rPr>
      </w:pPr>
      <w:r>
        <w:t>None</w:t>
      </w:r>
    </w:p>
    <w:p w14:paraId="3D74146A" w14:textId="6B750FDE" w:rsidR="002A0111" w:rsidRPr="004112C7" w:rsidRDefault="002A0111" w:rsidP="004112C7">
      <w:pPr>
        <w:spacing w:after="120"/>
        <w:jc w:val="both"/>
      </w:pPr>
    </w:p>
    <w:p w14:paraId="294000A6"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530DCF59" w14:textId="3E7729E1" w:rsidR="00987EE7" w:rsidRPr="008242C6" w:rsidRDefault="00987EE7" w:rsidP="00987EE7">
      <w:pPr>
        <w:pStyle w:val="ListParagraph"/>
        <w:numPr>
          <w:ilvl w:val="0"/>
          <w:numId w:val="26"/>
        </w:numPr>
        <w:spacing w:afterLines="60" w:after="144"/>
        <w:jc w:val="both"/>
        <w:rPr>
          <w:b/>
          <w:lang w:val="en-NZ" w:eastAsia="ko-KR"/>
        </w:rPr>
      </w:pPr>
      <w:r>
        <w:t>None</w:t>
      </w:r>
    </w:p>
    <w:p w14:paraId="273F0627" w14:textId="77777777" w:rsidR="002A0111" w:rsidRPr="00441526" w:rsidRDefault="002A0111" w:rsidP="002A0111">
      <w:pPr>
        <w:rPr>
          <w:lang w:val="en-NZ"/>
        </w:rPr>
      </w:pPr>
    </w:p>
    <w:p w14:paraId="39EB618E" w14:textId="77777777" w:rsidR="002A0111" w:rsidRPr="00441526" w:rsidRDefault="002A0111" w:rsidP="002A0111">
      <w:pPr>
        <w:rPr>
          <w:lang w:val="en-NZ"/>
        </w:rPr>
      </w:pPr>
    </w:p>
    <w:p w14:paraId="160A5F67" w14:textId="77777777" w:rsidR="002A0111" w:rsidRPr="00441526" w:rsidRDefault="002A0111" w:rsidP="002A0111">
      <w:pPr>
        <w:jc w:val="both"/>
        <w:rPr>
          <w:lang w:val="en-NZ"/>
        </w:rPr>
      </w:pPr>
    </w:p>
    <w:p w14:paraId="26FAAB97" w14:textId="77777777" w:rsidR="002A0111" w:rsidRPr="00441526" w:rsidRDefault="002A0111" w:rsidP="002A0111">
      <w:pPr>
        <w:rPr>
          <w:b/>
          <w:lang w:val="en-NZ"/>
        </w:rPr>
      </w:pPr>
    </w:p>
    <w:p w14:paraId="79958A08" w14:textId="77777777" w:rsidR="002A0111" w:rsidRPr="00710333" w:rsidRDefault="002A0111" w:rsidP="002A0111">
      <w:pPr>
        <w:jc w:val="center"/>
        <w:rPr>
          <w:snapToGrid w:val="0"/>
          <w:lang w:val="en-NZ"/>
        </w:rPr>
      </w:pPr>
      <w:r w:rsidRPr="00441526">
        <w:rPr>
          <w:lang w:val="en-NZ"/>
        </w:rPr>
        <w:t>____________</w:t>
      </w:r>
    </w:p>
    <w:p w14:paraId="131C3864" w14:textId="0D0B94BD" w:rsidR="00654896" w:rsidRPr="002A0111" w:rsidRDefault="00654896">
      <w:pPr>
        <w:tabs>
          <w:tab w:val="left" w:pos="1410"/>
        </w:tabs>
        <w:rPr>
          <w:lang w:val="en-NZ"/>
        </w:rPr>
      </w:pPr>
    </w:p>
    <w:sectPr w:rsidR="00654896" w:rsidRPr="002A0111" w:rsidSect="00C516C7">
      <w:headerReference w:type="even" r:id="rId9"/>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53CB" w14:textId="77777777" w:rsidR="00D570DD" w:rsidRDefault="00D570DD">
      <w:r>
        <w:separator/>
      </w:r>
    </w:p>
  </w:endnote>
  <w:endnote w:type="continuationSeparator" w:id="0">
    <w:p w14:paraId="451525A6" w14:textId="77777777" w:rsidR="00D570DD" w:rsidRDefault="00D5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GulimChe">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8FE2"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78C4C"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83D0" w14:textId="3A853F33"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CF500C">
      <w:rPr>
        <w:lang w:eastAsia="ko-KR"/>
      </w:rPr>
      <w:t>OUT</w:t>
    </w:r>
    <w:r>
      <w:rPr>
        <w:lang w:eastAsia="ko-KR"/>
      </w:rPr>
      <w:t>-</w:t>
    </w:r>
    <w:r w:rsidR="00CF500C">
      <w:rPr>
        <w:lang w:eastAsia="ko-KR"/>
      </w:rPr>
      <w:t>15</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353BB9">
      <w:rPr>
        <w:rStyle w:val="PageNumber"/>
        <w:noProof/>
      </w:rPr>
      <w:t>4</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353BB9">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1419F72D" w14:textId="77777777" w:rsidTr="00BB0EA4">
      <w:trPr>
        <w:trHeight w:val="432"/>
      </w:trPr>
      <w:tc>
        <w:tcPr>
          <w:tcW w:w="1296" w:type="dxa"/>
          <w:tcBorders>
            <w:top w:val="single" w:sz="8" w:space="0" w:color="auto"/>
            <w:bottom w:val="nil"/>
            <w:right w:val="nil"/>
          </w:tcBorders>
        </w:tcPr>
        <w:p w14:paraId="66848A9B"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05C64CA1" w14:textId="237FE777" w:rsidR="0092727B" w:rsidRDefault="001570BC" w:rsidP="0092727B">
          <w:pPr>
            <w:pStyle w:val="Footer"/>
            <w:tabs>
              <w:tab w:val="clear" w:pos="4320"/>
              <w:tab w:val="clear" w:pos="8640"/>
            </w:tabs>
          </w:pPr>
          <w:r>
            <w:t>D</w:t>
          </w:r>
          <w:r w:rsidR="00B0050B">
            <w:t xml:space="preserve">r. </w:t>
          </w:r>
          <w:r>
            <w:t>Nguyen Anh TUAN</w:t>
          </w:r>
        </w:p>
        <w:p w14:paraId="23767AAE" w14:textId="23B734CF" w:rsidR="002A0111" w:rsidRPr="002A0111" w:rsidRDefault="002A0111" w:rsidP="0092727B">
          <w:pPr>
            <w:pStyle w:val="Footer"/>
            <w:tabs>
              <w:tab w:val="clear" w:pos="4320"/>
              <w:tab w:val="clear" w:pos="8640"/>
            </w:tabs>
          </w:pPr>
          <w:r>
            <w:t>Chairman, DG AI1.</w:t>
          </w:r>
          <w:r w:rsidR="001570BC">
            <w:t>8</w:t>
          </w:r>
        </w:p>
      </w:tc>
      <w:tc>
        <w:tcPr>
          <w:tcW w:w="2880" w:type="dxa"/>
          <w:tcBorders>
            <w:top w:val="single" w:sz="8" w:space="0" w:color="auto"/>
            <w:left w:val="nil"/>
            <w:bottom w:val="nil"/>
          </w:tcBorders>
        </w:tcPr>
        <w:p w14:paraId="134D35E9" w14:textId="3B64E6B9" w:rsidR="0092727B" w:rsidRPr="0092727B" w:rsidRDefault="0092727B" w:rsidP="0092727B">
          <w:pPr>
            <w:pStyle w:val="Footer"/>
            <w:tabs>
              <w:tab w:val="clear" w:pos="4320"/>
              <w:tab w:val="clear" w:pos="8640"/>
            </w:tabs>
          </w:pPr>
          <w:r>
            <w:t>E-mail:</w:t>
          </w:r>
          <w:r w:rsidR="00B0050B">
            <w:t xml:space="preserve"> </w:t>
          </w:r>
          <w:hyperlink r:id="rId1" w:history="1">
            <w:r w:rsidR="00096B24" w:rsidRPr="00EF616B">
              <w:rPr>
                <w:rStyle w:val="Hyperlink"/>
              </w:rPr>
              <w:t>tuanna3@vnpt.vn</w:t>
            </w:r>
          </w:hyperlink>
          <w:r w:rsidR="00096B24">
            <w:t xml:space="preserve"> </w:t>
          </w:r>
        </w:p>
      </w:tc>
    </w:tr>
  </w:tbl>
  <w:p w14:paraId="432C306C"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CA47" w14:textId="77777777" w:rsidR="00D570DD" w:rsidRDefault="00D570DD">
      <w:r>
        <w:separator/>
      </w:r>
    </w:p>
  </w:footnote>
  <w:footnote w:type="continuationSeparator" w:id="0">
    <w:p w14:paraId="311F525C" w14:textId="77777777" w:rsidR="00D570DD" w:rsidRDefault="00D5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F077" w14:textId="77777777" w:rsidR="00CF500C" w:rsidRDefault="00CF5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ACBF" w14:textId="77777777" w:rsidR="0097693B" w:rsidRDefault="0097693B" w:rsidP="0092727B">
    <w:pPr>
      <w:pStyle w:val="Header"/>
      <w:tabs>
        <w:tab w:val="clear" w:pos="4320"/>
        <w:tab w:val="clear" w:pos="8640"/>
      </w:tabs>
      <w:rPr>
        <w:lang w:eastAsia="ko-KR"/>
      </w:rPr>
    </w:pPr>
  </w:p>
  <w:p w14:paraId="7485F7B2"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BE89"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0D3251C"/>
    <w:multiLevelType w:val="multilevel"/>
    <w:tmpl w:val="B0BA80B0"/>
    <w:lvl w:ilvl="0">
      <w:start w:val="3"/>
      <w:numFmt w:val="bullet"/>
      <w:lvlText w:val="–"/>
      <w:lvlJc w:val="left"/>
      <w:pPr>
        <w:ind w:left="360" w:hanging="360"/>
      </w:pPr>
      <w:rPr>
        <w:rFonts w:ascii="Calibri" w:eastAsia="SimSun" w:hAnsi="Calibri"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9005A4"/>
    <w:multiLevelType w:val="multilevel"/>
    <w:tmpl w:val="2E9005A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1D85BF5"/>
    <w:multiLevelType w:val="hybridMultilevel"/>
    <w:tmpl w:val="3F1A14B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7AA9F40">
      <w:start w:val="1"/>
      <w:numFmt w:val="bullet"/>
      <w:lvlText w:val="-"/>
      <w:lvlJc w:val="left"/>
      <w:pPr>
        <w:ind w:left="1120" w:hanging="400"/>
      </w:pPr>
      <w:rPr>
        <w:rFonts w:ascii="Times New Roman" w:eastAsiaTheme="minorEastAsia"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3932CB"/>
    <w:multiLevelType w:val="hybridMultilevel"/>
    <w:tmpl w:val="95961A8A"/>
    <w:lvl w:ilvl="0" w:tplc="BA6AFD1E">
      <w:start w:val="3"/>
      <w:numFmt w:val="bullet"/>
      <w:lvlText w:val="–"/>
      <w:lvlJc w:val="left"/>
      <w:pPr>
        <w:ind w:left="1440" w:hanging="360"/>
      </w:pPr>
      <w:rPr>
        <w:rFonts w:ascii="Calibri" w:eastAsia="SimSun"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C2422F"/>
    <w:multiLevelType w:val="hybridMultilevel"/>
    <w:tmpl w:val="CB565100"/>
    <w:lvl w:ilvl="0" w:tplc="9836CE3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BC4958"/>
    <w:multiLevelType w:val="hybridMultilevel"/>
    <w:tmpl w:val="075CD20E"/>
    <w:lvl w:ilvl="0" w:tplc="B7AA9F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7973512"/>
    <w:multiLevelType w:val="hybridMultilevel"/>
    <w:tmpl w:val="318AF72A"/>
    <w:lvl w:ilvl="0" w:tplc="BA6AFD1E">
      <w:start w:val="3"/>
      <w:numFmt w:val="bullet"/>
      <w:lvlText w:val="–"/>
      <w:lvlJc w:val="left"/>
      <w:pPr>
        <w:ind w:left="720" w:hanging="360"/>
      </w:pPr>
      <w:rPr>
        <w:rFonts w:ascii="Calibri" w:eastAsia="SimSun" w:hAnsi="Calibri" w:cstheme="minorBidi" w:hint="default"/>
      </w:rPr>
    </w:lvl>
    <w:lvl w:ilvl="1" w:tplc="AB16ECE0">
      <w:numFmt w:val="bullet"/>
      <w:lvlText w:val="•"/>
      <w:lvlJc w:val="left"/>
      <w:pPr>
        <w:ind w:left="1440" w:hanging="360"/>
      </w:pPr>
      <w:rPr>
        <w:rFonts w:ascii="BatangChe" w:eastAsia="BatangChe" w:hAnsi="BatangChe"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6"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2"/>
  </w:num>
  <w:num w:numId="2">
    <w:abstractNumId w:val="6"/>
  </w:num>
  <w:num w:numId="3">
    <w:abstractNumId w:val="5"/>
  </w:num>
  <w:num w:numId="4">
    <w:abstractNumId w:val="21"/>
  </w:num>
  <w:num w:numId="5">
    <w:abstractNumId w:val="10"/>
  </w:num>
  <w:num w:numId="6">
    <w:abstractNumId w:val="13"/>
  </w:num>
  <w:num w:numId="7">
    <w:abstractNumId w:val="3"/>
  </w:num>
  <w:num w:numId="8">
    <w:abstractNumId w:val="1"/>
  </w:num>
  <w:num w:numId="9">
    <w:abstractNumId w:val="25"/>
  </w:num>
  <w:num w:numId="10">
    <w:abstractNumId w:val="17"/>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6"/>
  </w:num>
  <w:num w:numId="17">
    <w:abstractNumId w:val="16"/>
  </w:num>
  <w:num w:numId="18">
    <w:abstractNumId w:val="14"/>
  </w:num>
  <w:num w:numId="19">
    <w:abstractNumId w:val="23"/>
  </w:num>
  <w:num w:numId="20">
    <w:abstractNumId w:val="9"/>
  </w:num>
  <w:num w:numId="21">
    <w:abstractNumId w:val="22"/>
  </w:num>
  <w:num w:numId="22">
    <w:abstractNumId w:val="27"/>
  </w:num>
  <w:num w:numId="23">
    <w:abstractNumId w:val="19"/>
  </w:num>
  <w:num w:numId="24">
    <w:abstractNumId w:val="20"/>
  </w:num>
  <w:num w:numId="25">
    <w:abstractNumId w:val="11"/>
  </w:num>
  <w:num w:numId="26">
    <w:abstractNumId w:val="2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144"/>
    <w:rsid w:val="00036517"/>
    <w:rsid w:val="00036CC9"/>
    <w:rsid w:val="00040149"/>
    <w:rsid w:val="00070642"/>
    <w:rsid w:val="000713CF"/>
    <w:rsid w:val="00075C14"/>
    <w:rsid w:val="000822B5"/>
    <w:rsid w:val="00094B87"/>
    <w:rsid w:val="00096B24"/>
    <w:rsid w:val="000A012B"/>
    <w:rsid w:val="000A5418"/>
    <w:rsid w:val="000B2035"/>
    <w:rsid w:val="000D47FB"/>
    <w:rsid w:val="000E1B62"/>
    <w:rsid w:val="000F345F"/>
    <w:rsid w:val="000F517C"/>
    <w:rsid w:val="000F5540"/>
    <w:rsid w:val="000F5D03"/>
    <w:rsid w:val="00102C75"/>
    <w:rsid w:val="00105F1A"/>
    <w:rsid w:val="001238B2"/>
    <w:rsid w:val="00125FBD"/>
    <w:rsid w:val="001409B2"/>
    <w:rsid w:val="001462E8"/>
    <w:rsid w:val="00152636"/>
    <w:rsid w:val="001539DD"/>
    <w:rsid w:val="00156782"/>
    <w:rsid w:val="001570BC"/>
    <w:rsid w:val="00165F01"/>
    <w:rsid w:val="001731F4"/>
    <w:rsid w:val="0018336A"/>
    <w:rsid w:val="001916F2"/>
    <w:rsid w:val="001930A7"/>
    <w:rsid w:val="00196568"/>
    <w:rsid w:val="00197C18"/>
    <w:rsid w:val="001A2F16"/>
    <w:rsid w:val="001B1804"/>
    <w:rsid w:val="001B18C2"/>
    <w:rsid w:val="001C443F"/>
    <w:rsid w:val="001C6114"/>
    <w:rsid w:val="001C61A5"/>
    <w:rsid w:val="001C6707"/>
    <w:rsid w:val="001D5D7E"/>
    <w:rsid w:val="001E35DE"/>
    <w:rsid w:val="001F5947"/>
    <w:rsid w:val="00202410"/>
    <w:rsid w:val="00207012"/>
    <w:rsid w:val="00213947"/>
    <w:rsid w:val="0021495E"/>
    <w:rsid w:val="00214A0C"/>
    <w:rsid w:val="0021588B"/>
    <w:rsid w:val="002161B6"/>
    <w:rsid w:val="002216AC"/>
    <w:rsid w:val="0023212E"/>
    <w:rsid w:val="002475E2"/>
    <w:rsid w:val="002506D2"/>
    <w:rsid w:val="00250DE2"/>
    <w:rsid w:val="00254A1B"/>
    <w:rsid w:val="0026064A"/>
    <w:rsid w:val="00264566"/>
    <w:rsid w:val="0028454D"/>
    <w:rsid w:val="00291C9E"/>
    <w:rsid w:val="002926D4"/>
    <w:rsid w:val="0029734E"/>
    <w:rsid w:val="002A0111"/>
    <w:rsid w:val="002A3CF5"/>
    <w:rsid w:val="002B06A3"/>
    <w:rsid w:val="002B435C"/>
    <w:rsid w:val="002B447F"/>
    <w:rsid w:val="002C0136"/>
    <w:rsid w:val="002C07DA"/>
    <w:rsid w:val="002C2A49"/>
    <w:rsid w:val="002C7EA9"/>
    <w:rsid w:val="002F575D"/>
    <w:rsid w:val="003113D7"/>
    <w:rsid w:val="00311E8A"/>
    <w:rsid w:val="00326F7D"/>
    <w:rsid w:val="00331AD0"/>
    <w:rsid w:val="00342F20"/>
    <w:rsid w:val="00353BB9"/>
    <w:rsid w:val="00360377"/>
    <w:rsid w:val="00366548"/>
    <w:rsid w:val="0038005B"/>
    <w:rsid w:val="003809C7"/>
    <w:rsid w:val="0038236C"/>
    <w:rsid w:val="0039233A"/>
    <w:rsid w:val="00393DCD"/>
    <w:rsid w:val="00395B40"/>
    <w:rsid w:val="003A2006"/>
    <w:rsid w:val="003A6568"/>
    <w:rsid w:val="003B4FD1"/>
    <w:rsid w:val="003B6263"/>
    <w:rsid w:val="003C29E6"/>
    <w:rsid w:val="003C4ABF"/>
    <w:rsid w:val="003C64A7"/>
    <w:rsid w:val="003D1128"/>
    <w:rsid w:val="003D1671"/>
    <w:rsid w:val="003D3D47"/>
    <w:rsid w:val="003D3FDA"/>
    <w:rsid w:val="003D6D00"/>
    <w:rsid w:val="003E166F"/>
    <w:rsid w:val="003F307E"/>
    <w:rsid w:val="004001E5"/>
    <w:rsid w:val="004112C7"/>
    <w:rsid w:val="0041313C"/>
    <w:rsid w:val="00420822"/>
    <w:rsid w:val="00420C74"/>
    <w:rsid w:val="00441526"/>
    <w:rsid w:val="004465AA"/>
    <w:rsid w:val="00446A5E"/>
    <w:rsid w:val="0045458F"/>
    <w:rsid w:val="004633B4"/>
    <w:rsid w:val="0049433D"/>
    <w:rsid w:val="00495CED"/>
    <w:rsid w:val="004A2F96"/>
    <w:rsid w:val="004A4BDF"/>
    <w:rsid w:val="004B3553"/>
    <w:rsid w:val="004B3F4B"/>
    <w:rsid w:val="004B717A"/>
    <w:rsid w:val="004D32C4"/>
    <w:rsid w:val="004D6DB0"/>
    <w:rsid w:val="004E1FCA"/>
    <w:rsid w:val="004E47D6"/>
    <w:rsid w:val="004E7DB5"/>
    <w:rsid w:val="00503189"/>
    <w:rsid w:val="00516BD1"/>
    <w:rsid w:val="005206E9"/>
    <w:rsid w:val="00525D1F"/>
    <w:rsid w:val="00526D01"/>
    <w:rsid w:val="00530E8C"/>
    <w:rsid w:val="00535D34"/>
    <w:rsid w:val="00545933"/>
    <w:rsid w:val="00552105"/>
    <w:rsid w:val="005562F2"/>
    <w:rsid w:val="00557544"/>
    <w:rsid w:val="00565BBB"/>
    <w:rsid w:val="00571B26"/>
    <w:rsid w:val="00585F3C"/>
    <w:rsid w:val="00586CA0"/>
    <w:rsid w:val="00587875"/>
    <w:rsid w:val="005A63EB"/>
    <w:rsid w:val="005B0876"/>
    <w:rsid w:val="005C33B6"/>
    <w:rsid w:val="005D6202"/>
    <w:rsid w:val="005D6E98"/>
    <w:rsid w:val="005D7D2C"/>
    <w:rsid w:val="005F093A"/>
    <w:rsid w:val="00607E2B"/>
    <w:rsid w:val="006139D6"/>
    <w:rsid w:val="00616D1B"/>
    <w:rsid w:val="00623CE1"/>
    <w:rsid w:val="00625D6C"/>
    <w:rsid w:val="00626D9A"/>
    <w:rsid w:val="00627880"/>
    <w:rsid w:val="0063062B"/>
    <w:rsid w:val="00634A82"/>
    <w:rsid w:val="00637351"/>
    <w:rsid w:val="00641DF2"/>
    <w:rsid w:val="0064357B"/>
    <w:rsid w:val="00646166"/>
    <w:rsid w:val="00652633"/>
    <w:rsid w:val="00652BDD"/>
    <w:rsid w:val="00654896"/>
    <w:rsid w:val="006621F0"/>
    <w:rsid w:val="006647BA"/>
    <w:rsid w:val="00667229"/>
    <w:rsid w:val="00682BE5"/>
    <w:rsid w:val="00683846"/>
    <w:rsid w:val="00687D20"/>
    <w:rsid w:val="00690FED"/>
    <w:rsid w:val="006939A5"/>
    <w:rsid w:val="006B09DB"/>
    <w:rsid w:val="006D5223"/>
    <w:rsid w:val="006D5970"/>
    <w:rsid w:val="006E12FC"/>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4190C"/>
    <w:rsid w:val="0074416A"/>
    <w:rsid w:val="00752089"/>
    <w:rsid w:val="0075493D"/>
    <w:rsid w:val="00762576"/>
    <w:rsid w:val="00764F52"/>
    <w:rsid w:val="007673CA"/>
    <w:rsid w:val="00791060"/>
    <w:rsid w:val="007926EA"/>
    <w:rsid w:val="007B5626"/>
    <w:rsid w:val="007B6124"/>
    <w:rsid w:val="007C78AE"/>
    <w:rsid w:val="007D3C53"/>
    <w:rsid w:val="007E3A0F"/>
    <w:rsid w:val="007F0AE6"/>
    <w:rsid w:val="007F2628"/>
    <w:rsid w:val="007F2FBA"/>
    <w:rsid w:val="007F51CA"/>
    <w:rsid w:val="008003C1"/>
    <w:rsid w:val="00800C3A"/>
    <w:rsid w:val="0080570B"/>
    <w:rsid w:val="008138E8"/>
    <w:rsid w:val="008148E1"/>
    <w:rsid w:val="00822B33"/>
    <w:rsid w:val="008319BF"/>
    <w:rsid w:val="008415F0"/>
    <w:rsid w:val="008433C2"/>
    <w:rsid w:val="00844072"/>
    <w:rsid w:val="00844457"/>
    <w:rsid w:val="008454C8"/>
    <w:rsid w:val="00851D78"/>
    <w:rsid w:val="0087122A"/>
    <w:rsid w:val="008A016F"/>
    <w:rsid w:val="008A1A0D"/>
    <w:rsid w:val="008A1C0A"/>
    <w:rsid w:val="008A72E1"/>
    <w:rsid w:val="008A76ED"/>
    <w:rsid w:val="008B3C72"/>
    <w:rsid w:val="008C5FED"/>
    <w:rsid w:val="008D0E09"/>
    <w:rsid w:val="008F6E99"/>
    <w:rsid w:val="00903007"/>
    <w:rsid w:val="00923816"/>
    <w:rsid w:val="0092727B"/>
    <w:rsid w:val="0093074B"/>
    <w:rsid w:val="00930E64"/>
    <w:rsid w:val="009359C7"/>
    <w:rsid w:val="00943CF9"/>
    <w:rsid w:val="00956F8C"/>
    <w:rsid w:val="00961D57"/>
    <w:rsid w:val="00976716"/>
    <w:rsid w:val="0097693B"/>
    <w:rsid w:val="00987EE7"/>
    <w:rsid w:val="00991C4E"/>
    <w:rsid w:val="00993355"/>
    <w:rsid w:val="00993396"/>
    <w:rsid w:val="009963F7"/>
    <w:rsid w:val="009A11CB"/>
    <w:rsid w:val="009A4A6D"/>
    <w:rsid w:val="009B44DD"/>
    <w:rsid w:val="009B5988"/>
    <w:rsid w:val="009B7E42"/>
    <w:rsid w:val="009C7235"/>
    <w:rsid w:val="009D46CE"/>
    <w:rsid w:val="009D4ADA"/>
    <w:rsid w:val="009E13DD"/>
    <w:rsid w:val="009F547A"/>
    <w:rsid w:val="00A01A8D"/>
    <w:rsid w:val="00A03D78"/>
    <w:rsid w:val="00A0503B"/>
    <w:rsid w:val="00A059CD"/>
    <w:rsid w:val="00A13265"/>
    <w:rsid w:val="00A14900"/>
    <w:rsid w:val="00A2159F"/>
    <w:rsid w:val="00A23C16"/>
    <w:rsid w:val="00A324FF"/>
    <w:rsid w:val="00A35FF5"/>
    <w:rsid w:val="00A529BC"/>
    <w:rsid w:val="00A5346C"/>
    <w:rsid w:val="00A53F51"/>
    <w:rsid w:val="00A562F0"/>
    <w:rsid w:val="00A564FB"/>
    <w:rsid w:val="00A614C1"/>
    <w:rsid w:val="00A61EA6"/>
    <w:rsid w:val="00A64DF3"/>
    <w:rsid w:val="00A657BF"/>
    <w:rsid w:val="00A700A8"/>
    <w:rsid w:val="00A71136"/>
    <w:rsid w:val="00A92578"/>
    <w:rsid w:val="00AA474C"/>
    <w:rsid w:val="00AC1109"/>
    <w:rsid w:val="00AC35EF"/>
    <w:rsid w:val="00AC4D5B"/>
    <w:rsid w:val="00AD1DDB"/>
    <w:rsid w:val="00AD2697"/>
    <w:rsid w:val="00AD7E5F"/>
    <w:rsid w:val="00AE1374"/>
    <w:rsid w:val="00AE3066"/>
    <w:rsid w:val="00AF68E4"/>
    <w:rsid w:val="00B0050B"/>
    <w:rsid w:val="00B00A87"/>
    <w:rsid w:val="00B01AA1"/>
    <w:rsid w:val="00B06025"/>
    <w:rsid w:val="00B14DA9"/>
    <w:rsid w:val="00B30C81"/>
    <w:rsid w:val="00B30DA1"/>
    <w:rsid w:val="00B4793B"/>
    <w:rsid w:val="00B520B1"/>
    <w:rsid w:val="00B56099"/>
    <w:rsid w:val="00B64A60"/>
    <w:rsid w:val="00B661AC"/>
    <w:rsid w:val="00B8468D"/>
    <w:rsid w:val="00B929E9"/>
    <w:rsid w:val="00B937D7"/>
    <w:rsid w:val="00B96B67"/>
    <w:rsid w:val="00BB0EA4"/>
    <w:rsid w:val="00BC57EF"/>
    <w:rsid w:val="00BC69DB"/>
    <w:rsid w:val="00BE6969"/>
    <w:rsid w:val="00BE6B6B"/>
    <w:rsid w:val="00BF25F9"/>
    <w:rsid w:val="00C00B04"/>
    <w:rsid w:val="00C13FD5"/>
    <w:rsid w:val="00C15633"/>
    <w:rsid w:val="00C15799"/>
    <w:rsid w:val="00C21330"/>
    <w:rsid w:val="00C32E84"/>
    <w:rsid w:val="00C35415"/>
    <w:rsid w:val="00C357AD"/>
    <w:rsid w:val="00C361EC"/>
    <w:rsid w:val="00C43B03"/>
    <w:rsid w:val="00C516C7"/>
    <w:rsid w:val="00C51C5F"/>
    <w:rsid w:val="00C554CC"/>
    <w:rsid w:val="00C6069C"/>
    <w:rsid w:val="00C70477"/>
    <w:rsid w:val="00C72AD4"/>
    <w:rsid w:val="00C74745"/>
    <w:rsid w:val="00C85119"/>
    <w:rsid w:val="00C95C48"/>
    <w:rsid w:val="00CA41E7"/>
    <w:rsid w:val="00CA5D99"/>
    <w:rsid w:val="00CB45DA"/>
    <w:rsid w:val="00CD170C"/>
    <w:rsid w:val="00CD320B"/>
    <w:rsid w:val="00CD3F37"/>
    <w:rsid w:val="00CD5431"/>
    <w:rsid w:val="00CE4B93"/>
    <w:rsid w:val="00CF2491"/>
    <w:rsid w:val="00CF3963"/>
    <w:rsid w:val="00CF500C"/>
    <w:rsid w:val="00D1252E"/>
    <w:rsid w:val="00D13D9D"/>
    <w:rsid w:val="00D14AFE"/>
    <w:rsid w:val="00D416A3"/>
    <w:rsid w:val="00D459A2"/>
    <w:rsid w:val="00D530FF"/>
    <w:rsid w:val="00D53688"/>
    <w:rsid w:val="00D5407A"/>
    <w:rsid w:val="00D570DD"/>
    <w:rsid w:val="00D57772"/>
    <w:rsid w:val="00D71246"/>
    <w:rsid w:val="00D72AE3"/>
    <w:rsid w:val="00D75A4D"/>
    <w:rsid w:val="00D75AD9"/>
    <w:rsid w:val="00D8478B"/>
    <w:rsid w:val="00D86151"/>
    <w:rsid w:val="00D90C92"/>
    <w:rsid w:val="00D9172D"/>
    <w:rsid w:val="00D97E84"/>
    <w:rsid w:val="00DA5641"/>
    <w:rsid w:val="00DA7595"/>
    <w:rsid w:val="00DB0A68"/>
    <w:rsid w:val="00DB4FE3"/>
    <w:rsid w:val="00DC368E"/>
    <w:rsid w:val="00DC43A3"/>
    <w:rsid w:val="00DC4CF3"/>
    <w:rsid w:val="00DC5C01"/>
    <w:rsid w:val="00DD4C23"/>
    <w:rsid w:val="00DD7C09"/>
    <w:rsid w:val="00DF0EB4"/>
    <w:rsid w:val="00DF111E"/>
    <w:rsid w:val="00E0124F"/>
    <w:rsid w:val="00E346F7"/>
    <w:rsid w:val="00E5762A"/>
    <w:rsid w:val="00E674D3"/>
    <w:rsid w:val="00E70FD0"/>
    <w:rsid w:val="00E72B2C"/>
    <w:rsid w:val="00E7309D"/>
    <w:rsid w:val="00E77C4B"/>
    <w:rsid w:val="00E9301F"/>
    <w:rsid w:val="00E9690A"/>
    <w:rsid w:val="00E97DC7"/>
    <w:rsid w:val="00F000EF"/>
    <w:rsid w:val="00F00F69"/>
    <w:rsid w:val="00F0196E"/>
    <w:rsid w:val="00F03B3E"/>
    <w:rsid w:val="00F24B1A"/>
    <w:rsid w:val="00F2504E"/>
    <w:rsid w:val="00F2585B"/>
    <w:rsid w:val="00F4053F"/>
    <w:rsid w:val="00F516E7"/>
    <w:rsid w:val="00F57BF7"/>
    <w:rsid w:val="00F6263E"/>
    <w:rsid w:val="00F627C2"/>
    <w:rsid w:val="00F736FD"/>
    <w:rsid w:val="00F84067"/>
    <w:rsid w:val="00F96FE1"/>
    <w:rsid w:val="00FA50B4"/>
    <w:rsid w:val="00FB6E83"/>
    <w:rsid w:val="00FC156A"/>
    <w:rsid w:val="00FD3BAD"/>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62DAC"/>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3C4ABF"/>
    <w:rPr>
      <w:rFonts w:eastAsia="BatangChe"/>
      <w:sz w:val="24"/>
      <w:szCs w:val="24"/>
    </w:rPr>
  </w:style>
  <w:style w:type="character" w:customStyle="1" w:styleId="apple-style-span">
    <w:name w:val="apple-style-span"/>
    <w:basedOn w:val="DefaultParagraphFont"/>
    <w:rsid w:val="003C4ABF"/>
  </w:style>
  <w:style w:type="paragraph" w:customStyle="1" w:styleId="ListParagraph1">
    <w:name w:val="List Paragraph1"/>
    <w:basedOn w:val="Normal"/>
    <w:uiPriority w:val="34"/>
    <w:qFormat/>
    <w:rsid w:val="00A700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4303">
      <w:bodyDiv w:val="1"/>
      <w:marLeft w:val="0"/>
      <w:marRight w:val="0"/>
      <w:marTop w:val="0"/>
      <w:marBottom w:val="0"/>
      <w:divBdr>
        <w:top w:val="none" w:sz="0" w:space="0" w:color="auto"/>
        <w:left w:val="none" w:sz="0" w:space="0" w:color="auto"/>
        <w:bottom w:val="none" w:sz="0" w:space="0" w:color="auto"/>
        <w:right w:val="none" w:sz="0" w:space="0" w:color="auto"/>
      </w:divBdr>
    </w:div>
    <w:div w:id="875698656">
      <w:bodyDiv w:val="1"/>
      <w:marLeft w:val="0"/>
      <w:marRight w:val="0"/>
      <w:marTop w:val="0"/>
      <w:marBottom w:val="0"/>
      <w:divBdr>
        <w:top w:val="none" w:sz="0" w:space="0" w:color="auto"/>
        <w:left w:val="none" w:sz="0" w:space="0" w:color="auto"/>
        <w:bottom w:val="none" w:sz="0" w:space="0" w:color="auto"/>
        <w:right w:val="none" w:sz="0" w:space="0" w:color="auto"/>
      </w:divBdr>
    </w:div>
    <w:div w:id="944121404">
      <w:bodyDiv w:val="1"/>
      <w:marLeft w:val="0"/>
      <w:marRight w:val="0"/>
      <w:marTop w:val="0"/>
      <w:marBottom w:val="0"/>
      <w:divBdr>
        <w:top w:val="none" w:sz="0" w:space="0" w:color="auto"/>
        <w:left w:val="none" w:sz="0" w:space="0" w:color="auto"/>
        <w:bottom w:val="none" w:sz="0" w:space="0" w:color="auto"/>
        <w:right w:val="none" w:sz="0" w:space="0" w:color="auto"/>
      </w:divBdr>
    </w:div>
    <w:div w:id="1225529263">
      <w:bodyDiv w:val="1"/>
      <w:marLeft w:val="0"/>
      <w:marRight w:val="0"/>
      <w:marTop w:val="0"/>
      <w:marBottom w:val="0"/>
      <w:divBdr>
        <w:top w:val="none" w:sz="0" w:space="0" w:color="auto"/>
        <w:left w:val="none" w:sz="0" w:space="0" w:color="auto"/>
        <w:bottom w:val="none" w:sz="0" w:space="0" w:color="auto"/>
        <w:right w:val="none" w:sz="0" w:space="0" w:color="auto"/>
      </w:divBdr>
    </w:div>
    <w:div w:id="1292370754">
      <w:bodyDiv w:val="1"/>
      <w:marLeft w:val="0"/>
      <w:marRight w:val="0"/>
      <w:marTop w:val="0"/>
      <w:marBottom w:val="0"/>
      <w:divBdr>
        <w:top w:val="none" w:sz="0" w:space="0" w:color="auto"/>
        <w:left w:val="none" w:sz="0" w:space="0" w:color="auto"/>
        <w:bottom w:val="none" w:sz="0" w:space="0" w:color="auto"/>
        <w:right w:val="none" w:sz="0" w:space="0" w:color="auto"/>
      </w:divBdr>
    </w:div>
    <w:div w:id="1488739968">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81060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tuanna3@vnp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7788-B54F-486C-ABDA-7A7EB4A3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7760</Characters>
  <Application>Microsoft Office Word</Application>
  <DocSecurity>0</DocSecurity>
  <Lines>64</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6</cp:revision>
  <cp:lastPrinted>2015-02-02T07:28:00Z</cp:lastPrinted>
  <dcterms:created xsi:type="dcterms:W3CDTF">2021-04-23T05:44:00Z</dcterms:created>
  <dcterms:modified xsi:type="dcterms:W3CDTF">2021-04-27T02:37:00Z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caas-kokpinp@soe.sgnet.gov.sg</vt:lpwstr>
  </property>
  <property fmtid="{D5CDD505-2E9C-101B-9397-08002B2CF9AE}" pid="5" name="MSIP_Label_3f9331f7-95a2-472a-92bc-d73219eb516b_SetDate">
    <vt:lpwstr>2021-04-19T08:15:54.0065857Z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db71c37c-f8da-4319-8f9e-b7ea1cd1966a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caas-kokpinp@soe.sgnet.gov.sg</vt:lpwstr>
  </property>
  <property fmtid="{D5CDD505-2E9C-101B-9397-08002B2CF9AE}" pid="13" name="MSIP_Label_4f288355-fb4c-44cd-b9ca-40cfc2aee5f8_SetDate">
    <vt:lpwstr>2021-04-19T08:15:54.0065857Z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db71c37c-f8da-4319-8f9e-b7ea1cd1966a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