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9" w:type="dxa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99"/>
        <w:gridCol w:w="5760"/>
        <w:gridCol w:w="2160"/>
      </w:tblGrid>
      <w:tr w:rsidR="00C516C7" w:rsidRPr="00891D0B" w14:paraId="36516CF6" w14:textId="77777777" w:rsidTr="00194A2D">
        <w:trPr>
          <w:cantSplit/>
          <w:trHeight w:val="288"/>
        </w:trPr>
        <w:tc>
          <w:tcPr>
            <w:tcW w:w="1399" w:type="dxa"/>
            <w:vMerge w:val="restart"/>
          </w:tcPr>
          <w:p w14:paraId="2AC5BF44" w14:textId="77777777" w:rsidR="00C516C7" w:rsidRPr="00891D0B" w:rsidRDefault="00C516C7" w:rsidP="00194A2D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7DA29BC9" wp14:editId="623F630E">
                  <wp:extent cx="762635" cy="7162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Tlogogreen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7F474A9F" w14:textId="77777777" w:rsidR="00C516C7" w:rsidRPr="00E86131" w:rsidRDefault="00C516C7" w:rsidP="00194A2D">
            <w:r w:rsidRPr="00E86131">
              <w:t>ASIA-PACIFIC TELECOMMUNITY</w:t>
            </w:r>
          </w:p>
        </w:tc>
        <w:tc>
          <w:tcPr>
            <w:tcW w:w="2160" w:type="dxa"/>
          </w:tcPr>
          <w:p w14:paraId="6D06BB6E" w14:textId="77777777" w:rsidR="00C516C7" w:rsidRPr="00723BE9" w:rsidRDefault="00C516C7" w:rsidP="00194A2D">
            <w:pPr>
              <w:rPr>
                <w:b/>
                <w:sz w:val="22"/>
                <w:szCs w:val="22"/>
              </w:rPr>
            </w:pPr>
            <w:r w:rsidRPr="00723BE9">
              <w:rPr>
                <w:b/>
              </w:rPr>
              <w:t>Document No:</w:t>
            </w:r>
          </w:p>
        </w:tc>
      </w:tr>
      <w:tr w:rsidR="00C516C7" w:rsidRPr="00C15799" w14:paraId="1E9B865E" w14:textId="77777777" w:rsidTr="00194A2D">
        <w:trPr>
          <w:cantSplit/>
          <w:trHeight w:val="504"/>
        </w:trPr>
        <w:tc>
          <w:tcPr>
            <w:tcW w:w="1399" w:type="dxa"/>
            <w:vMerge/>
          </w:tcPr>
          <w:p w14:paraId="6CCDF8E6" w14:textId="77777777" w:rsidR="00C516C7" w:rsidRPr="00891D0B" w:rsidRDefault="00C516C7" w:rsidP="00194A2D"/>
        </w:tc>
        <w:tc>
          <w:tcPr>
            <w:tcW w:w="5760" w:type="dxa"/>
          </w:tcPr>
          <w:p w14:paraId="34D28019" w14:textId="77777777" w:rsidR="00C516C7" w:rsidRDefault="00C516C7" w:rsidP="00194A2D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The </w:t>
            </w:r>
            <w:r w:rsidR="007F0AE6">
              <w:rPr>
                <w:b/>
              </w:rPr>
              <w:t>2nd</w:t>
            </w:r>
            <w:r>
              <w:rPr>
                <w:b/>
              </w:rPr>
              <w:t xml:space="preserve"> Meeting of the APT Conference Preparatory</w:t>
            </w:r>
          </w:p>
          <w:p w14:paraId="0A891255" w14:textId="77777777" w:rsidR="00C516C7" w:rsidRPr="00891D0B" w:rsidRDefault="00C516C7" w:rsidP="00194A2D">
            <w:pPr>
              <w:spacing w:line="0" w:lineRule="atLeast"/>
            </w:pPr>
            <w:r>
              <w:rPr>
                <w:b/>
              </w:rPr>
              <w:t>Group for WRC-</w:t>
            </w:r>
            <w:r w:rsidR="007F0AE6">
              <w:rPr>
                <w:b/>
              </w:rPr>
              <w:t>23</w:t>
            </w:r>
            <w:r>
              <w:rPr>
                <w:b/>
              </w:rPr>
              <w:t xml:space="preserve"> (APG</w:t>
            </w:r>
            <w:r w:rsidR="007F0AE6">
              <w:rPr>
                <w:b/>
              </w:rPr>
              <w:t>23</w:t>
            </w:r>
            <w:r>
              <w:rPr>
                <w:b/>
              </w:rPr>
              <w:t>-</w:t>
            </w:r>
            <w:r w:rsidR="007F0AE6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2160" w:type="dxa"/>
          </w:tcPr>
          <w:p w14:paraId="4790F2C9" w14:textId="15030E50" w:rsidR="00C516C7" w:rsidRDefault="00C516C7" w:rsidP="00194A2D">
            <w:pPr>
              <w:rPr>
                <w:b/>
                <w:bCs/>
                <w:lang w:val="fr-FR"/>
              </w:rPr>
            </w:pPr>
            <w:r w:rsidRPr="00C96104">
              <w:rPr>
                <w:b/>
                <w:bCs/>
                <w:lang w:val="fr-FR"/>
              </w:rPr>
              <w:t>AP</w:t>
            </w:r>
            <w:r>
              <w:rPr>
                <w:b/>
                <w:bCs/>
                <w:lang w:val="fr-FR"/>
              </w:rPr>
              <w:t>G</w:t>
            </w:r>
            <w:r w:rsidR="007F0AE6">
              <w:rPr>
                <w:b/>
                <w:bCs/>
                <w:lang w:val="fr-FR"/>
              </w:rPr>
              <w:t>23</w:t>
            </w:r>
            <w:r>
              <w:rPr>
                <w:b/>
                <w:bCs/>
                <w:lang w:val="fr-FR"/>
              </w:rPr>
              <w:t>-</w:t>
            </w:r>
            <w:r w:rsidR="007F0AE6"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lang w:val="fr-FR"/>
              </w:rPr>
              <w:t>/</w:t>
            </w:r>
            <w:r w:rsidR="00685734">
              <w:rPr>
                <w:b/>
                <w:bCs/>
                <w:lang w:val="fr-FR"/>
              </w:rPr>
              <w:t>OUT</w:t>
            </w:r>
            <w:r>
              <w:rPr>
                <w:b/>
                <w:bCs/>
                <w:lang w:val="fr-FR"/>
              </w:rPr>
              <w:t>-</w:t>
            </w:r>
            <w:r w:rsidR="00302EE5">
              <w:rPr>
                <w:b/>
                <w:bCs/>
                <w:lang w:val="fr-FR"/>
              </w:rPr>
              <w:t>2</w:t>
            </w:r>
            <w:r w:rsidR="00685734">
              <w:rPr>
                <w:b/>
                <w:bCs/>
                <w:lang w:val="fr-FR"/>
              </w:rPr>
              <w:t>6</w:t>
            </w:r>
          </w:p>
          <w:p w14:paraId="1EBEF3CB" w14:textId="77777777" w:rsidR="00C516C7" w:rsidRDefault="00C516C7" w:rsidP="00194A2D">
            <w:pPr>
              <w:spacing w:line="0" w:lineRule="atLeast"/>
              <w:rPr>
                <w:b/>
              </w:rPr>
            </w:pPr>
          </w:p>
        </w:tc>
      </w:tr>
      <w:tr w:rsidR="00C516C7" w:rsidRPr="00891D0B" w14:paraId="7A7C9B87" w14:textId="77777777" w:rsidTr="00194A2D">
        <w:trPr>
          <w:cantSplit/>
          <w:trHeight w:val="288"/>
        </w:trPr>
        <w:tc>
          <w:tcPr>
            <w:tcW w:w="1399" w:type="dxa"/>
            <w:vMerge/>
          </w:tcPr>
          <w:p w14:paraId="4F7E92E6" w14:textId="77777777" w:rsidR="00C516C7" w:rsidRPr="007E1FDD" w:rsidRDefault="00C516C7" w:rsidP="00194A2D">
            <w:pPr>
              <w:rPr>
                <w:lang w:val="en-GB"/>
              </w:rPr>
            </w:pPr>
          </w:p>
        </w:tc>
        <w:tc>
          <w:tcPr>
            <w:tcW w:w="5760" w:type="dxa"/>
            <w:vAlign w:val="bottom"/>
          </w:tcPr>
          <w:p w14:paraId="45D657B9" w14:textId="77777777" w:rsidR="00C516C7" w:rsidRPr="007F0AE6" w:rsidRDefault="007F0AE6" w:rsidP="00194A2D">
            <w:pPr>
              <w:rPr>
                <w:bCs/>
              </w:rPr>
            </w:pPr>
            <w:r>
              <w:t>19</w:t>
            </w:r>
            <w:r w:rsidR="00C516C7">
              <w:t xml:space="preserve"> – 2</w:t>
            </w:r>
            <w:r>
              <w:t>3</w:t>
            </w:r>
            <w:r w:rsidR="00C516C7">
              <w:t xml:space="preserve"> </w:t>
            </w:r>
            <w:r>
              <w:t>April</w:t>
            </w:r>
            <w:r w:rsidR="00C516C7">
              <w:t xml:space="preserve"> 20</w:t>
            </w:r>
            <w:r>
              <w:t>21</w:t>
            </w:r>
            <w:r w:rsidR="00C516C7" w:rsidRPr="00891D0B">
              <w:t xml:space="preserve">, </w:t>
            </w:r>
            <w:r>
              <w:rPr>
                <w:bCs/>
              </w:rPr>
              <w:t>Virtual/Online Meeting</w:t>
            </w:r>
          </w:p>
        </w:tc>
        <w:tc>
          <w:tcPr>
            <w:tcW w:w="2160" w:type="dxa"/>
            <w:vAlign w:val="bottom"/>
          </w:tcPr>
          <w:p w14:paraId="4AF029B3" w14:textId="4F3D7615" w:rsidR="00C516C7" w:rsidRDefault="00302EE5" w:rsidP="00194A2D">
            <w:r>
              <w:rPr>
                <w:bCs/>
              </w:rPr>
              <w:t>2</w:t>
            </w:r>
            <w:r w:rsidR="00685734">
              <w:rPr>
                <w:bCs/>
              </w:rPr>
              <w:t>3</w:t>
            </w:r>
            <w:r w:rsidR="00C516C7" w:rsidRPr="007E1FDD">
              <w:rPr>
                <w:bCs/>
              </w:rPr>
              <w:t xml:space="preserve"> </w:t>
            </w:r>
            <w:r w:rsidR="007F0AE6">
              <w:rPr>
                <w:bCs/>
              </w:rPr>
              <w:t xml:space="preserve">April </w:t>
            </w:r>
            <w:r w:rsidR="00C516C7" w:rsidRPr="007E1FDD">
              <w:rPr>
                <w:bCs/>
              </w:rPr>
              <w:t>20</w:t>
            </w:r>
            <w:r w:rsidR="007F0AE6">
              <w:rPr>
                <w:bCs/>
              </w:rPr>
              <w:t>21</w:t>
            </w:r>
          </w:p>
        </w:tc>
      </w:tr>
    </w:tbl>
    <w:p w14:paraId="196792A4" w14:textId="77777777" w:rsidR="00311E8A" w:rsidRDefault="00311E8A" w:rsidP="0072518B">
      <w:pPr>
        <w:jc w:val="center"/>
        <w:rPr>
          <w:lang w:val="en-NZ"/>
        </w:rPr>
      </w:pPr>
    </w:p>
    <w:p w14:paraId="5802CEF6" w14:textId="3EE9E9C1" w:rsidR="00B64A60" w:rsidRDefault="00685734" w:rsidP="00B64A60">
      <w:pPr>
        <w:jc w:val="center"/>
        <w:rPr>
          <w:bCs/>
          <w:caps/>
          <w:lang w:val="en-NZ"/>
        </w:rPr>
      </w:pPr>
      <w:r>
        <w:rPr>
          <w:lang w:val="en-NZ" w:eastAsia="ko-KR"/>
        </w:rPr>
        <w:t>Working Party 3</w:t>
      </w:r>
    </w:p>
    <w:p w14:paraId="2EB9608A" w14:textId="77777777" w:rsidR="00685734" w:rsidRPr="002A0111" w:rsidRDefault="00685734" w:rsidP="00B64A60">
      <w:pPr>
        <w:jc w:val="center"/>
        <w:rPr>
          <w:bCs/>
          <w:caps/>
          <w:lang w:val="en-NZ"/>
        </w:rPr>
      </w:pPr>
    </w:p>
    <w:p w14:paraId="7ECAA76D" w14:textId="6666EF38" w:rsidR="00B64A60" w:rsidRPr="00441526" w:rsidRDefault="00B64A60" w:rsidP="00B64A60">
      <w:pPr>
        <w:jc w:val="center"/>
        <w:rPr>
          <w:b/>
          <w:bCs/>
          <w:caps/>
          <w:lang w:val="en-NZ"/>
        </w:rPr>
      </w:pPr>
      <w:r w:rsidRPr="00441526">
        <w:rPr>
          <w:b/>
          <w:bCs/>
          <w:caps/>
          <w:lang w:val="en-NZ"/>
        </w:rPr>
        <w:t xml:space="preserve">PRELIMINARY VIEWs on </w:t>
      </w:r>
      <w:r w:rsidR="00CB375A" w:rsidRPr="00CB375A">
        <w:rPr>
          <w:b/>
          <w:bCs/>
          <w:caps/>
          <w:lang w:val="en-NZ"/>
        </w:rPr>
        <w:t>Resolution 655</w:t>
      </w:r>
      <w:r w:rsidR="00B36DB7">
        <w:rPr>
          <w:b/>
          <w:bCs/>
          <w:caps/>
          <w:lang w:val="en-NZ"/>
        </w:rPr>
        <w:t xml:space="preserve"> (WRC-15)</w:t>
      </w:r>
    </w:p>
    <w:p w14:paraId="3F860EA9" w14:textId="77777777" w:rsidR="00B64A60" w:rsidRPr="00441526" w:rsidRDefault="00B64A60" w:rsidP="00264566">
      <w:pPr>
        <w:spacing w:after="120"/>
        <w:rPr>
          <w:lang w:val="en-NZ"/>
        </w:rPr>
      </w:pPr>
    </w:p>
    <w:p w14:paraId="53A2092F" w14:textId="77777777" w:rsidR="00CB375A" w:rsidRPr="00441526" w:rsidRDefault="00CB375A" w:rsidP="00CB375A">
      <w:pPr>
        <w:spacing w:after="120"/>
        <w:jc w:val="both"/>
        <w:rPr>
          <w:lang w:val="en-NZ"/>
        </w:rPr>
      </w:pPr>
      <w:r>
        <w:rPr>
          <w:b/>
          <w:lang w:val="en-NZ"/>
        </w:rPr>
        <w:t>Resolution 655 (WRC-15)</w:t>
      </w:r>
      <w:r w:rsidRPr="00441526">
        <w:rPr>
          <w:b/>
          <w:lang w:val="en-NZ"/>
        </w:rPr>
        <w:t xml:space="preserve">: </w:t>
      </w:r>
    </w:p>
    <w:p w14:paraId="0A4729FE" w14:textId="77777777" w:rsidR="00CB375A" w:rsidRDefault="00CB375A" w:rsidP="00CB375A">
      <w:pPr>
        <w:spacing w:after="120"/>
        <w:jc w:val="both"/>
        <w:rPr>
          <w:i/>
          <w:lang w:val="en-NZ"/>
        </w:rPr>
      </w:pPr>
      <w:r w:rsidRPr="006A74A2">
        <w:rPr>
          <w:i/>
          <w:lang w:val="en-NZ"/>
        </w:rPr>
        <w:t>Definition of time scale and dissemination of time signals via radiocommunication systems</w:t>
      </w:r>
    </w:p>
    <w:p w14:paraId="6B885D1D" w14:textId="77777777" w:rsidR="002A0111" w:rsidRPr="00CB375A" w:rsidRDefault="002A0111" w:rsidP="002A0111">
      <w:pPr>
        <w:jc w:val="both"/>
        <w:rPr>
          <w:lang w:val="en-NZ"/>
        </w:rPr>
      </w:pPr>
    </w:p>
    <w:p w14:paraId="69691466" w14:textId="77777777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1. </w:t>
      </w:r>
      <w:r w:rsidRPr="00441526">
        <w:rPr>
          <w:b/>
          <w:lang w:val="en-NZ" w:eastAsia="ko-KR"/>
        </w:rPr>
        <w:tab/>
        <w:t>Background</w:t>
      </w:r>
    </w:p>
    <w:p w14:paraId="70E07662" w14:textId="77777777" w:rsidR="00CB375A" w:rsidRDefault="00CB375A" w:rsidP="00CB375A">
      <w:pPr>
        <w:spacing w:afterLines="50" w:after="120"/>
        <w:jc w:val="both"/>
      </w:pPr>
      <w:r w:rsidRPr="00B94EAF">
        <w:t>Coordinated Universal Time (UTC) is the international standard time-scale for all practical timekeeping in the modern world. The UTC time-scale is maintained by the International Bureau of Weights and Measures (BIPM)</w:t>
      </w:r>
      <w:r>
        <w:t xml:space="preserve"> and</w:t>
      </w:r>
      <w:r w:rsidRPr="00B94EAF">
        <w:t xml:space="preserve"> adjusted by insertion or deletion of seconds (positive or negative leap-seconds) to ensure approximate agreement with mean solar time (UT1). A leap second was added most recently on 3</w:t>
      </w:r>
      <w:r>
        <w:t>1</w:t>
      </w:r>
      <w:r w:rsidRPr="00B94EAF">
        <w:t xml:space="preserve"> </w:t>
      </w:r>
      <w:r>
        <w:t>December</w:t>
      </w:r>
      <w:r w:rsidRPr="00B94EAF">
        <w:t xml:space="preserve"> 201</w:t>
      </w:r>
      <w:r>
        <w:t>6</w:t>
      </w:r>
      <w:r w:rsidRPr="00B94EAF">
        <w:t xml:space="preserve"> at 23:59:60 UTC.</w:t>
      </w:r>
    </w:p>
    <w:p w14:paraId="6E2A8868" w14:textId="6538758F" w:rsidR="00CB375A" w:rsidRDefault="00CB375A" w:rsidP="00CB375A">
      <w:pPr>
        <w:spacing w:afterLines="50" w:after="120"/>
        <w:jc w:val="both"/>
      </w:pPr>
      <w:r w:rsidRPr="00CF7B69">
        <w:rPr>
          <w:rFonts w:hint="eastAsia"/>
        </w:rPr>
        <w:t xml:space="preserve">WRC-15 considered </w:t>
      </w:r>
      <w:r w:rsidRPr="00CF7B69">
        <w:rPr>
          <w:rFonts w:hint="eastAsia"/>
        </w:rPr>
        <w:t>“</w:t>
      </w:r>
      <w:r w:rsidRPr="00CF7B69">
        <w:rPr>
          <w:rFonts w:hint="eastAsia"/>
        </w:rPr>
        <w:t>Future of the Coordinated Universal Time time-scale</w:t>
      </w:r>
      <w:r w:rsidRPr="00CF7B69">
        <w:rPr>
          <w:rFonts w:hint="eastAsia"/>
        </w:rPr>
        <w:t>”</w:t>
      </w:r>
      <w:r w:rsidRPr="00CF7B69">
        <w:rPr>
          <w:rFonts w:hint="eastAsia"/>
        </w:rPr>
        <w:t xml:space="preserve"> under AI 1.14</w:t>
      </w:r>
      <w:r w:rsidR="0098102C">
        <w:t xml:space="preserve"> (WRC-15)</w:t>
      </w:r>
      <w:r w:rsidRPr="00CF7B69">
        <w:rPr>
          <w:rFonts w:hint="eastAsia"/>
        </w:rPr>
        <w:t xml:space="preserve">, including removal of the leap second insertion or deletion from the definition of UTC, and decided that further studies were required on current and potential future </w:t>
      </w:r>
      <w:r w:rsidRPr="00CF7B69">
        <w:t xml:space="preserve">reference time-scales, including their impact and applications. The results of the ITU-R studies will be reported to WRC-23. Until then, UTC shall continue to be applied as described in Recommendation ITU-R </w:t>
      </w:r>
      <w:hyperlink r:id="rId9" w:history="1">
        <w:r w:rsidRPr="00CF7B69">
          <w:rPr>
            <w:rStyle w:val="Hyperlink"/>
          </w:rPr>
          <w:t>TF.460-6</w:t>
        </w:r>
      </w:hyperlink>
      <w:r w:rsidRPr="00CF7B69">
        <w:t xml:space="preserve"> and as maintained by BIPM.</w:t>
      </w:r>
    </w:p>
    <w:p w14:paraId="70BFF2E4" w14:textId="77777777" w:rsidR="00CB375A" w:rsidRDefault="00CB375A" w:rsidP="00CB375A">
      <w:pPr>
        <w:widowControl w:val="0"/>
        <w:autoSpaceDE w:val="0"/>
        <w:autoSpaceDN w:val="0"/>
        <w:spacing w:beforeLines="50" w:before="120"/>
        <w:jc w:val="both"/>
      </w:pPr>
      <w:r w:rsidRPr="00AA4990">
        <w:t>The responsible group in ITU-R is WP 7A.</w:t>
      </w:r>
      <w:r>
        <w:t xml:space="preserve"> </w:t>
      </w:r>
      <w:r w:rsidRPr="0090090B">
        <w:t xml:space="preserve">After WRC-15, WP 7A started studies called for by Resolution </w:t>
      </w:r>
      <w:r w:rsidRPr="007564C0">
        <w:rPr>
          <w:b/>
          <w:bCs/>
        </w:rPr>
        <w:t>655 (WRC-15)</w:t>
      </w:r>
      <w:r w:rsidRPr="0090090B">
        <w:t xml:space="preserve"> and is currently developing working document towards the preliminary draft new Report ITU</w:t>
      </w:r>
      <w:r>
        <w:t>-</w:t>
      </w:r>
      <w:r w:rsidRPr="0090090B">
        <w:t>R TF.[UTC], “Content and structure of time signals to be disseminated by radiocommunication systems and various aspects of current and potential future reference time scales, including their impacts and applications in radiocommunication” (</w:t>
      </w:r>
      <w:hyperlink r:id="rId10" w:history="1">
        <w:r w:rsidRPr="0090090B">
          <w:rPr>
            <w:rStyle w:val="Hyperlink"/>
          </w:rPr>
          <w:t>Annex 2</w:t>
        </w:r>
      </w:hyperlink>
      <w:r w:rsidRPr="0090090B">
        <w:t xml:space="preserve"> to the WP 7A Chairman’s Report (Doc. </w:t>
      </w:r>
      <w:hyperlink r:id="rId11" w:history="1">
        <w:r w:rsidRPr="00575ED9">
          <w:rPr>
            <w:rStyle w:val="Hyperlink"/>
          </w:rPr>
          <w:t>7A/13</w:t>
        </w:r>
      </w:hyperlink>
      <w:r w:rsidRPr="0090090B">
        <w:t>)).</w:t>
      </w:r>
    </w:p>
    <w:p w14:paraId="65CD5932" w14:textId="77777777" w:rsidR="002A0111" w:rsidRPr="00441526" w:rsidRDefault="002A0111" w:rsidP="002A0111">
      <w:pPr>
        <w:jc w:val="both"/>
        <w:rPr>
          <w:lang w:val="en-NZ"/>
        </w:rPr>
      </w:pPr>
    </w:p>
    <w:p w14:paraId="11E3BF24" w14:textId="77777777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2. </w:t>
      </w:r>
      <w:r w:rsidRPr="00441526">
        <w:rPr>
          <w:b/>
          <w:lang w:val="en-NZ" w:eastAsia="ko-KR"/>
        </w:rPr>
        <w:tab/>
        <w:t>Documents</w:t>
      </w:r>
    </w:p>
    <w:p w14:paraId="52409992" w14:textId="28CE33D8" w:rsidR="00DC1642" w:rsidRPr="00CB375A" w:rsidRDefault="00DC1642" w:rsidP="00CB375A">
      <w:pPr>
        <w:numPr>
          <w:ilvl w:val="0"/>
          <w:numId w:val="18"/>
        </w:numPr>
        <w:ind w:leftChars="145" w:left="708"/>
        <w:jc w:val="both"/>
        <w:rPr>
          <w:lang w:val="en-NZ"/>
        </w:rPr>
      </w:pPr>
      <w:r w:rsidRPr="00DC1642">
        <w:rPr>
          <w:lang w:val="en-NZ"/>
        </w:rPr>
        <w:t>Input Documents APG23-2/INP-12(J)</w:t>
      </w:r>
    </w:p>
    <w:p w14:paraId="6EC262B8" w14:textId="77777777" w:rsidR="002A0111" w:rsidRPr="00DC1642" w:rsidRDefault="002A0111" w:rsidP="002A0111">
      <w:pPr>
        <w:rPr>
          <w:b/>
          <w:lang w:val="en-NZ" w:eastAsia="ko-KR"/>
        </w:rPr>
      </w:pPr>
    </w:p>
    <w:p w14:paraId="145DA548" w14:textId="77777777" w:rsidR="002A0111" w:rsidRPr="00441526" w:rsidRDefault="002A0111" w:rsidP="00D4413F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3. </w:t>
      </w:r>
      <w:r w:rsidRPr="00441526">
        <w:rPr>
          <w:b/>
          <w:lang w:val="en-NZ" w:eastAsia="ko-KR"/>
        </w:rPr>
        <w:tab/>
        <w:t>Summary of discussions</w:t>
      </w:r>
    </w:p>
    <w:p w14:paraId="679A70F4" w14:textId="77777777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>3.1</w:t>
      </w:r>
      <w:r w:rsidRPr="00441526">
        <w:rPr>
          <w:b/>
          <w:lang w:val="en-NZ" w:eastAsia="ko-KR"/>
        </w:rPr>
        <w:tab/>
        <w:t>S</w:t>
      </w:r>
      <w:r w:rsidRPr="00441526">
        <w:rPr>
          <w:rFonts w:hint="eastAsia"/>
          <w:b/>
          <w:lang w:val="en-NZ" w:eastAsia="ko-KR"/>
        </w:rPr>
        <w:t xml:space="preserve">ummary </w:t>
      </w:r>
      <w:r w:rsidRPr="00441526">
        <w:rPr>
          <w:b/>
          <w:lang w:val="en-NZ" w:eastAsia="ko-KR"/>
        </w:rPr>
        <w:t>of APT Members’ views</w:t>
      </w:r>
    </w:p>
    <w:p w14:paraId="595B45EE" w14:textId="774D49DF" w:rsidR="002A0111" w:rsidRPr="00441526" w:rsidRDefault="002A0111" w:rsidP="003D3D47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3.1.1 </w:t>
      </w:r>
      <w:r w:rsidRPr="00441526">
        <w:rPr>
          <w:b/>
          <w:lang w:val="en-NZ" w:eastAsia="ko-KR"/>
        </w:rPr>
        <w:tab/>
      </w:r>
      <w:r w:rsidR="007C1DEA" w:rsidRPr="007C1DEA">
        <w:rPr>
          <w:b/>
          <w:lang w:val="en-NZ" w:eastAsia="ko-KR"/>
        </w:rPr>
        <w:t>Japan</w:t>
      </w:r>
      <w:r w:rsidRPr="00441526">
        <w:rPr>
          <w:b/>
          <w:lang w:val="en-NZ" w:eastAsia="ko-KR"/>
        </w:rPr>
        <w:t xml:space="preserve">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 w:rsidR="00822B33"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 w:rsidR="00822B33">
        <w:rPr>
          <w:b/>
          <w:lang w:val="en-NZ" w:eastAsia="ko-KR"/>
        </w:rPr>
        <w:t>2</w:t>
      </w:r>
      <w:r w:rsidRPr="00441526">
        <w:rPr>
          <w:b/>
          <w:lang w:val="en-NZ" w:eastAsia="ko-KR"/>
        </w:rPr>
        <w:t>/INP-</w:t>
      </w:r>
      <w:r w:rsidR="007C1DEA">
        <w:rPr>
          <w:b/>
          <w:lang w:val="en-NZ" w:eastAsia="ko-KR"/>
        </w:rPr>
        <w:t>12</w:t>
      </w:r>
    </w:p>
    <w:p w14:paraId="1B1992F3" w14:textId="77777777" w:rsidR="00CB375A" w:rsidRPr="00434591" w:rsidRDefault="00CB375A" w:rsidP="00CB375A">
      <w:pPr>
        <w:pStyle w:val="ListParagraph"/>
        <w:spacing w:after="120"/>
        <w:ind w:leftChars="-1" w:left="-2"/>
        <w:jc w:val="both"/>
        <w:rPr>
          <w:rFonts w:eastAsia="MS Mincho"/>
          <w:lang w:eastAsia="ja-JP"/>
        </w:rPr>
      </w:pPr>
      <w:r w:rsidRPr="00434591">
        <w:rPr>
          <w:rFonts w:eastAsia="MS Mincho"/>
          <w:lang w:eastAsia="ja-JP"/>
        </w:rPr>
        <w:t>Japan continues to support to introduce the new continuous reference time-scale by stopping the insertion of leap seconds in UTC, as shared in APG15 meetings.</w:t>
      </w:r>
    </w:p>
    <w:p w14:paraId="3F27390F" w14:textId="77777777" w:rsidR="00CB375A" w:rsidRDefault="00CB375A" w:rsidP="00CB375A">
      <w:pPr>
        <w:pStyle w:val="ListParagraph"/>
        <w:spacing w:after="120"/>
        <w:ind w:leftChars="-1" w:left="-2"/>
        <w:jc w:val="both"/>
        <w:rPr>
          <w:rFonts w:eastAsia="MS Mincho"/>
          <w:lang w:eastAsia="ja-JP"/>
        </w:rPr>
      </w:pPr>
      <w:r w:rsidRPr="00434591">
        <w:rPr>
          <w:rFonts w:eastAsia="MS Mincho"/>
          <w:lang w:eastAsia="ja-JP"/>
        </w:rPr>
        <w:t>Japan also supports retaining the name of UTC after the introduction of the new continuous reference time-scale.</w:t>
      </w:r>
    </w:p>
    <w:p w14:paraId="00EDC506" w14:textId="6C1E1F56" w:rsidR="002A0111" w:rsidRPr="00441526" w:rsidRDefault="002A0111" w:rsidP="002A0111">
      <w:pPr>
        <w:spacing w:after="120"/>
        <w:jc w:val="both"/>
        <w:rPr>
          <w:b/>
          <w:lang w:val="en-NZ"/>
        </w:rPr>
      </w:pPr>
      <w:r w:rsidRPr="00441526">
        <w:rPr>
          <w:b/>
          <w:lang w:val="en-NZ"/>
        </w:rPr>
        <w:t xml:space="preserve">3.2 </w:t>
      </w:r>
      <w:r w:rsidRPr="00441526">
        <w:rPr>
          <w:b/>
          <w:lang w:val="en-NZ"/>
        </w:rPr>
        <w:tab/>
        <w:t>S</w:t>
      </w:r>
      <w:r w:rsidRPr="00441526">
        <w:rPr>
          <w:b/>
          <w:lang w:val="en-NZ" w:eastAsia="ko-KR"/>
        </w:rPr>
        <w:t>ummary of issues raised du</w:t>
      </w:r>
      <w:r w:rsidRPr="00441526">
        <w:rPr>
          <w:b/>
          <w:lang w:val="en-NZ"/>
        </w:rPr>
        <w:t>ring the meeting</w:t>
      </w:r>
    </w:p>
    <w:p w14:paraId="7F8BEE52" w14:textId="716704E4" w:rsidR="00B24E93" w:rsidRPr="00B338E7" w:rsidRDefault="00B338E7" w:rsidP="003D3D47">
      <w:pPr>
        <w:jc w:val="both"/>
        <w:rPr>
          <w:rFonts w:eastAsia="MS Mincho"/>
          <w:lang w:val="en-NZ" w:eastAsia="ja-JP"/>
        </w:rPr>
      </w:pPr>
      <w:r>
        <w:rPr>
          <w:rFonts w:eastAsia="MS Mincho"/>
          <w:lang w:val="en-NZ" w:eastAsia="ja-JP"/>
        </w:rPr>
        <w:t>No significant issues were raised.</w:t>
      </w:r>
    </w:p>
    <w:p w14:paraId="5F7AAF28" w14:textId="77777777" w:rsidR="008E4236" w:rsidRDefault="008E4236">
      <w:pPr>
        <w:rPr>
          <w:b/>
          <w:lang w:val="en-NZ" w:eastAsia="ko-KR"/>
        </w:rPr>
      </w:pPr>
      <w:r>
        <w:rPr>
          <w:b/>
          <w:lang w:val="en-NZ" w:eastAsia="ko-KR"/>
        </w:rPr>
        <w:br w:type="page"/>
      </w:r>
    </w:p>
    <w:p w14:paraId="28456195" w14:textId="33264D92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lastRenderedPageBreak/>
        <w:t xml:space="preserve">4. </w:t>
      </w:r>
      <w:r w:rsidRPr="00441526">
        <w:rPr>
          <w:b/>
          <w:lang w:val="en-NZ" w:eastAsia="ko-KR"/>
        </w:rPr>
        <w:tab/>
        <w:t>APT Preliminary View(s)</w:t>
      </w:r>
    </w:p>
    <w:p w14:paraId="5CA47768" w14:textId="1CE52529" w:rsidR="00CB375A" w:rsidRDefault="00826EE3" w:rsidP="00CB375A">
      <w:pPr>
        <w:spacing w:afterLines="50" w:after="120"/>
        <w:jc w:val="both"/>
        <w:rPr>
          <w:lang w:val="en-NZ" w:eastAsia="ko-KR"/>
        </w:rPr>
      </w:pPr>
      <w:r w:rsidRPr="00C05191">
        <w:rPr>
          <w:rFonts w:eastAsiaTheme="minorEastAsia"/>
          <w:lang w:val="en-NZ" w:eastAsia="zh-CN"/>
        </w:rPr>
        <w:t>To be developed</w:t>
      </w:r>
    </w:p>
    <w:p w14:paraId="30846D82" w14:textId="77777777" w:rsidR="008E4236" w:rsidRPr="00441526" w:rsidRDefault="008E4236" w:rsidP="00CF449D">
      <w:pPr>
        <w:jc w:val="both"/>
        <w:rPr>
          <w:lang w:val="en-NZ"/>
        </w:rPr>
      </w:pPr>
    </w:p>
    <w:p w14:paraId="7F7F33FB" w14:textId="77777777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5. </w:t>
      </w:r>
      <w:r w:rsidRPr="00441526">
        <w:rPr>
          <w:b/>
          <w:lang w:val="en-NZ" w:eastAsia="ko-KR"/>
        </w:rPr>
        <w:tab/>
        <w:t>Other View(s)</w:t>
      </w:r>
      <w:r>
        <w:rPr>
          <w:b/>
          <w:lang w:val="en-NZ" w:eastAsia="ko-KR"/>
        </w:rPr>
        <w:t xml:space="preserve"> from APT Members</w:t>
      </w:r>
    </w:p>
    <w:p w14:paraId="193DFF5B" w14:textId="3836A9E0" w:rsidR="005206E9" w:rsidRPr="00CB375A" w:rsidRDefault="00B338E7" w:rsidP="002A0111">
      <w:pPr>
        <w:rPr>
          <w:rFonts w:eastAsia="MS Mincho"/>
          <w:lang w:val="en-NZ" w:eastAsia="ja-JP"/>
        </w:rPr>
      </w:pPr>
      <w:r>
        <w:rPr>
          <w:rFonts w:eastAsia="MS Mincho"/>
          <w:lang w:val="en-NZ" w:eastAsia="ja-JP"/>
        </w:rPr>
        <w:t>None</w:t>
      </w:r>
    </w:p>
    <w:p w14:paraId="3609910B" w14:textId="77777777" w:rsidR="00CB375A" w:rsidRPr="00441526" w:rsidRDefault="00CB375A" w:rsidP="002A0111">
      <w:pPr>
        <w:rPr>
          <w:lang w:val="en-NZ"/>
        </w:rPr>
      </w:pPr>
    </w:p>
    <w:p w14:paraId="7A7A0D9D" w14:textId="77777777" w:rsidR="002A0111" w:rsidRPr="00C05191" w:rsidRDefault="002A0111" w:rsidP="002A0111">
      <w:pPr>
        <w:spacing w:after="120"/>
        <w:jc w:val="both"/>
        <w:rPr>
          <w:b/>
          <w:lang w:val="en-NZ" w:eastAsia="ko-KR"/>
        </w:rPr>
      </w:pPr>
      <w:r w:rsidRPr="00C05191">
        <w:rPr>
          <w:b/>
          <w:lang w:val="en-NZ" w:eastAsia="ko-KR"/>
        </w:rPr>
        <w:t xml:space="preserve">6. </w:t>
      </w:r>
      <w:r w:rsidRPr="00C05191">
        <w:rPr>
          <w:b/>
          <w:lang w:val="en-NZ" w:eastAsia="ko-KR"/>
        </w:rPr>
        <w:tab/>
        <w:t>Issues for Consideration at Next APG Meeting</w:t>
      </w:r>
    </w:p>
    <w:p w14:paraId="4BDD7138" w14:textId="3480B036" w:rsidR="002A0111" w:rsidRDefault="00CF449D" w:rsidP="00CF449D">
      <w:pPr>
        <w:spacing w:afterLines="50" w:after="120"/>
        <w:jc w:val="both"/>
        <w:rPr>
          <w:rFonts w:eastAsiaTheme="minorEastAsia"/>
          <w:lang w:val="en-NZ" w:eastAsia="zh-CN"/>
        </w:rPr>
      </w:pPr>
      <w:r w:rsidRPr="00C05191">
        <w:rPr>
          <w:rFonts w:eastAsiaTheme="minorEastAsia" w:hint="eastAsia"/>
          <w:lang w:val="en-NZ" w:eastAsia="zh-CN"/>
        </w:rPr>
        <w:t xml:space="preserve">APT Members are encouraged </w:t>
      </w:r>
      <w:r w:rsidRPr="00C05191">
        <w:rPr>
          <w:rFonts w:eastAsiaTheme="minorEastAsia"/>
          <w:lang w:val="en-NZ" w:eastAsia="zh-CN"/>
        </w:rPr>
        <w:t xml:space="preserve">to contribute to the next APG meeting for further consideration on Resolution </w:t>
      </w:r>
      <w:r w:rsidRPr="00C05191">
        <w:rPr>
          <w:rFonts w:eastAsiaTheme="minorEastAsia"/>
          <w:b/>
          <w:bCs/>
          <w:lang w:val="en-NZ" w:eastAsia="zh-CN"/>
        </w:rPr>
        <w:t>655 (WRC-15)</w:t>
      </w:r>
      <w:r w:rsidRPr="00C05191">
        <w:rPr>
          <w:rFonts w:eastAsiaTheme="minorEastAsia"/>
          <w:lang w:val="en-NZ" w:eastAsia="zh-CN"/>
        </w:rPr>
        <w:t>, taking into account the progress of ITU-R studies.</w:t>
      </w:r>
    </w:p>
    <w:p w14:paraId="2854D59E" w14:textId="77777777" w:rsidR="00CF449D" w:rsidRPr="00441526" w:rsidRDefault="00CF449D" w:rsidP="00CF449D">
      <w:pPr>
        <w:jc w:val="both"/>
        <w:rPr>
          <w:lang w:val="en-NZ"/>
        </w:rPr>
      </w:pPr>
    </w:p>
    <w:p w14:paraId="094D402C" w14:textId="5FB70FF3" w:rsidR="00C26B15" w:rsidRPr="00C26B15" w:rsidRDefault="002A0111" w:rsidP="00C26B15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 </w:t>
      </w:r>
      <w:r w:rsidRPr="00441526">
        <w:rPr>
          <w:b/>
          <w:lang w:val="en-NZ" w:eastAsia="ko-KR"/>
        </w:rPr>
        <w:tab/>
        <w:t>Views from Other Organisations</w:t>
      </w:r>
    </w:p>
    <w:p w14:paraId="11DE16B8" w14:textId="6011C0CA" w:rsidR="00CB375A" w:rsidRDefault="00CB375A" w:rsidP="00BF5FAD">
      <w:pPr>
        <w:spacing w:afterLines="50" w:after="120"/>
        <w:jc w:val="both"/>
        <w:rPr>
          <w:lang w:val="en-NZ"/>
        </w:rPr>
      </w:pPr>
      <w:r>
        <w:rPr>
          <w:lang w:val="en-NZ"/>
        </w:rPr>
        <w:t>N</w:t>
      </w:r>
      <w:r w:rsidRPr="00441526">
        <w:rPr>
          <w:lang w:val="en-NZ"/>
        </w:rPr>
        <w:t xml:space="preserve">o </w:t>
      </w:r>
      <w:r w:rsidR="007279BD">
        <w:rPr>
          <w:lang w:val="en-NZ"/>
        </w:rPr>
        <w:t xml:space="preserve">views </w:t>
      </w:r>
      <w:r w:rsidR="00CB6171">
        <w:rPr>
          <w:lang w:val="en-NZ"/>
        </w:rPr>
        <w:t>are</w:t>
      </w:r>
      <w:r w:rsidRPr="00441526">
        <w:rPr>
          <w:lang w:val="en-NZ"/>
        </w:rPr>
        <w:t xml:space="preserve"> </w:t>
      </w:r>
      <w:r w:rsidR="00CB6171">
        <w:rPr>
          <w:lang w:val="en-NZ"/>
        </w:rPr>
        <w:t>provided</w:t>
      </w:r>
      <w:r w:rsidRPr="00441526">
        <w:rPr>
          <w:lang w:val="en-NZ"/>
        </w:rPr>
        <w:t xml:space="preserve"> from regional group</w:t>
      </w:r>
      <w:r w:rsidR="0064651E">
        <w:rPr>
          <w:lang w:val="en-NZ"/>
        </w:rPr>
        <w:t>s</w:t>
      </w:r>
      <w:r w:rsidRPr="00441526">
        <w:rPr>
          <w:lang w:val="en-NZ"/>
        </w:rPr>
        <w:t xml:space="preserve"> or international organi</w:t>
      </w:r>
      <w:r w:rsidR="00FE565B">
        <w:rPr>
          <w:lang w:val="en-NZ"/>
        </w:rPr>
        <w:t>z</w:t>
      </w:r>
      <w:r w:rsidRPr="00441526">
        <w:rPr>
          <w:lang w:val="en-NZ"/>
        </w:rPr>
        <w:t>ation</w:t>
      </w:r>
      <w:r w:rsidR="0064651E">
        <w:rPr>
          <w:lang w:val="en-NZ"/>
        </w:rPr>
        <w:t>s</w:t>
      </w:r>
      <w:r w:rsidRPr="00441526">
        <w:rPr>
          <w:lang w:val="en-NZ"/>
        </w:rPr>
        <w:t xml:space="preserve"> at</w:t>
      </w:r>
      <w:r>
        <w:rPr>
          <w:lang w:val="en-NZ"/>
        </w:rPr>
        <w:t xml:space="preserve"> this and previous APG23 meetings.</w:t>
      </w:r>
    </w:p>
    <w:p w14:paraId="55EEF5AE" w14:textId="77777777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 </w:t>
      </w:r>
      <w:r w:rsidRPr="00441526">
        <w:rPr>
          <w:b/>
          <w:lang w:val="en-NZ" w:eastAsia="ko-KR"/>
        </w:rPr>
        <w:tab/>
        <w:t>Regional Groups</w:t>
      </w:r>
    </w:p>
    <w:p w14:paraId="4B53E4C2" w14:textId="6E544BA3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.1.1 </w:t>
      </w:r>
      <w:r w:rsidRPr="00441526">
        <w:rPr>
          <w:b/>
          <w:lang w:val="en-NZ" w:eastAsia="ko-KR"/>
        </w:rPr>
        <w:tab/>
        <w:t>ASMG</w:t>
      </w:r>
      <w:r w:rsidRPr="00441526">
        <w:t xml:space="preserve"> 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23-2</w:t>
      </w:r>
      <w:r w:rsidRPr="00441526">
        <w:rPr>
          <w:b/>
          <w:lang w:val="en-NZ" w:eastAsia="ko-KR"/>
        </w:rPr>
        <w:t>/INF-</w:t>
      </w:r>
      <w:r w:rsidR="00CB6171">
        <w:rPr>
          <w:b/>
          <w:lang w:val="en-NZ" w:eastAsia="ko-KR"/>
        </w:rPr>
        <w:t>25</w:t>
      </w:r>
    </w:p>
    <w:p w14:paraId="6411C3A3" w14:textId="5F5A1BBC" w:rsidR="00EA3D58" w:rsidRPr="00441526" w:rsidRDefault="00EA3D58" w:rsidP="00EA3D58">
      <w:pPr>
        <w:spacing w:afterLines="50" w:after="120"/>
        <w:rPr>
          <w:lang w:val="en-NZ"/>
        </w:rPr>
      </w:pPr>
      <w:r>
        <w:rPr>
          <w:lang w:val="en-NZ"/>
        </w:rPr>
        <w:t>To be developed</w:t>
      </w:r>
    </w:p>
    <w:p w14:paraId="188B30CA" w14:textId="72A507B4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.1.2 </w:t>
      </w:r>
      <w:r w:rsidRPr="00441526">
        <w:rPr>
          <w:b/>
          <w:lang w:val="en-NZ" w:eastAsia="ko-KR"/>
        </w:rPr>
        <w:tab/>
        <w:t xml:space="preserve">ATU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>
        <w:rPr>
          <w:b/>
          <w:lang w:val="en-NZ" w:eastAsia="ko-KR"/>
        </w:rPr>
        <w:t>2</w:t>
      </w:r>
      <w:r w:rsidRPr="00441526">
        <w:rPr>
          <w:b/>
          <w:lang w:val="en-NZ" w:eastAsia="ko-KR"/>
        </w:rPr>
        <w:t>/INF-</w:t>
      </w:r>
      <w:r w:rsidR="00FE565B">
        <w:rPr>
          <w:b/>
          <w:lang w:val="en-NZ" w:eastAsia="ko-KR"/>
        </w:rPr>
        <w:t>26</w:t>
      </w:r>
    </w:p>
    <w:p w14:paraId="26701491" w14:textId="56E24E7B" w:rsidR="00EA3D58" w:rsidRPr="00EA3D58" w:rsidRDefault="00EA3D58" w:rsidP="00EA3D58">
      <w:pPr>
        <w:spacing w:afterLines="50" w:after="120"/>
        <w:rPr>
          <w:lang w:val="en-NZ"/>
        </w:rPr>
      </w:pPr>
      <w:r>
        <w:rPr>
          <w:lang w:val="en-NZ"/>
        </w:rPr>
        <w:t>To be developed</w:t>
      </w:r>
    </w:p>
    <w:p w14:paraId="34D1CC61" w14:textId="79925556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.1.3 </w:t>
      </w:r>
      <w:r w:rsidRPr="00441526">
        <w:rPr>
          <w:b/>
          <w:lang w:val="en-NZ" w:eastAsia="ko-KR"/>
        </w:rPr>
        <w:tab/>
        <w:t xml:space="preserve">CEPT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>
        <w:rPr>
          <w:b/>
          <w:lang w:val="en-NZ" w:eastAsia="ko-KR"/>
        </w:rPr>
        <w:t>2</w:t>
      </w:r>
      <w:r w:rsidRPr="00441526">
        <w:rPr>
          <w:b/>
          <w:lang w:val="en-NZ" w:eastAsia="ko-KR"/>
        </w:rPr>
        <w:t>/INF-</w:t>
      </w:r>
      <w:r w:rsidR="00D02613">
        <w:rPr>
          <w:b/>
          <w:lang w:val="en-NZ" w:eastAsia="ko-KR"/>
        </w:rPr>
        <w:t>35</w:t>
      </w:r>
    </w:p>
    <w:p w14:paraId="115DFE3B" w14:textId="17A9E9E6" w:rsidR="00EA3D58" w:rsidRPr="00441526" w:rsidRDefault="00EA3D58" w:rsidP="00EA3D58">
      <w:pPr>
        <w:spacing w:afterLines="50" w:after="120"/>
        <w:rPr>
          <w:lang w:val="en-NZ"/>
        </w:rPr>
      </w:pPr>
      <w:r>
        <w:rPr>
          <w:lang w:val="en-NZ"/>
        </w:rPr>
        <w:t>To be developed</w:t>
      </w:r>
    </w:p>
    <w:p w14:paraId="5DEED567" w14:textId="2C128613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.1.4 </w:t>
      </w:r>
      <w:r w:rsidRPr="00441526">
        <w:rPr>
          <w:b/>
          <w:lang w:val="en-NZ" w:eastAsia="ko-KR"/>
        </w:rPr>
        <w:tab/>
        <w:t xml:space="preserve">CITEL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>
        <w:rPr>
          <w:b/>
          <w:lang w:val="en-NZ" w:eastAsia="ko-KR"/>
        </w:rPr>
        <w:t>2</w:t>
      </w:r>
      <w:r w:rsidRPr="00441526">
        <w:rPr>
          <w:b/>
          <w:lang w:val="en-NZ" w:eastAsia="ko-KR"/>
        </w:rPr>
        <w:t>/INF-</w:t>
      </w:r>
      <w:r w:rsidR="00D02613">
        <w:rPr>
          <w:b/>
          <w:lang w:val="en-NZ" w:eastAsia="ko-KR"/>
        </w:rPr>
        <w:t>34</w:t>
      </w:r>
    </w:p>
    <w:p w14:paraId="29EA6A42" w14:textId="57B1F812" w:rsidR="00EA3D58" w:rsidRPr="00EA3D58" w:rsidRDefault="00EA3D58" w:rsidP="00EA3D58">
      <w:pPr>
        <w:spacing w:afterLines="50" w:after="120"/>
        <w:rPr>
          <w:lang w:val="en-NZ"/>
        </w:rPr>
      </w:pPr>
      <w:r>
        <w:rPr>
          <w:lang w:val="en-NZ"/>
        </w:rPr>
        <w:t>To be developed</w:t>
      </w:r>
    </w:p>
    <w:p w14:paraId="20FB2452" w14:textId="57956D36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.1.5 </w:t>
      </w:r>
      <w:r w:rsidRPr="00441526">
        <w:rPr>
          <w:b/>
          <w:lang w:val="en-NZ" w:eastAsia="ko-KR"/>
        </w:rPr>
        <w:tab/>
        <w:t xml:space="preserve">RCC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>
        <w:rPr>
          <w:b/>
          <w:lang w:val="en-NZ" w:eastAsia="ko-KR"/>
        </w:rPr>
        <w:t>2</w:t>
      </w:r>
      <w:r w:rsidRPr="00441526">
        <w:rPr>
          <w:b/>
          <w:lang w:val="en-NZ" w:eastAsia="ko-KR"/>
        </w:rPr>
        <w:t>/INF-</w:t>
      </w:r>
      <w:r w:rsidR="00D02613">
        <w:rPr>
          <w:b/>
          <w:lang w:val="en-NZ" w:eastAsia="ko-KR"/>
        </w:rPr>
        <w:t>36</w:t>
      </w:r>
    </w:p>
    <w:p w14:paraId="6FCCC844" w14:textId="04BBF628" w:rsidR="00EA3D58" w:rsidRPr="00441526" w:rsidRDefault="00EA3D58" w:rsidP="00EA3D58">
      <w:pPr>
        <w:spacing w:afterLines="50" w:after="120"/>
        <w:rPr>
          <w:lang w:val="en-NZ"/>
        </w:rPr>
      </w:pPr>
      <w:r>
        <w:rPr>
          <w:lang w:val="en-NZ"/>
        </w:rPr>
        <w:t>To be developed</w:t>
      </w:r>
    </w:p>
    <w:p w14:paraId="1E2BBEE8" w14:textId="77777777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.2 </w:t>
      </w:r>
      <w:r w:rsidRPr="00441526">
        <w:rPr>
          <w:b/>
          <w:lang w:val="en-NZ" w:eastAsia="ko-KR"/>
        </w:rPr>
        <w:tab/>
        <w:t>International Organisations</w:t>
      </w:r>
    </w:p>
    <w:p w14:paraId="0F479AD5" w14:textId="47F4CEF3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.2.1 </w:t>
      </w:r>
      <w:r w:rsidRPr="00441526">
        <w:rPr>
          <w:b/>
          <w:lang w:val="en-NZ" w:eastAsia="ko-KR"/>
        </w:rPr>
        <w:tab/>
        <w:t xml:space="preserve">IARU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>
        <w:rPr>
          <w:b/>
          <w:lang w:val="en-NZ" w:eastAsia="ko-KR"/>
        </w:rPr>
        <w:t>2</w:t>
      </w:r>
      <w:r w:rsidRPr="00441526">
        <w:rPr>
          <w:b/>
          <w:lang w:val="en-NZ" w:eastAsia="ko-KR"/>
        </w:rPr>
        <w:t>/INF-</w:t>
      </w:r>
      <w:r w:rsidR="00D02613">
        <w:rPr>
          <w:b/>
          <w:lang w:val="en-NZ" w:eastAsia="ko-KR"/>
        </w:rPr>
        <w:t>2</w:t>
      </w:r>
      <w:r w:rsidR="005739F1">
        <w:rPr>
          <w:b/>
          <w:lang w:val="en-NZ" w:eastAsia="ko-KR"/>
        </w:rPr>
        <w:t>3</w:t>
      </w:r>
    </w:p>
    <w:p w14:paraId="29EF21C3" w14:textId="3D7BAE24" w:rsidR="00EA3D58" w:rsidRPr="00EA3D58" w:rsidRDefault="00EA3D58" w:rsidP="00D24E8B">
      <w:pPr>
        <w:spacing w:afterLines="50" w:after="120"/>
        <w:rPr>
          <w:lang w:val="en-NZ"/>
        </w:rPr>
      </w:pPr>
      <w:r>
        <w:rPr>
          <w:lang w:val="en-NZ"/>
        </w:rPr>
        <w:t>To be developed</w:t>
      </w:r>
    </w:p>
    <w:p w14:paraId="76228C91" w14:textId="77777777" w:rsidR="002A0111" w:rsidRPr="00710333" w:rsidRDefault="002A0111" w:rsidP="002A0111">
      <w:pPr>
        <w:jc w:val="center"/>
        <w:rPr>
          <w:snapToGrid w:val="0"/>
          <w:lang w:val="en-NZ"/>
        </w:rPr>
      </w:pPr>
      <w:r w:rsidRPr="00441526">
        <w:rPr>
          <w:lang w:val="en-NZ"/>
        </w:rPr>
        <w:t>____________</w:t>
      </w:r>
    </w:p>
    <w:p w14:paraId="7BEA3380" w14:textId="77777777" w:rsidR="002A0111" w:rsidRPr="002A0111" w:rsidRDefault="002A0111" w:rsidP="002A0111">
      <w:pPr>
        <w:rPr>
          <w:lang w:val="en-NZ"/>
        </w:rPr>
      </w:pPr>
    </w:p>
    <w:p w14:paraId="62C6BF37" w14:textId="77777777" w:rsidR="00654896" w:rsidRPr="002A0111" w:rsidRDefault="002A0111" w:rsidP="002A0111">
      <w:pPr>
        <w:tabs>
          <w:tab w:val="left" w:pos="1410"/>
        </w:tabs>
        <w:rPr>
          <w:lang w:val="en-NZ"/>
        </w:rPr>
      </w:pPr>
      <w:r>
        <w:rPr>
          <w:lang w:val="en-NZ"/>
        </w:rPr>
        <w:tab/>
      </w:r>
    </w:p>
    <w:sectPr w:rsidR="00654896" w:rsidRPr="002A0111" w:rsidSect="00C516C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73F9" w14:textId="77777777" w:rsidR="007D26D4" w:rsidRDefault="007D26D4">
      <w:r>
        <w:separator/>
      </w:r>
    </w:p>
  </w:endnote>
  <w:endnote w:type="continuationSeparator" w:id="0">
    <w:p w14:paraId="11357EDE" w14:textId="77777777" w:rsidR="007D26D4" w:rsidRDefault="007D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8CDB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49615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3C88" w14:textId="37DF953E" w:rsidR="0097693B" w:rsidRDefault="0092727B" w:rsidP="0092727B">
    <w:pPr>
      <w:pStyle w:val="Footer"/>
      <w:tabs>
        <w:tab w:val="clear" w:pos="4320"/>
        <w:tab w:val="clear" w:pos="8640"/>
        <w:tab w:val="right" w:pos="9180"/>
      </w:tabs>
      <w:ind w:right="-7"/>
    </w:pPr>
    <w:r>
      <w:rPr>
        <w:rFonts w:hint="eastAsia"/>
        <w:lang w:eastAsia="ko-KR"/>
      </w:rPr>
      <w:t>A</w:t>
    </w:r>
    <w:r w:rsidR="009C7235">
      <w:rPr>
        <w:lang w:eastAsia="ko-KR"/>
      </w:rPr>
      <w:t>PG</w:t>
    </w:r>
    <w:r w:rsidR="006B09DB">
      <w:rPr>
        <w:lang w:eastAsia="ko-KR"/>
      </w:rPr>
      <w:t>23</w:t>
    </w:r>
    <w:r w:rsidR="009C7235">
      <w:rPr>
        <w:lang w:eastAsia="ko-KR"/>
      </w:rPr>
      <w:t>-</w:t>
    </w:r>
    <w:r w:rsidR="006B09DB">
      <w:rPr>
        <w:lang w:eastAsia="ko-KR"/>
      </w:rPr>
      <w:t>2</w:t>
    </w:r>
    <w:r w:rsidR="002A0111">
      <w:rPr>
        <w:lang w:eastAsia="ko-KR"/>
      </w:rPr>
      <w:t>/</w:t>
    </w:r>
    <w:r w:rsidR="00685734">
      <w:rPr>
        <w:lang w:eastAsia="ko-KR"/>
      </w:rPr>
      <w:t>OUT</w:t>
    </w:r>
    <w:r>
      <w:rPr>
        <w:lang w:eastAsia="ko-KR"/>
      </w:rPr>
      <w:t>-</w:t>
    </w:r>
    <w:r w:rsidR="00302EE5">
      <w:rPr>
        <w:lang w:eastAsia="ko-KR"/>
      </w:rPr>
      <w:t>2</w:t>
    </w:r>
    <w:r w:rsidR="00685734">
      <w:rPr>
        <w:lang w:eastAsia="ko-KR"/>
      </w:rPr>
      <w:t>6</w:t>
    </w:r>
    <w:r>
      <w:rPr>
        <w:rStyle w:val="PageNumber"/>
      </w:rPr>
      <w:tab/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C00B04">
      <w:rPr>
        <w:rStyle w:val="PageNumber"/>
        <w:noProof/>
      </w:rPr>
      <w:t>5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C00B04">
      <w:rPr>
        <w:rStyle w:val="PageNumber"/>
        <w:noProof/>
      </w:rPr>
      <w:t>5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left w:val="none" w:sz="0" w:space="0" w:color="auto"/>
        <w:bottom w:val="none" w:sz="0" w:space="0" w:color="auto"/>
        <w:right w:val="none" w:sz="0" w:space="0" w:color="auto"/>
      </w:tblBorders>
      <w:tblLayout w:type="fixed"/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296"/>
      <w:gridCol w:w="5184"/>
      <w:gridCol w:w="2880"/>
    </w:tblGrid>
    <w:tr w:rsidR="0092727B" w14:paraId="15EB0DDC" w14:textId="77777777" w:rsidTr="00BB0EA4">
      <w:trPr>
        <w:trHeight w:val="432"/>
      </w:trPr>
      <w:tc>
        <w:tcPr>
          <w:tcW w:w="1296" w:type="dxa"/>
          <w:tcBorders>
            <w:top w:val="single" w:sz="8" w:space="0" w:color="auto"/>
            <w:bottom w:val="nil"/>
            <w:right w:val="nil"/>
          </w:tcBorders>
        </w:tcPr>
        <w:p w14:paraId="44CB1F5A" w14:textId="77777777" w:rsidR="0092727B" w:rsidRDefault="0092727B" w:rsidP="0092727B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>
            <w:rPr>
              <w:b/>
              <w:bCs/>
            </w:rPr>
            <w:t>Contact:</w:t>
          </w:r>
        </w:p>
      </w:tc>
      <w:tc>
        <w:tcPr>
          <w:tcW w:w="5184" w:type="dxa"/>
          <w:tcBorders>
            <w:top w:val="single" w:sz="8" w:space="0" w:color="auto"/>
            <w:left w:val="nil"/>
            <w:bottom w:val="nil"/>
            <w:right w:val="nil"/>
          </w:tcBorders>
        </w:tcPr>
        <w:p w14:paraId="3F7E9198" w14:textId="3900D4C7" w:rsidR="0092727B" w:rsidRDefault="000B6CC2" w:rsidP="0092727B">
          <w:pPr>
            <w:pStyle w:val="Footer"/>
            <w:tabs>
              <w:tab w:val="clear" w:pos="4320"/>
              <w:tab w:val="clear" w:pos="8640"/>
            </w:tabs>
          </w:pPr>
          <w:r>
            <w:t>Takahiro Yokoyama</w:t>
          </w:r>
        </w:p>
        <w:p w14:paraId="75A43C26" w14:textId="444118DA" w:rsidR="002A0111" w:rsidRPr="002A0111" w:rsidRDefault="002A0111" w:rsidP="0092727B">
          <w:pPr>
            <w:pStyle w:val="Footer"/>
            <w:tabs>
              <w:tab w:val="clear" w:pos="4320"/>
              <w:tab w:val="clear" w:pos="8640"/>
            </w:tabs>
          </w:pPr>
          <w:r>
            <w:t xml:space="preserve">Chairman, DG </w:t>
          </w:r>
          <w:r w:rsidR="00D01291">
            <w:t>Res.655</w:t>
          </w:r>
        </w:p>
      </w:tc>
      <w:tc>
        <w:tcPr>
          <w:tcW w:w="2880" w:type="dxa"/>
          <w:tcBorders>
            <w:top w:val="single" w:sz="8" w:space="0" w:color="auto"/>
            <w:left w:val="nil"/>
            <w:bottom w:val="nil"/>
          </w:tcBorders>
        </w:tcPr>
        <w:p w14:paraId="7F9CA8F1" w14:textId="77777777" w:rsidR="0092727B" w:rsidRDefault="0092727B" w:rsidP="0092727B">
          <w:pPr>
            <w:pStyle w:val="Footer"/>
            <w:tabs>
              <w:tab w:val="clear" w:pos="4320"/>
              <w:tab w:val="clear" w:pos="8640"/>
            </w:tabs>
          </w:pPr>
          <w:r>
            <w:t>E-mail:</w:t>
          </w:r>
        </w:p>
        <w:p w14:paraId="38A46608" w14:textId="7FE24A9D" w:rsidR="000B6CC2" w:rsidRPr="000B6CC2" w:rsidRDefault="000B6CC2" w:rsidP="0092727B">
          <w:pPr>
            <w:pStyle w:val="Footer"/>
            <w:tabs>
              <w:tab w:val="clear" w:pos="4320"/>
              <w:tab w:val="clear" w:pos="8640"/>
            </w:tabs>
            <w:rPr>
              <w:rFonts w:eastAsia="MS Mincho"/>
              <w:lang w:eastAsia="ja-JP"/>
            </w:rPr>
          </w:pPr>
          <w:r>
            <w:rPr>
              <w:rFonts w:eastAsia="MS Mincho" w:hint="eastAsia"/>
              <w:lang w:eastAsia="ja-JP"/>
            </w:rPr>
            <w:t>t</w:t>
          </w:r>
          <w:r>
            <w:rPr>
              <w:rFonts w:eastAsia="MS Mincho"/>
              <w:lang w:eastAsia="ja-JP"/>
            </w:rPr>
            <w:t>.yokoyama@joy.ocn.ne.jp</w:t>
          </w:r>
        </w:p>
      </w:tc>
    </w:tr>
  </w:tbl>
  <w:p w14:paraId="757F794D" w14:textId="77777777" w:rsidR="0097693B" w:rsidRDefault="0097693B" w:rsidP="0092727B">
    <w:pPr>
      <w:pStyle w:val="Footer"/>
      <w:tabs>
        <w:tab w:val="clear" w:pos="4320"/>
        <w:tab w:val="clear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EBCE" w14:textId="77777777" w:rsidR="007D26D4" w:rsidRDefault="007D26D4">
      <w:r>
        <w:separator/>
      </w:r>
    </w:p>
  </w:footnote>
  <w:footnote w:type="continuationSeparator" w:id="0">
    <w:p w14:paraId="71C2DD66" w14:textId="77777777" w:rsidR="007D26D4" w:rsidRDefault="007D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0A2E" w14:textId="77777777" w:rsidR="0097693B" w:rsidRDefault="0097693B" w:rsidP="0092727B">
    <w:pPr>
      <w:pStyle w:val="Header"/>
      <w:tabs>
        <w:tab w:val="clear" w:pos="4320"/>
        <w:tab w:val="clear" w:pos="8640"/>
      </w:tabs>
      <w:rPr>
        <w:lang w:eastAsia="ko-KR"/>
      </w:rPr>
    </w:pPr>
  </w:p>
  <w:p w14:paraId="01093D6A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C74C" w14:textId="77777777" w:rsidR="0092727B" w:rsidRDefault="0092727B" w:rsidP="0092727B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B2B"/>
    <w:multiLevelType w:val="hybridMultilevel"/>
    <w:tmpl w:val="364C5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9242A1"/>
    <w:multiLevelType w:val="hybridMultilevel"/>
    <w:tmpl w:val="DB6C76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A7463F"/>
    <w:multiLevelType w:val="hybridMultilevel"/>
    <w:tmpl w:val="D2B878D4"/>
    <w:lvl w:ilvl="0" w:tplc="148491A4">
      <w:start w:val="4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BBE1A4D"/>
    <w:multiLevelType w:val="hybridMultilevel"/>
    <w:tmpl w:val="E8E6722C"/>
    <w:lvl w:ilvl="0" w:tplc="A114EBFA">
      <w:start w:val="1"/>
      <w:numFmt w:val="bullet"/>
      <w:lvlText w:val="-"/>
      <w:lvlJc w:val="left"/>
      <w:pPr>
        <w:ind w:left="28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7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20" w:hanging="400"/>
      </w:pPr>
      <w:rPr>
        <w:rFonts w:ascii="Wingdings" w:hAnsi="Wingdings" w:hint="default"/>
      </w:rPr>
    </w:lvl>
    <w:lvl w:ilvl="3" w:tplc="14090003">
      <w:start w:val="1"/>
      <w:numFmt w:val="bullet"/>
      <w:lvlText w:val="o"/>
      <w:lvlJc w:val="left"/>
      <w:pPr>
        <w:ind w:left="1520" w:hanging="40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</w:abstractNum>
  <w:abstractNum w:abstractNumId="12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F05F1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37239D2"/>
    <w:multiLevelType w:val="multilevel"/>
    <w:tmpl w:val="4C5255E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7" w15:restartNumberingAfterBreak="0">
    <w:nsid w:val="74F36918"/>
    <w:multiLevelType w:val="hybridMultilevel"/>
    <w:tmpl w:val="1F462B02"/>
    <w:lvl w:ilvl="0" w:tplc="5E1A8D2A">
      <w:start w:val="4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7A613B19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925CCC"/>
    <w:multiLevelType w:val="hybridMultilevel"/>
    <w:tmpl w:val="9D8A2134"/>
    <w:lvl w:ilvl="0" w:tplc="E94A71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5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18"/>
  </w:num>
  <w:num w:numId="10">
    <w:abstractNumId w:val="14"/>
  </w:num>
  <w:num w:numId="11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9"/>
  </w:num>
  <w:num w:numId="17">
    <w:abstractNumId w:val="13"/>
  </w:num>
  <w:num w:numId="18">
    <w:abstractNumId w:val="11"/>
  </w:num>
  <w:num w:numId="19">
    <w:abstractNumId w:val="17"/>
  </w:num>
  <w:num w:numId="20">
    <w:abstractNumId w:val="7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noLineBreaksAfter w:lang="ja-JP" w:val="$(-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10257"/>
    <w:rsid w:val="00010C8E"/>
    <w:rsid w:val="0003595B"/>
    <w:rsid w:val="00036517"/>
    <w:rsid w:val="00036CC9"/>
    <w:rsid w:val="00040149"/>
    <w:rsid w:val="00070642"/>
    <w:rsid w:val="000713CF"/>
    <w:rsid w:val="00075C14"/>
    <w:rsid w:val="000822B5"/>
    <w:rsid w:val="00094B87"/>
    <w:rsid w:val="000A012B"/>
    <w:rsid w:val="000A5418"/>
    <w:rsid w:val="000B6CC2"/>
    <w:rsid w:val="000D47FB"/>
    <w:rsid w:val="000E3530"/>
    <w:rsid w:val="000E5518"/>
    <w:rsid w:val="000F345F"/>
    <w:rsid w:val="000F517C"/>
    <w:rsid w:val="000F5540"/>
    <w:rsid w:val="00105F1A"/>
    <w:rsid w:val="00125FBD"/>
    <w:rsid w:val="001409B2"/>
    <w:rsid w:val="00152636"/>
    <w:rsid w:val="001539DD"/>
    <w:rsid w:val="00156782"/>
    <w:rsid w:val="00165F01"/>
    <w:rsid w:val="001731F4"/>
    <w:rsid w:val="00186FD5"/>
    <w:rsid w:val="001916F2"/>
    <w:rsid w:val="001930A7"/>
    <w:rsid w:val="00196568"/>
    <w:rsid w:val="00197C18"/>
    <w:rsid w:val="001A2F16"/>
    <w:rsid w:val="001B1804"/>
    <w:rsid w:val="001B18C2"/>
    <w:rsid w:val="001C443F"/>
    <w:rsid w:val="001C61A5"/>
    <w:rsid w:val="001C6707"/>
    <w:rsid w:val="001D5D7E"/>
    <w:rsid w:val="001F5947"/>
    <w:rsid w:val="00202410"/>
    <w:rsid w:val="00214A0C"/>
    <w:rsid w:val="0021588B"/>
    <w:rsid w:val="002161B6"/>
    <w:rsid w:val="002216AC"/>
    <w:rsid w:val="00227199"/>
    <w:rsid w:val="0023212E"/>
    <w:rsid w:val="002475E2"/>
    <w:rsid w:val="002506D2"/>
    <w:rsid w:val="00250DE2"/>
    <w:rsid w:val="00254A1B"/>
    <w:rsid w:val="0026064A"/>
    <w:rsid w:val="00264566"/>
    <w:rsid w:val="00277BFE"/>
    <w:rsid w:val="0028454D"/>
    <w:rsid w:val="00291C9E"/>
    <w:rsid w:val="002926D4"/>
    <w:rsid w:val="0029734E"/>
    <w:rsid w:val="002A0111"/>
    <w:rsid w:val="002A3CF5"/>
    <w:rsid w:val="002B06A3"/>
    <w:rsid w:val="002B435C"/>
    <w:rsid w:val="002B447F"/>
    <w:rsid w:val="002C07DA"/>
    <w:rsid w:val="002C2A49"/>
    <w:rsid w:val="002C7EA9"/>
    <w:rsid w:val="002F575D"/>
    <w:rsid w:val="00302EE5"/>
    <w:rsid w:val="003113D7"/>
    <w:rsid w:val="00311E8A"/>
    <w:rsid w:val="00342F20"/>
    <w:rsid w:val="0035324E"/>
    <w:rsid w:val="00360377"/>
    <w:rsid w:val="00366548"/>
    <w:rsid w:val="0038005B"/>
    <w:rsid w:val="003809C7"/>
    <w:rsid w:val="0038236C"/>
    <w:rsid w:val="00393DCD"/>
    <w:rsid w:val="00395B40"/>
    <w:rsid w:val="003A2006"/>
    <w:rsid w:val="003A6568"/>
    <w:rsid w:val="003B4FD1"/>
    <w:rsid w:val="003B5DB5"/>
    <w:rsid w:val="003B6263"/>
    <w:rsid w:val="003C29E6"/>
    <w:rsid w:val="003C64A7"/>
    <w:rsid w:val="003D1128"/>
    <w:rsid w:val="003D1671"/>
    <w:rsid w:val="003D3D47"/>
    <w:rsid w:val="003D3FDA"/>
    <w:rsid w:val="003D6D00"/>
    <w:rsid w:val="003E166F"/>
    <w:rsid w:val="003F307E"/>
    <w:rsid w:val="004001E5"/>
    <w:rsid w:val="0041313C"/>
    <w:rsid w:val="00420822"/>
    <w:rsid w:val="00420C74"/>
    <w:rsid w:val="00422C1B"/>
    <w:rsid w:val="00441526"/>
    <w:rsid w:val="004465AA"/>
    <w:rsid w:val="00446A5E"/>
    <w:rsid w:val="0045458F"/>
    <w:rsid w:val="004633B4"/>
    <w:rsid w:val="00487927"/>
    <w:rsid w:val="00495CED"/>
    <w:rsid w:val="004A2F96"/>
    <w:rsid w:val="004A4BDF"/>
    <w:rsid w:val="004B3553"/>
    <w:rsid w:val="004B3F4B"/>
    <w:rsid w:val="004E1FCA"/>
    <w:rsid w:val="004E47D6"/>
    <w:rsid w:val="004E6B3C"/>
    <w:rsid w:val="00503189"/>
    <w:rsid w:val="00510839"/>
    <w:rsid w:val="00516BD1"/>
    <w:rsid w:val="005206E9"/>
    <w:rsid w:val="00526D01"/>
    <w:rsid w:val="00530E8C"/>
    <w:rsid w:val="00535D34"/>
    <w:rsid w:val="00545933"/>
    <w:rsid w:val="00552105"/>
    <w:rsid w:val="005562F2"/>
    <w:rsid w:val="00557544"/>
    <w:rsid w:val="00565BBB"/>
    <w:rsid w:val="00571B26"/>
    <w:rsid w:val="005739F1"/>
    <w:rsid w:val="00585F3C"/>
    <w:rsid w:val="00586CA0"/>
    <w:rsid w:val="00587875"/>
    <w:rsid w:val="005A63EB"/>
    <w:rsid w:val="005B0876"/>
    <w:rsid w:val="005C33B6"/>
    <w:rsid w:val="005D6202"/>
    <w:rsid w:val="005D6E98"/>
    <w:rsid w:val="00607E2B"/>
    <w:rsid w:val="006104DF"/>
    <w:rsid w:val="006139D6"/>
    <w:rsid w:val="00616D1B"/>
    <w:rsid w:val="00623CE1"/>
    <w:rsid w:val="00627880"/>
    <w:rsid w:val="0063062B"/>
    <w:rsid w:val="00634A82"/>
    <w:rsid w:val="00637351"/>
    <w:rsid w:val="00644081"/>
    <w:rsid w:val="00646166"/>
    <w:rsid w:val="0064651E"/>
    <w:rsid w:val="00652BDD"/>
    <w:rsid w:val="00654896"/>
    <w:rsid w:val="006621F0"/>
    <w:rsid w:val="006647BA"/>
    <w:rsid w:val="00667229"/>
    <w:rsid w:val="00682BE5"/>
    <w:rsid w:val="00683846"/>
    <w:rsid w:val="00685734"/>
    <w:rsid w:val="00690FED"/>
    <w:rsid w:val="006939A5"/>
    <w:rsid w:val="006B09DB"/>
    <w:rsid w:val="006D5223"/>
    <w:rsid w:val="006D5970"/>
    <w:rsid w:val="006E12FC"/>
    <w:rsid w:val="006F0F24"/>
    <w:rsid w:val="006F2B2E"/>
    <w:rsid w:val="006F6A5C"/>
    <w:rsid w:val="00703F6F"/>
    <w:rsid w:val="007052B3"/>
    <w:rsid w:val="00705962"/>
    <w:rsid w:val="00707C21"/>
    <w:rsid w:val="00712451"/>
    <w:rsid w:val="00717DE9"/>
    <w:rsid w:val="0072518B"/>
    <w:rsid w:val="00725B1E"/>
    <w:rsid w:val="007279BD"/>
    <w:rsid w:val="00731041"/>
    <w:rsid w:val="007329E4"/>
    <w:rsid w:val="00732F08"/>
    <w:rsid w:val="007342F0"/>
    <w:rsid w:val="0074190C"/>
    <w:rsid w:val="0075493D"/>
    <w:rsid w:val="00762576"/>
    <w:rsid w:val="007673CA"/>
    <w:rsid w:val="00785542"/>
    <w:rsid w:val="00791060"/>
    <w:rsid w:val="00791C4C"/>
    <w:rsid w:val="007926EA"/>
    <w:rsid w:val="007B5626"/>
    <w:rsid w:val="007B6124"/>
    <w:rsid w:val="007C1DEA"/>
    <w:rsid w:val="007D26D4"/>
    <w:rsid w:val="007D3C53"/>
    <w:rsid w:val="007E3A0F"/>
    <w:rsid w:val="007F0AE6"/>
    <w:rsid w:val="007F2628"/>
    <w:rsid w:val="007F2FBA"/>
    <w:rsid w:val="00800C3A"/>
    <w:rsid w:val="0080570B"/>
    <w:rsid w:val="008148E1"/>
    <w:rsid w:val="00822B33"/>
    <w:rsid w:val="00826EE3"/>
    <w:rsid w:val="00827FDC"/>
    <w:rsid w:val="008319BF"/>
    <w:rsid w:val="008415F0"/>
    <w:rsid w:val="008433C2"/>
    <w:rsid w:val="00844457"/>
    <w:rsid w:val="008454C8"/>
    <w:rsid w:val="00851D78"/>
    <w:rsid w:val="0087122A"/>
    <w:rsid w:val="008A016F"/>
    <w:rsid w:val="008A1A0D"/>
    <w:rsid w:val="008A72E1"/>
    <w:rsid w:val="008A76ED"/>
    <w:rsid w:val="008B3C72"/>
    <w:rsid w:val="008C5FED"/>
    <w:rsid w:val="008D0E09"/>
    <w:rsid w:val="008E4236"/>
    <w:rsid w:val="00903007"/>
    <w:rsid w:val="00923816"/>
    <w:rsid w:val="0092727B"/>
    <w:rsid w:val="0093074B"/>
    <w:rsid w:val="00930E64"/>
    <w:rsid w:val="00943CF9"/>
    <w:rsid w:val="00956F8C"/>
    <w:rsid w:val="00961D57"/>
    <w:rsid w:val="00976716"/>
    <w:rsid w:val="0097693B"/>
    <w:rsid w:val="0098102C"/>
    <w:rsid w:val="00993355"/>
    <w:rsid w:val="009963F7"/>
    <w:rsid w:val="009A11CB"/>
    <w:rsid w:val="009A4A6D"/>
    <w:rsid w:val="009B44DD"/>
    <w:rsid w:val="009B7E42"/>
    <w:rsid w:val="009C7235"/>
    <w:rsid w:val="009D46CE"/>
    <w:rsid w:val="009D4ADA"/>
    <w:rsid w:val="009E13DD"/>
    <w:rsid w:val="009F547A"/>
    <w:rsid w:val="00A03D78"/>
    <w:rsid w:val="00A048B0"/>
    <w:rsid w:val="00A0503B"/>
    <w:rsid w:val="00A059CD"/>
    <w:rsid w:val="00A13265"/>
    <w:rsid w:val="00A14900"/>
    <w:rsid w:val="00A2159F"/>
    <w:rsid w:val="00A23C16"/>
    <w:rsid w:val="00A324FF"/>
    <w:rsid w:val="00A529BC"/>
    <w:rsid w:val="00A5346C"/>
    <w:rsid w:val="00A53F51"/>
    <w:rsid w:val="00A562F0"/>
    <w:rsid w:val="00A564FB"/>
    <w:rsid w:val="00A614C1"/>
    <w:rsid w:val="00A61EA6"/>
    <w:rsid w:val="00A657BF"/>
    <w:rsid w:val="00A71136"/>
    <w:rsid w:val="00A76B1F"/>
    <w:rsid w:val="00A775D9"/>
    <w:rsid w:val="00A9147A"/>
    <w:rsid w:val="00A92578"/>
    <w:rsid w:val="00AA474C"/>
    <w:rsid w:val="00AC35EF"/>
    <w:rsid w:val="00AC4D5B"/>
    <w:rsid w:val="00AD1DDB"/>
    <w:rsid w:val="00AD2697"/>
    <w:rsid w:val="00AD7E5F"/>
    <w:rsid w:val="00AE3066"/>
    <w:rsid w:val="00AF68E4"/>
    <w:rsid w:val="00B00A87"/>
    <w:rsid w:val="00B01AA1"/>
    <w:rsid w:val="00B06025"/>
    <w:rsid w:val="00B24E93"/>
    <w:rsid w:val="00B30C81"/>
    <w:rsid w:val="00B30DA1"/>
    <w:rsid w:val="00B338E7"/>
    <w:rsid w:val="00B36DB7"/>
    <w:rsid w:val="00B4793B"/>
    <w:rsid w:val="00B56099"/>
    <w:rsid w:val="00B64617"/>
    <w:rsid w:val="00B64A60"/>
    <w:rsid w:val="00B661AC"/>
    <w:rsid w:val="00B8468D"/>
    <w:rsid w:val="00B937D7"/>
    <w:rsid w:val="00B96B67"/>
    <w:rsid w:val="00BB0EA4"/>
    <w:rsid w:val="00BC57EF"/>
    <w:rsid w:val="00BC69DB"/>
    <w:rsid w:val="00BE6B6B"/>
    <w:rsid w:val="00BF2284"/>
    <w:rsid w:val="00BF25F9"/>
    <w:rsid w:val="00BF5FAD"/>
    <w:rsid w:val="00C00B04"/>
    <w:rsid w:val="00C05191"/>
    <w:rsid w:val="00C10BC5"/>
    <w:rsid w:val="00C13FD5"/>
    <w:rsid w:val="00C15633"/>
    <w:rsid w:val="00C15799"/>
    <w:rsid w:val="00C26B15"/>
    <w:rsid w:val="00C32B10"/>
    <w:rsid w:val="00C32E84"/>
    <w:rsid w:val="00C3417B"/>
    <w:rsid w:val="00C35415"/>
    <w:rsid w:val="00C357AD"/>
    <w:rsid w:val="00C516C7"/>
    <w:rsid w:val="00C51C5F"/>
    <w:rsid w:val="00C554CC"/>
    <w:rsid w:val="00C554EB"/>
    <w:rsid w:val="00C6069C"/>
    <w:rsid w:val="00C70477"/>
    <w:rsid w:val="00C72AD4"/>
    <w:rsid w:val="00C74745"/>
    <w:rsid w:val="00C85119"/>
    <w:rsid w:val="00C95BF2"/>
    <w:rsid w:val="00C95C48"/>
    <w:rsid w:val="00CA41E7"/>
    <w:rsid w:val="00CB375A"/>
    <w:rsid w:val="00CB6171"/>
    <w:rsid w:val="00CD170C"/>
    <w:rsid w:val="00CD320B"/>
    <w:rsid w:val="00CD3F37"/>
    <w:rsid w:val="00CD5431"/>
    <w:rsid w:val="00CE4B93"/>
    <w:rsid w:val="00CF2491"/>
    <w:rsid w:val="00CF3963"/>
    <w:rsid w:val="00CF449D"/>
    <w:rsid w:val="00D01291"/>
    <w:rsid w:val="00D02613"/>
    <w:rsid w:val="00D1252E"/>
    <w:rsid w:val="00D13D9D"/>
    <w:rsid w:val="00D14AFE"/>
    <w:rsid w:val="00D24E8B"/>
    <w:rsid w:val="00D27589"/>
    <w:rsid w:val="00D30AE2"/>
    <w:rsid w:val="00D416A3"/>
    <w:rsid w:val="00D4413F"/>
    <w:rsid w:val="00D459A2"/>
    <w:rsid w:val="00D530FF"/>
    <w:rsid w:val="00D53688"/>
    <w:rsid w:val="00D5407A"/>
    <w:rsid w:val="00D57772"/>
    <w:rsid w:val="00D64142"/>
    <w:rsid w:val="00D71FA3"/>
    <w:rsid w:val="00D72AE3"/>
    <w:rsid w:val="00D75A4D"/>
    <w:rsid w:val="00D8478B"/>
    <w:rsid w:val="00D86151"/>
    <w:rsid w:val="00D9172D"/>
    <w:rsid w:val="00D97E84"/>
    <w:rsid w:val="00DA064F"/>
    <w:rsid w:val="00DA5641"/>
    <w:rsid w:val="00DA7595"/>
    <w:rsid w:val="00DB0A68"/>
    <w:rsid w:val="00DC1642"/>
    <w:rsid w:val="00DC43A3"/>
    <w:rsid w:val="00DC4CF3"/>
    <w:rsid w:val="00DC5C01"/>
    <w:rsid w:val="00DD7C09"/>
    <w:rsid w:val="00DF0EB4"/>
    <w:rsid w:val="00DF111E"/>
    <w:rsid w:val="00E0124F"/>
    <w:rsid w:val="00E24CCD"/>
    <w:rsid w:val="00E5762A"/>
    <w:rsid w:val="00E674D3"/>
    <w:rsid w:val="00E70FD0"/>
    <w:rsid w:val="00E72B2C"/>
    <w:rsid w:val="00E7309D"/>
    <w:rsid w:val="00E77C4B"/>
    <w:rsid w:val="00E9301F"/>
    <w:rsid w:val="00E9690A"/>
    <w:rsid w:val="00E97DC7"/>
    <w:rsid w:val="00EA3D58"/>
    <w:rsid w:val="00EC47EE"/>
    <w:rsid w:val="00ED3D78"/>
    <w:rsid w:val="00F000EF"/>
    <w:rsid w:val="00F2504E"/>
    <w:rsid w:val="00F2585B"/>
    <w:rsid w:val="00F4053F"/>
    <w:rsid w:val="00F516E7"/>
    <w:rsid w:val="00F57BF7"/>
    <w:rsid w:val="00F6155A"/>
    <w:rsid w:val="00F61F89"/>
    <w:rsid w:val="00F6263E"/>
    <w:rsid w:val="00F627C2"/>
    <w:rsid w:val="00F736FD"/>
    <w:rsid w:val="00F84067"/>
    <w:rsid w:val="00FA50B4"/>
    <w:rsid w:val="00FB15B4"/>
    <w:rsid w:val="00FB31B8"/>
    <w:rsid w:val="00FB6E83"/>
    <w:rsid w:val="00FC156A"/>
    <w:rsid w:val="00FD6235"/>
    <w:rsid w:val="00FE13D1"/>
    <w:rsid w:val="00FE3DE5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2F8AB"/>
  <w15:docId w15:val="{CE09C02D-4F7B-4CD4-A4AB-C2CBF04E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50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0DE2"/>
    <w:rPr>
      <w:rFonts w:ascii="Tahoma" w:eastAsia="BatangChe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64A6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540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407A"/>
    <w:rPr>
      <w:rFonts w:eastAsia="BatangChe"/>
    </w:rPr>
  </w:style>
  <w:style w:type="character" w:styleId="FootnoteReference">
    <w:name w:val="footnote reference"/>
    <w:basedOn w:val="DefaultParagraphFont"/>
    <w:semiHidden/>
    <w:unhideWhenUsed/>
    <w:rsid w:val="00D5407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E4B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4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4B93"/>
    <w:rPr>
      <w:rFonts w:eastAsia="BatangCh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4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4B93"/>
    <w:rPr>
      <w:rFonts w:eastAsia="BatangChe"/>
      <w:b/>
      <w:bCs/>
    </w:rPr>
  </w:style>
  <w:style w:type="table" w:styleId="TableGrid">
    <w:name w:val="Table Grid"/>
    <w:basedOn w:val="TableNormal"/>
    <w:rsid w:val="00927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1B26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F2284"/>
    <w:rPr>
      <w:rFonts w:eastAsia="BatangCh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WP7A-C-001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dms_ties/itu-r/md/19/wp7a/c/R19-WP7A-C-0013!N02!MSW-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TF.460/recommendation.asp?lang=en&amp;parent=R-REC-TF.460-6-200202-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720B-5F01-42DC-96A4-8D122DD3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APT Secretariat</dc:creator>
  <cp:lastModifiedBy>Tawhid Hussain</cp:lastModifiedBy>
  <cp:revision>8</cp:revision>
  <cp:lastPrinted>2021-04-21T15:10:00Z</cp:lastPrinted>
  <dcterms:created xsi:type="dcterms:W3CDTF">2021-04-21T06:51:00Z</dcterms:created>
  <dcterms:modified xsi:type="dcterms:W3CDTF">2021-04-23T04:44:00Z</dcterms:modified>
</cp:coreProperties>
</file>