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07E51876" w14:textId="77777777" w:rsidTr="00194A2D">
        <w:trPr>
          <w:cantSplit/>
          <w:trHeight w:val="288"/>
        </w:trPr>
        <w:tc>
          <w:tcPr>
            <w:tcW w:w="1399" w:type="dxa"/>
            <w:vMerge w:val="restart"/>
          </w:tcPr>
          <w:p w14:paraId="3608A972"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14:anchorId="001A788D" wp14:editId="128F61C3">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55958AE" w14:textId="77777777" w:rsidR="00C516C7" w:rsidRPr="00E86131" w:rsidRDefault="00C516C7" w:rsidP="00194A2D">
            <w:r w:rsidRPr="00E86131">
              <w:t>ASIA-PACIFIC TELECOMMUNITY</w:t>
            </w:r>
          </w:p>
        </w:tc>
        <w:tc>
          <w:tcPr>
            <w:tcW w:w="2160" w:type="dxa"/>
          </w:tcPr>
          <w:p w14:paraId="4FABABA7" w14:textId="77777777" w:rsidR="00C516C7" w:rsidRPr="00723BE9" w:rsidRDefault="00C516C7" w:rsidP="00194A2D">
            <w:pPr>
              <w:rPr>
                <w:b/>
                <w:sz w:val="22"/>
                <w:szCs w:val="22"/>
              </w:rPr>
            </w:pPr>
            <w:r w:rsidRPr="00723BE9">
              <w:rPr>
                <w:b/>
              </w:rPr>
              <w:t>Document No:</w:t>
            </w:r>
          </w:p>
        </w:tc>
      </w:tr>
      <w:tr w:rsidR="00C516C7" w:rsidRPr="00C15799" w14:paraId="77EA2FC7" w14:textId="77777777" w:rsidTr="00194A2D">
        <w:trPr>
          <w:cantSplit/>
          <w:trHeight w:val="504"/>
        </w:trPr>
        <w:tc>
          <w:tcPr>
            <w:tcW w:w="1399" w:type="dxa"/>
            <w:vMerge/>
          </w:tcPr>
          <w:p w14:paraId="7AE824D4" w14:textId="77777777" w:rsidR="00C516C7" w:rsidRPr="00891D0B" w:rsidRDefault="00C516C7" w:rsidP="00194A2D"/>
        </w:tc>
        <w:tc>
          <w:tcPr>
            <w:tcW w:w="5760" w:type="dxa"/>
          </w:tcPr>
          <w:p w14:paraId="36D9E189"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5FAE1CCF"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35941B73" w14:textId="062C4F38"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0060DF">
              <w:rPr>
                <w:b/>
                <w:bCs/>
                <w:lang w:val="fr-FR"/>
              </w:rPr>
              <w:t>OUT</w:t>
            </w:r>
            <w:r>
              <w:rPr>
                <w:b/>
                <w:bCs/>
                <w:lang w:val="fr-FR"/>
              </w:rPr>
              <w:t>-</w:t>
            </w:r>
            <w:r w:rsidR="00A83867">
              <w:rPr>
                <w:b/>
                <w:bCs/>
                <w:lang w:val="fr-FR"/>
              </w:rPr>
              <w:t>28</w:t>
            </w:r>
          </w:p>
          <w:p w14:paraId="0DEDD3FC" w14:textId="5B6D6483" w:rsidR="00C516C7" w:rsidRDefault="00E3600D" w:rsidP="00194A2D">
            <w:pPr>
              <w:spacing w:line="0" w:lineRule="atLeast"/>
              <w:rPr>
                <w:b/>
              </w:rPr>
            </w:pPr>
            <w:r>
              <w:rPr>
                <w:b/>
              </w:rPr>
              <w:t>(Rev.1)</w:t>
            </w:r>
          </w:p>
        </w:tc>
      </w:tr>
      <w:tr w:rsidR="00C516C7" w:rsidRPr="00891D0B" w14:paraId="1D7BE7E3" w14:textId="77777777" w:rsidTr="00194A2D">
        <w:trPr>
          <w:cantSplit/>
          <w:trHeight w:val="288"/>
        </w:trPr>
        <w:tc>
          <w:tcPr>
            <w:tcW w:w="1399" w:type="dxa"/>
            <w:vMerge/>
          </w:tcPr>
          <w:p w14:paraId="6E37DF33" w14:textId="77777777" w:rsidR="00C516C7" w:rsidRPr="007E1FDD" w:rsidRDefault="00C516C7" w:rsidP="00194A2D">
            <w:pPr>
              <w:rPr>
                <w:lang w:val="en-GB"/>
              </w:rPr>
            </w:pPr>
          </w:p>
        </w:tc>
        <w:tc>
          <w:tcPr>
            <w:tcW w:w="5760" w:type="dxa"/>
            <w:vAlign w:val="bottom"/>
          </w:tcPr>
          <w:p w14:paraId="707A95BF" w14:textId="714C88A8" w:rsidR="00C516C7" w:rsidRPr="007F0AE6" w:rsidRDefault="007F0AE6" w:rsidP="00194A2D">
            <w:pPr>
              <w:rPr>
                <w:bCs/>
              </w:rPr>
            </w:pPr>
            <w:r>
              <w:t>19</w:t>
            </w:r>
            <w:r w:rsidR="00C516C7">
              <w:t xml:space="preserve"> – 2</w:t>
            </w:r>
            <w:r>
              <w:t>3</w:t>
            </w:r>
            <w:r w:rsidR="0004786B">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29CFA1B8" w14:textId="24487833" w:rsidR="00C516C7" w:rsidRDefault="000060DF">
            <w:r>
              <w:rPr>
                <w:bCs/>
              </w:rPr>
              <w:t xml:space="preserve">23 </w:t>
            </w:r>
            <w:r w:rsidR="007F0AE6">
              <w:rPr>
                <w:bCs/>
              </w:rPr>
              <w:t xml:space="preserve">April </w:t>
            </w:r>
            <w:r w:rsidR="00C516C7" w:rsidRPr="007E1FDD">
              <w:rPr>
                <w:bCs/>
              </w:rPr>
              <w:t>20</w:t>
            </w:r>
            <w:r w:rsidR="007F0AE6">
              <w:rPr>
                <w:bCs/>
              </w:rPr>
              <w:t>21</w:t>
            </w:r>
          </w:p>
        </w:tc>
      </w:tr>
    </w:tbl>
    <w:p w14:paraId="357BB35A" w14:textId="77777777" w:rsidR="00311E8A" w:rsidRDefault="00311E8A" w:rsidP="0072518B">
      <w:pPr>
        <w:jc w:val="center"/>
        <w:rPr>
          <w:lang w:val="en-NZ"/>
        </w:rPr>
      </w:pPr>
    </w:p>
    <w:p w14:paraId="659C4CE6" w14:textId="7F188456" w:rsidR="00B64A60" w:rsidRPr="002A0111" w:rsidRDefault="004724BB" w:rsidP="00B64A60">
      <w:pPr>
        <w:jc w:val="center"/>
        <w:rPr>
          <w:lang w:val="en-NZ" w:eastAsia="ko-KR"/>
        </w:rPr>
      </w:pPr>
      <w:r>
        <w:rPr>
          <w:lang w:val="en-NZ" w:eastAsia="ko-KR"/>
        </w:rPr>
        <w:t>Working Party 4</w:t>
      </w:r>
    </w:p>
    <w:p w14:paraId="383EFF27" w14:textId="77777777" w:rsidR="00B64A60" w:rsidRPr="002A0111" w:rsidRDefault="00B64A60" w:rsidP="00B64A60">
      <w:pPr>
        <w:jc w:val="center"/>
        <w:rPr>
          <w:bCs/>
          <w:caps/>
          <w:lang w:val="en-NZ"/>
        </w:rPr>
      </w:pPr>
    </w:p>
    <w:p w14:paraId="63CF4EB6" w14:textId="6A99E47B"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526C7E">
        <w:rPr>
          <w:b/>
          <w:bCs/>
          <w:caps/>
          <w:lang w:val="en-NZ"/>
        </w:rPr>
        <w:t>15</w:t>
      </w:r>
    </w:p>
    <w:p w14:paraId="230B8A44" w14:textId="77777777" w:rsidR="00B64A60" w:rsidRPr="00441526" w:rsidRDefault="00B64A60" w:rsidP="00264566">
      <w:pPr>
        <w:spacing w:after="120"/>
        <w:rPr>
          <w:lang w:val="en-NZ"/>
        </w:rPr>
      </w:pPr>
    </w:p>
    <w:p w14:paraId="0CC406A2" w14:textId="77777777" w:rsidR="00A90AD3" w:rsidRDefault="00A90AD3" w:rsidP="00A90AD3">
      <w:pPr>
        <w:jc w:val="both"/>
      </w:pPr>
      <w:r>
        <w:rPr>
          <w:b/>
        </w:rPr>
        <w:t xml:space="preserve">Agenda Item 1.15: </w:t>
      </w:r>
    </w:p>
    <w:p w14:paraId="573F239B" w14:textId="77777777" w:rsidR="00A90AD3" w:rsidRDefault="00A90AD3" w:rsidP="00A90AD3">
      <w:pPr>
        <w:jc w:val="both"/>
        <w:rPr>
          <w:b/>
          <w:i/>
        </w:rPr>
      </w:pPr>
      <w:r w:rsidRPr="00B86533">
        <w:rPr>
          <w:i/>
        </w:rPr>
        <w:t>to harmonize the use of the frequency band 12.75-13.25 GHz (Earth-to-space) by earth stations on aircraft and vessels communicating with geostationary space stations in the fixed-satellite service globally, in accordance with Resolution</w:t>
      </w:r>
      <w:r w:rsidRPr="00B86533">
        <w:rPr>
          <w:b/>
          <w:i/>
        </w:rPr>
        <w:t xml:space="preserve"> 172 (WRC-​19</w:t>
      </w:r>
      <w:proofErr w:type="gramStart"/>
      <w:r w:rsidRPr="00B86533">
        <w:rPr>
          <w:b/>
          <w:i/>
        </w:rPr>
        <w:t>);</w:t>
      </w:r>
      <w:proofErr w:type="gramEnd"/>
    </w:p>
    <w:p w14:paraId="2C45D856" w14:textId="77777777" w:rsidR="00A90AD3" w:rsidRDefault="00A90AD3" w:rsidP="00A90AD3">
      <w:pPr>
        <w:jc w:val="both"/>
        <w:rPr>
          <w:b/>
          <w:i/>
        </w:rPr>
      </w:pPr>
    </w:p>
    <w:p w14:paraId="0E892BB8" w14:textId="77777777" w:rsidR="00A90AD3" w:rsidRPr="00A90AD3" w:rsidRDefault="00A90AD3" w:rsidP="00A90AD3">
      <w:pPr>
        <w:spacing w:after="120"/>
        <w:jc w:val="both"/>
        <w:rPr>
          <w:b/>
          <w:lang w:val="en-NZ"/>
        </w:rPr>
      </w:pPr>
      <w:r w:rsidRPr="008C5B24">
        <w:t>RESOLUTION</w:t>
      </w:r>
      <w:r>
        <w:t xml:space="preserve"> </w:t>
      </w:r>
      <w:r w:rsidRPr="00B86533">
        <w:rPr>
          <w:b/>
        </w:rPr>
        <w:t>172 (WRC-​19</w:t>
      </w:r>
      <w:r w:rsidRPr="00B86533">
        <w:rPr>
          <w:b/>
          <w:i/>
        </w:rPr>
        <w:t>)</w:t>
      </w:r>
      <w:r w:rsidRPr="008C5B24">
        <w:t xml:space="preserve"> – </w:t>
      </w:r>
      <w:r w:rsidRPr="00B86533">
        <w:rPr>
          <w:i/>
        </w:rPr>
        <w:t>Operation of earth stations on aircraft and vessels communicating with geostationary space stations in the fixed-satellite service in the frequency band 12.75-13.25 GHz (Earth-to-space)</w:t>
      </w:r>
    </w:p>
    <w:p w14:paraId="3F5EE878" w14:textId="77777777" w:rsidR="002A0111" w:rsidRPr="00441526" w:rsidRDefault="002A0111" w:rsidP="002A0111">
      <w:pPr>
        <w:jc w:val="both"/>
        <w:rPr>
          <w:lang w:val="en-NZ"/>
        </w:rPr>
      </w:pPr>
    </w:p>
    <w:p w14:paraId="37090708"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05F83A9" w14:textId="77777777" w:rsidR="00C62E1A" w:rsidRPr="00CC3837" w:rsidRDefault="00C62E1A" w:rsidP="00CC3837">
      <w:pPr>
        <w:spacing w:after="120" w:line="264" w:lineRule="auto"/>
        <w:jc w:val="both"/>
      </w:pPr>
      <w:r w:rsidRPr="00CC3837">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CC3837">
        <w:rPr>
          <w:b/>
          <w:bCs/>
        </w:rPr>
        <w:t>172 (WRC-19)</w:t>
      </w:r>
      <w:r w:rsidRPr="00CC3837">
        <w:t>.</w:t>
      </w:r>
    </w:p>
    <w:p w14:paraId="1B4AEEB8" w14:textId="77777777" w:rsidR="00C62E1A" w:rsidRPr="00CC3837" w:rsidRDefault="00C62E1A" w:rsidP="00E3600D">
      <w:pPr>
        <w:spacing w:after="120" w:line="264" w:lineRule="auto"/>
        <w:jc w:val="both"/>
      </w:pPr>
      <w:r w:rsidRPr="00CC3837">
        <w:t xml:space="preserve">The ITU has addressed aeronautical and maritime earth stations operating with GSO FSS satellites in Study Group 4 and at several WRCs that adopted technical and regulatory regimes to allow such operations. In the Radio Regulations Resolution </w:t>
      </w:r>
      <w:r w:rsidRPr="00CC3837">
        <w:rPr>
          <w:b/>
          <w:bCs/>
        </w:rPr>
        <w:t>902 (WRC-03)</w:t>
      </w:r>
      <w:r w:rsidRPr="00CC3837">
        <w:t xml:space="preserve"> and Resolution </w:t>
      </w:r>
      <w:r w:rsidRPr="00CC3837">
        <w:rPr>
          <w:b/>
          <w:bCs/>
        </w:rPr>
        <w:t>169 (WRC-19)</w:t>
      </w:r>
      <w:r w:rsidRPr="00CC3837">
        <w:t xml:space="preserve"> define technical and regulatory rules to allow GSO FSS networks to communicate with earth stations on aircraft or vessels to provide broadband communications.</w:t>
      </w:r>
    </w:p>
    <w:p w14:paraId="24B4DA4B" w14:textId="77777777" w:rsidR="00C62E1A" w:rsidRPr="00CC3837" w:rsidRDefault="00C62E1A" w:rsidP="00CC3837">
      <w:pPr>
        <w:spacing w:after="120" w:line="264" w:lineRule="auto"/>
        <w:jc w:val="both"/>
        <w:rPr>
          <w:lang w:eastAsia="zh-CN"/>
        </w:rPr>
      </w:pPr>
      <w:r w:rsidRPr="00CC3837">
        <w:rPr>
          <w:lang w:eastAsia="zh-CN"/>
        </w:rPr>
        <w:t xml:space="preserve">WRC-15 adopted Resolution </w:t>
      </w:r>
      <w:r w:rsidRPr="00CC3837">
        <w:rPr>
          <w:b/>
          <w:bCs/>
          <w:lang w:eastAsia="zh-CN"/>
        </w:rPr>
        <w:t>156 (WRC-15)</w:t>
      </w:r>
      <w:r w:rsidRPr="00CC3837">
        <w:rPr>
          <w:lang w:eastAsia="zh-CN"/>
        </w:rPr>
        <w:t xml:space="preserve"> allowing the use of ESIM communicating with GSO FSS </w:t>
      </w:r>
      <w:proofErr w:type="gramStart"/>
      <w:r w:rsidRPr="00CC3837">
        <w:rPr>
          <w:lang w:eastAsia="zh-CN"/>
        </w:rPr>
        <w:t>networks  in</w:t>
      </w:r>
      <w:proofErr w:type="gramEnd"/>
      <w:r w:rsidRPr="00CC3837">
        <w:rPr>
          <w:lang w:eastAsia="zh-CN"/>
        </w:rPr>
        <w:t xml:space="preserve"> the 19.7-20.2 GHz and 29.5-30.0 GHz bands and WRC-19 adopted Resolution </w:t>
      </w:r>
      <w:r w:rsidRPr="00CC3837">
        <w:rPr>
          <w:b/>
          <w:bCs/>
          <w:lang w:eastAsia="zh-CN"/>
        </w:rPr>
        <w:t>169 (WRC-169)</w:t>
      </w:r>
      <w:r w:rsidRPr="00CC3837">
        <w:rPr>
          <w:lang w:eastAsia="zh-CN"/>
        </w:rPr>
        <w:t xml:space="preserve"> allowing the use of ESIM communicating with GSO FSS networks in the frequency bands 17.7-19.7 GHz and 27.5-29.5 GHz. </w:t>
      </w:r>
    </w:p>
    <w:p w14:paraId="492733BB" w14:textId="77777777" w:rsidR="00C62E1A" w:rsidRPr="00CC3837" w:rsidRDefault="00C62E1A" w:rsidP="00CC3837">
      <w:pPr>
        <w:spacing w:after="120" w:line="264" w:lineRule="auto"/>
        <w:jc w:val="both"/>
      </w:pPr>
      <w:r w:rsidRPr="00CC3837">
        <w:t xml:space="preserve">Resolution </w:t>
      </w:r>
      <w:r w:rsidRPr="00CC3837">
        <w:rPr>
          <w:b/>
          <w:bCs/>
        </w:rPr>
        <w:t>172 (WRC-19)</w:t>
      </w:r>
      <w:r w:rsidRPr="00CC3837">
        <w:t xml:space="preserve"> calls for studies to ensure that AP30B allotments and assignments as well as other allocated services are protected.</w:t>
      </w:r>
    </w:p>
    <w:p w14:paraId="7FF86785" w14:textId="77777777" w:rsidR="00CC3837" w:rsidRPr="00CC3837" w:rsidRDefault="00CC3837" w:rsidP="00CC3837">
      <w:pPr>
        <w:spacing w:after="120" w:line="264" w:lineRule="auto"/>
        <w:jc w:val="both"/>
      </w:pPr>
      <w:r w:rsidRPr="00CC3837">
        <w:t xml:space="preserve">Working Party (WP) 4A has been designated by CPM23-1 as the responsible group </w:t>
      </w:r>
      <w:r w:rsidRPr="00CC3837">
        <w:rPr>
          <w:rFonts w:eastAsia="SimSun"/>
          <w:lang w:eastAsia="zh-CN"/>
        </w:rPr>
        <w:t>for the Agenda Item 1.15</w:t>
      </w:r>
      <w:r w:rsidRPr="00CC3837">
        <w:t>.</w:t>
      </w:r>
    </w:p>
    <w:p w14:paraId="77A84A4E" w14:textId="77777777" w:rsidR="00CC3837" w:rsidRPr="00CC3837" w:rsidRDefault="00CC3837" w:rsidP="00CC3837">
      <w:pPr>
        <w:spacing w:after="120" w:line="264" w:lineRule="auto"/>
        <w:jc w:val="both"/>
      </w:pPr>
      <w:r w:rsidRPr="00CC3837">
        <w:t>Sharing studies are needed in ITU-R to ensure protection of the other primary services in the band such as Fixed-Satellite Service, Fixed Service, and Mobile Service, as well as the protection of Earth exploration-satellite service EESS (active) and aeronautical radionavigation service operating in the adjacent band 13.25-13.4 GHz.</w:t>
      </w:r>
    </w:p>
    <w:p w14:paraId="0E378F3F" w14:textId="77777777" w:rsidR="00C62E1A" w:rsidRDefault="00C62E1A" w:rsidP="00CC3837">
      <w:pPr>
        <w:spacing w:after="120" w:line="264" w:lineRule="auto"/>
        <w:jc w:val="both"/>
        <w:rPr>
          <w:lang w:eastAsia="ko-KR"/>
        </w:rPr>
      </w:pPr>
      <w:r w:rsidRPr="00CC3837">
        <w:rPr>
          <w:rFonts w:hint="eastAsia"/>
          <w:lang w:eastAsia="ko-KR"/>
        </w:rPr>
        <w:t>Working Party 4A, in preparation of WRC-19 Agenda item 1.</w:t>
      </w:r>
      <w:r w:rsidRPr="00CC3837">
        <w:rPr>
          <w:lang w:eastAsia="ko-KR"/>
        </w:rPr>
        <w:t>1</w:t>
      </w:r>
      <w:r w:rsidRPr="00CC3837">
        <w:rPr>
          <w:rFonts w:hint="eastAsia"/>
          <w:lang w:eastAsia="ko-KR"/>
        </w:rPr>
        <w:t xml:space="preserve">5, has studied to consider </w:t>
      </w:r>
      <w:r w:rsidRPr="00CC3837">
        <w:rPr>
          <w:lang w:eastAsia="ko-KR"/>
        </w:rPr>
        <w:t>the issues mentioned above and has developed working document on WRC-23 agenda item 1.15 and preliminary draft CPM text which were not discussed and not agreed yet at the latest WP 4A meeting (February/</w:t>
      </w:r>
      <w:proofErr w:type="gramStart"/>
      <w:r w:rsidRPr="00CC3837">
        <w:rPr>
          <w:lang w:eastAsia="ko-KR"/>
        </w:rPr>
        <w:t>March,</w:t>
      </w:r>
      <w:proofErr w:type="gramEnd"/>
      <w:r w:rsidRPr="00CC3837">
        <w:rPr>
          <w:lang w:eastAsia="ko-KR"/>
        </w:rPr>
        <w:t xml:space="preserve"> 2021).</w:t>
      </w:r>
    </w:p>
    <w:p w14:paraId="047F0F93" w14:textId="77777777" w:rsidR="00C62E1A" w:rsidRPr="00441526" w:rsidRDefault="00C62E1A" w:rsidP="002A0111">
      <w:pPr>
        <w:jc w:val="both"/>
        <w:rPr>
          <w:lang w:val="en-NZ"/>
        </w:rPr>
      </w:pPr>
    </w:p>
    <w:p w14:paraId="198529E9"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24A58944" w14:textId="77777777" w:rsidR="002A0111" w:rsidRPr="00441526" w:rsidRDefault="002A0111" w:rsidP="003D3D47">
      <w:pPr>
        <w:numPr>
          <w:ilvl w:val="0"/>
          <w:numId w:val="18"/>
        </w:numPr>
        <w:ind w:leftChars="145" w:left="708"/>
        <w:jc w:val="both"/>
        <w:rPr>
          <w:lang w:val="en-NZ"/>
        </w:rPr>
      </w:pPr>
      <w:r w:rsidRPr="00441526">
        <w:rPr>
          <w:lang w:val="en-NZ"/>
        </w:rPr>
        <w:t>Input Documents</w:t>
      </w:r>
      <w:r w:rsidR="00702442">
        <w:rPr>
          <w:lang w:val="en-NZ"/>
        </w:rPr>
        <w:t xml:space="preserve">: </w:t>
      </w:r>
      <w:r w:rsidRPr="00441526">
        <w:rPr>
          <w:lang w:val="en-NZ"/>
        </w:rPr>
        <w:t xml:space="preserve"> </w:t>
      </w:r>
      <w:r w:rsidR="00613AF5" w:rsidRPr="00C37AE3">
        <w:rPr>
          <w:rFonts w:eastAsia="MS Mincho"/>
          <w:lang w:eastAsia="ja-JP"/>
        </w:rPr>
        <w:t>APG23-2</w:t>
      </w:r>
      <w:r w:rsidR="00613AF5">
        <w:rPr>
          <w:rFonts w:eastAsia="MS Mincho"/>
          <w:lang w:eastAsia="ja-JP"/>
        </w:rPr>
        <w:t xml:space="preserve">/ </w:t>
      </w:r>
      <w:r w:rsidR="00613AF5" w:rsidRPr="00C37AE3">
        <w:rPr>
          <w:rFonts w:eastAsia="MS Mincho"/>
          <w:lang w:eastAsia="ja-JP"/>
        </w:rPr>
        <w:t>INP-13</w:t>
      </w:r>
      <w:r w:rsidR="00613AF5">
        <w:rPr>
          <w:rFonts w:eastAsia="MS Mincho"/>
          <w:lang w:eastAsia="ja-JP"/>
        </w:rPr>
        <w:t xml:space="preserve">(J), </w:t>
      </w:r>
      <w:r w:rsidR="00613AF5" w:rsidRPr="00C37AE3">
        <w:rPr>
          <w:rFonts w:eastAsia="MS Mincho"/>
          <w:lang w:eastAsia="ja-JP"/>
        </w:rPr>
        <w:t>INP-27</w:t>
      </w:r>
      <w:r w:rsidR="00613AF5">
        <w:rPr>
          <w:rFonts w:eastAsia="MS Mincho"/>
          <w:lang w:eastAsia="ja-JP"/>
        </w:rPr>
        <w:t>(</w:t>
      </w:r>
      <w:r w:rsidR="00613AF5" w:rsidRPr="00C37AE3">
        <w:rPr>
          <w:rFonts w:eastAsia="MS Mincho"/>
          <w:lang w:eastAsia="ja-JP"/>
        </w:rPr>
        <w:t>AUS</w:t>
      </w:r>
      <w:r w:rsidR="00613AF5">
        <w:rPr>
          <w:rFonts w:eastAsia="MS Mincho"/>
          <w:lang w:eastAsia="ja-JP"/>
        </w:rPr>
        <w:t xml:space="preserve">), </w:t>
      </w:r>
      <w:r w:rsidR="00613AF5" w:rsidRPr="00C37AE3">
        <w:rPr>
          <w:rFonts w:eastAsia="MS Mincho"/>
          <w:lang w:eastAsia="ja-JP"/>
        </w:rPr>
        <w:t>INP-</w:t>
      </w:r>
      <w:r w:rsidR="00613AF5">
        <w:rPr>
          <w:rFonts w:eastAsia="MS Mincho"/>
          <w:lang w:eastAsia="ja-JP"/>
        </w:rPr>
        <w:t xml:space="preserve">33 </w:t>
      </w:r>
      <w:r w:rsidR="00E630B8">
        <w:rPr>
          <w:rFonts w:eastAsia="MS Mincho"/>
          <w:lang w:eastAsia="ja-JP"/>
        </w:rPr>
        <w:t xml:space="preserve">Rev1 </w:t>
      </w:r>
      <w:r w:rsidR="00613AF5">
        <w:rPr>
          <w:rFonts w:eastAsia="MS Mincho"/>
          <w:lang w:eastAsia="ja-JP"/>
        </w:rPr>
        <w:t xml:space="preserve">(KOR), </w:t>
      </w:r>
      <w:r w:rsidR="00613AF5" w:rsidRPr="00C37AE3">
        <w:rPr>
          <w:rFonts w:eastAsia="MS Mincho"/>
          <w:lang w:eastAsia="ja-JP"/>
        </w:rPr>
        <w:t>INP-</w:t>
      </w:r>
      <w:r w:rsidR="00613AF5">
        <w:rPr>
          <w:rFonts w:eastAsia="MS Mincho"/>
          <w:lang w:eastAsia="ja-JP"/>
        </w:rPr>
        <w:t xml:space="preserve">37(SNG), </w:t>
      </w:r>
      <w:r w:rsidR="00613AF5" w:rsidRPr="00C37AE3">
        <w:rPr>
          <w:rFonts w:eastAsia="MS Mincho"/>
          <w:lang w:eastAsia="ja-JP"/>
        </w:rPr>
        <w:t>INP-</w:t>
      </w:r>
      <w:r w:rsidR="00E630B8">
        <w:rPr>
          <w:rFonts w:eastAsia="MS Mincho"/>
          <w:lang w:eastAsia="ja-JP"/>
        </w:rPr>
        <w:t>42(INS</w:t>
      </w:r>
      <w:r w:rsidR="00613AF5">
        <w:rPr>
          <w:rFonts w:eastAsia="MS Mincho"/>
          <w:lang w:eastAsia="ja-JP"/>
        </w:rPr>
        <w:t xml:space="preserve">), </w:t>
      </w:r>
      <w:r w:rsidR="00613AF5" w:rsidRPr="00C37AE3">
        <w:rPr>
          <w:rFonts w:eastAsia="MS Mincho"/>
          <w:lang w:eastAsia="ja-JP"/>
        </w:rPr>
        <w:t>INP-</w:t>
      </w:r>
      <w:r w:rsidR="00613AF5">
        <w:rPr>
          <w:rFonts w:eastAsia="MS Mincho"/>
          <w:lang w:eastAsia="ja-JP"/>
        </w:rPr>
        <w:t>47</w:t>
      </w:r>
      <w:r w:rsidR="00DF2FBB">
        <w:rPr>
          <w:rFonts w:eastAsia="MS Mincho"/>
          <w:lang w:eastAsia="ja-JP"/>
        </w:rPr>
        <w:t xml:space="preserve"> </w:t>
      </w:r>
      <w:r w:rsidR="00E630B8">
        <w:rPr>
          <w:rFonts w:eastAsia="MS Mincho"/>
          <w:lang w:eastAsia="ja-JP"/>
        </w:rPr>
        <w:t xml:space="preserve">Rev1 </w:t>
      </w:r>
      <w:r w:rsidR="00613AF5">
        <w:rPr>
          <w:rFonts w:eastAsia="MS Mincho"/>
          <w:lang w:eastAsia="ja-JP"/>
        </w:rPr>
        <w:t xml:space="preserve">(CHN), </w:t>
      </w:r>
      <w:r w:rsidR="00613AF5" w:rsidRPr="00C37AE3">
        <w:rPr>
          <w:rFonts w:eastAsia="MS Mincho"/>
          <w:lang w:eastAsia="ja-JP"/>
        </w:rPr>
        <w:t>INP-</w:t>
      </w:r>
      <w:r w:rsidR="00613AF5">
        <w:rPr>
          <w:rFonts w:eastAsia="MS Mincho"/>
          <w:lang w:eastAsia="ja-JP"/>
        </w:rPr>
        <w:t>52(VTN)</w:t>
      </w:r>
      <w:r w:rsidR="00AE6396">
        <w:rPr>
          <w:rFonts w:eastAsia="MS Mincho"/>
          <w:lang w:eastAsia="ja-JP"/>
        </w:rPr>
        <w:t>.</w:t>
      </w:r>
    </w:p>
    <w:p w14:paraId="7D8FC353" w14:textId="77777777" w:rsidR="002A0111" w:rsidRPr="00441526" w:rsidRDefault="002A0111" w:rsidP="003D3D47">
      <w:pPr>
        <w:numPr>
          <w:ilvl w:val="0"/>
          <w:numId w:val="18"/>
        </w:numPr>
        <w:ind w:leftChars="145" w:left="708"/>
        <w:jc w:val="both"/>
        <w:rPr>
          <w:lang w:val="en-NZ"/>
        </w:rPr>
      </w:pPr>
      <w:r w:rsidRPr="00441526">
        <w:rPr>
          <w:lang w:val="en-NZ"/>
        </w:rPr>
        <w:t>Information Documents</w:t>
      </w:r>
      <w:r w:rsidR="00AE6396">
        <w:rPr>
          <w:lang w:val="en-NZ"/>
        </w:rPr>
        <w:t>:</w:t>
      </w:r>
      <w:r w:rsidRPr="00441526">
        <w:rPr>
          <w:lang w:val="en-NZ"/>
        </w:rPr>
        <w:t xml:space="preserve"> APG</w:t>
      </w:r>
      <w:r w:rsidR="00822B33">
        <w:rPr>
          <w:lang w:val="en-NZ"/>
        </w:rPr>
        <w:t>23</w:t>
      </w:r>
      <w:r w:rsidRPr="00441526">
        <w:rPr>
          <w:lang w:val="en-NZ"/>
        </w:rPr>
        <w:t>-</w:t>
      </w:r>
      <w:r w:rsidR="00822B33">
        <w:rPr>
          <w:lang w:val="en-NZ"/>
        </w:rPr>
        <w:t>2</w:t>
      </w:r>
      <w:r w:rsidRPr="00441526">
        <w:rPr>
          <w:lang w:val="en-NZ"/>
        </w:rPr>
        <w:t>/INF-</w:t>
      </w:r>
      <w:r w:rsidR="00AE6396">
        <w:rPr>
          <w:lang w:val="en-NZ"/>
        </w:rPr>
        <w:t xml:space="preserve">25 (ASMG), </w:t>
      </w:r>
      <w:r w:rsidR="00AE6396" w:rsidRPr="00441526">
        <w:rPr>
          <w:lang w:val="en-NZ"/>
        </w:rPr>
        <w:t>INF-</w:t>
      </w:r>
      <w:r w:rsidR="00AE6396">
        <w:rPr>
          <w:lang w:val="en-NZ"/>
        </w:rPr>
        <w:t xml:space="preserve">26 (ATU), </w:t>
      </w:r>
      <w:r w:rsidR="00AE6396" w:rsidRPr="00441526">
        <w:rPr>
          <w:lang w:val="en-NZ"/>
        </w:rPr>
        <w:t>INF-</w:t>
      </w:r>
      <w:r w:rsidR="00AE6396">
        <w:rPr>
          <w:lang w:val="en-NZ"/>
        </w:rPr>
        <w:t xml:space="preserve">34 (CITEL), </w:t>
      </w:r>
      <w:r w:rsidR="00AE6396" w:rsidRPr="00441526">
        <w:rPr>
          <w:lang w:val="en-NZ"/>
        </w:rPr>
        <w:t>INF-</w:t>
      </w:r>
      <w:r w:rsidR="00AE6396">
        <w:rPr>
          <w:lang w:val="en-NZ"/>
        </w:rPr>
        <w:t xml:space="preserve">35 (CEPT), </w:t>
      </w:r>
      <w:r w:rsidR="00AE6396" w:rsidRPr="00441526">
        <w:rPr>
          <w:lang w:val="en-NZ"/>
        </w:rPr>
        <w:t>INF-</w:t>
      </w:r>
      <w:r w:rsidR="00AE6396">
        <w:rPr>
          <w:lang w:val="en-NZ"/>
        </w:rPr>
        <w:t>36 (RCC).</w:t>
      </w:r>
    </w:p>
    <w:p w14:paraId="0F454E40" w14:textId="77777777" w:rsidR="00613AF5" w:rsidRDefault="00613AF5">
      <w:pPr>
        <w:rPr>
          <w:b/>
          <w:lang w:val="en-NZ" w:eastAsia="ko-KR"/>
        </w:rPr>
      </w:pPr>
    </w:p>
    <w:p w14:paraId="70D7B3E8"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1E1DB023"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3FAF512"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AE6396">
        <w:rPr>
          <w:b/>
          <w:lang w:val="en-NZ" w:eastAsia="ko-KR"/>
        </w:rPr>
        <w:t>Japan</w:t>
      </w:r>
      <w:r w:rsidRPr="00441526">
        <w:rPr>
          <w:b/>
          <w:lang w:val="en-NZ" w:eastAsia="ko-KR"/>
        </w:rPr>
        <w:t xml:space="preserve"> </w:t>
      </w:r>
      <w:r w:rsidRPr="00441526">
        <w:t xml:space="preserve">- </w:t>
      </w:r>
      <w:r w:rsidRPr="00441526">
        <w:rPr>
          <w:b/>
          <w:lang w:val="en-NZ" w:eastAsia="ko-KR"/>
        </w:rPr>
        <w:t>Document</w:t>
      </w:r>
      <w:r w:rsidRPr="00AE6396">
        <w:rPr>
          <w:b/>
          <w:lang w:val="en-NZ" w:eastAsia="ko-KR"/>
        </w:rPr>
        <w:t xml:space="preserve"> </w:t>
      </w:r>
      <w:r w:rsidR="00AE6396" w:rsidRPr="00AE6396">
        <w:rPr>
          <w:rFonts w:eastAsia="MS Mincho"/>
          <w:b/>
          <w:lang w:eastAsia="ja-JP"/>
        </w:rPr>
        <w:t>APG23-2/ INP-13</w:t>
      </w:r>
    </w:p>
    <w:p w14:paraId="7D98A2E1" w14:textId="77777777" w:rsidR="002A0111" w:rsidRPr="00441526" w:rsidRDefault="00AE6396" w:rsidP="003D3D47">
      <w:pPr>
        <w:numPr>
          <w:ilvl w:val="0"/>
          <w:numId w:val="18"/>
        </w:numPr>
        <w:ind w:leftChars="145" w:left="708"/>
        <w:jc w:val="both"/>
        <w:rPr>
          <w:lang w:val="en-NZ"/>
        </w:rPr>
      </w:pPr>
      <w:r w:rsidRPr="00AE6396">
        <w:rPr>
          <w:rFonts w:eastAsiaTheme="minorEastAsia"/>
          <w:szCs w:val="28"/>
          <w:lang w:eastAsia="ja-JP"/>
        </w:rPr>
        <w:t>Japan is of the view that it is necessary to conduct appropriate adjustments at ITU-R for the use of the frequency bands while ensuring the protection of existing services.</w:t>
      </w:r>
    </w:p>
    <w:p w14:paraId="63AD8EF1" w14:textId="77777777" w:rsidR="002A0111" w:rsidRPr="00441526" w:rsidRDefault="002A0111" w:rsidP="003D3D47">
      <w:pPr>
        <w:jc w:val="both"/>
        <w:rPr>
          <w:lang w:val="en-NZ"/>
        </w:rPr>
      </w:pPr>
    </w:p>
    <w:p w14:paraId="1451A179" w14:textId="77777777"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AE6396">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r w:rsidR="00AE6396" w:rsidRPr="00AE6396">
        <w:rPr>
          <w:rFonts w:eastAsia="MS Mincho"/>
          <w:lang w:eastAsia="ja-JP"/>
        </w:rPr>
        <w:t xml:space="preserve"> </w:t>
      </w:r>
      <w:r w:rsidR="00AE6396" w:rsidRPr="00AE6396">
        <w:rPr>
          <w:rFonts w:eastAsia="MS Mincho"/>
          <w:b/>
          <w:lang w:eastAsia="ja-JP"/>
        </w:rPr>
        <w:t>INP-27</w:t>
      </w:r>
    </w:p>
    <w:p w14:paraId="1AAC6458" w14:textId="77777777" w:rsidR="002F3F2D" w:rsidRPr="002F3F2D" w:rsidRDefault="002F3F2D" w:rsidP="00E3600D">
      <w:pPr>
        <w:pStyle w:val="ListParagraph"/>
        <w:numPr>
          <w:ilvl w:val="0"/>
          <w:numId w:val="24"/>
        </w:numPr>
        <w:jc w:val="both"/>
        <w:rPr>
          <w:color w:val="000000"/>
          <w:sz w:val="28"/>
          <w:szCs w:val="28"/>
        </w:rPr>
      </w:pPr>
      <w:r w:rsidRPr="002F3F2D">
        <w:rPr>
          <w:color w:val="000000"/>
          <w:szCs w:val="28"/>
        </w:rPr>
        <w:t>Australia supports the establishment of a new regulatory framework (including technical and operational requirements) that improves the efficiency of use of the 12.75-13.25 GHz band by facilitating fixed-satellite service (FSS) earth stations in motion (ESIM) to use the frequency bands. Such ESIM use must ensure protection of services allocated in the bands and should not impact the usability of the allotments in the Plan and assignments in the List under Appendix 30B of the Radio Regulations.</w:t>
      </w:r>
    </w:p>
    <w:p w14:paraId="62923F16" w14:textId="77777777" w:rsidR="002F3F2D" w:rsidRPr="00441526" w:rsidRDefault="002F3F2D" w:rsidP="003D3D47">
      <w:pPr>
        <w:jc w:val="both"/>
        <w:rPr>
          <w:lang w:val="en-NZ"/>
        </w:rPr>
      </w:pPr>
    </w:p>
    <w:p w14:paraId="1F8B14E6" w14:textId="77777777" w:rsidR="002A0111" w:rsidRPr="00441526" w:rsidRDefault="002A0111" w:rsidP="003D3D47">
      <w:pPr>
        <w:spacing w:after="120"/>
        <w:jc w:val="both"/>
        <w:rPr>
          <w:b/>
          <w:lang w:val="en-NZ" w:eastAsia="ko-KR"/>
        </w:rPr>
      </w:pPr>
      <w:r w:rsidRPr="00441526">
        <w:rPr>
          <w:b/>
          <w:lang w:val="en-NZ" w:eastAsia="ko-KR"/>
        </w:rPr>
        <w:t>3.1.</w:t>
      </w:r>
      <w:r w:rsidR="002F3F2D">
        <w:rPr>
          <w:b/>
          <w:lang w:val="en-NZ" w:eastAsia="ko-KR"/>
        </w:rPr>
        <w:t>3</w:t>
      </w:r>
      <w:r w:rsidRPr="00441526">
        <w:rPr>
          <w:b/>
          <w:lang w:val="en-NZ" w:eastAsia="ko-KR"/>
        </w:rPr>
        <w:tab/>
      </w:r>
      <w:r w:rsidR="002F3F2D">
        <w:rPr>
          <w:b/>
          <w:lang w:val="en-NZ" w:eastAsia="ko-KR"/>
        </w:rPr>
        <w:t>Korea</w:t>
      </w:r>
      <w:r w:rsidRPr="00441526">
        <w:rPr>
          <w:b/>
          <w:lang w:val="en-NZ" w:eastAsia="ko-KR"/>
        </w:rPr>
        <w:t xml:space="preserve"> </w:t>
      </w:r>
      <w:r w:rsidR="00573ACA">
        <w:rPr>
          <w:b/>
          <w:lang w:val="en-NZ" w:eastAsia="ko-KR"/>
        </w:rPr>
        <w:t>(Rep. of)</w:t>
      </w:r>
      <w:r w:rsidRPr="00441526">
        <w:t xml:space="preserve">- </w:t>
      </w:r>
      <w:r w:rsidRPr="00441526">
        <w:rPr>
          <w:b/>
          <w:lang w:val="en-NZ" w:eastAsia="ko-KR"/>
        </w:rPr>
        <w:t>Document APG</w:t>
      </w:r>
      <w:r w:rsidR="00822B33">
        <w:rPr>
          <w:b/>
          <w:lang w:val="en-NZ" w:eastAsia="ko-KR"/>
        </w:rPr>
        <w:t>23</w:t>
      </w:r>
      <w:r w:rsidR="00E630B8">
        <w:rPr>
          <w:b/>
          <w:lang w:val="en-NZ" w:eastAsia="ko-KR"/>
        </w:rPr>
        <w:t xml:space="preserve">-2 </w:t>
      </w:r>
      <w:r w:rsidRPr="00441526">
        <w:rPr>
          <w:b/>
          <w:lang w:val="en-NZ" w:eastAsia="ko-KR"/>
        </w:rPr>
        <w:t>/</w:t>
      </w:r>
      <w:r w:rsidR="002F3F2D" w:rsidRPr="002F3F2D">
        <w:rPr>
          <w:rFonts w:eastAsia="MS Mincho"/>
          <w:lang w:eastAsia="ja-JP"/>
        </w:rPr>
        <w:t xml:space="preserve"> </w:t>
      </w:r>
      <w:r w:rsidR="002F3F2D" w:rsidRPr="002F3F2D">
        <w:rPr>
          <w:rFonts w:eastAsia="MS Mincho"/>
          <w:b/>
          <w:lang w:eastAsia="ja-JP"/>
        </w:rPr>
        <w:t>INP-33</w:t>
      </w:r>
      <w:r w:rsidR="00E630B8">
        <w:rPr>
          <w:rFonts w:eastAsia="MS Mincho"/>
          <w:b/>
          <w:lang w:eastAsia="ja-JP"/>
        </w:rPr>
        <w:t xml:space="preserve"> </w:t>
      </w:r>
      <w:r w:rsidR="00E630B8">
        <w:rPr>
          <w:b/>
          <w:lang w:val="en-NZ" w:eastAsia="ko-KR"/>
        </w:rPr>
        <w:t>Rev1</w:t>
      </w:r>
    </w:p>
    <w:p w14:paraId="35AD703B" w14:textId="77777777" w:rsidR="002F3F2D" w:rsidRPr="002F3F2D" w:rsidRDefault="002F3F2D" w:rsidP="002F3F2D">
      <w:pPr>
        <w:spacing w:after="120" w:line="264" w:lineRule="auto"/>
        <w:jc w:val="both"/>
        <w:rPr>
          <w:szCs w:val="28"/>
          <w:lang w:eastAsia="ko-KR"/>
        </w:rPr>
      </w:pPr>
      <w:r w:rsidRPr="002F3F2D">
        <w:rPr>
          <w:rFonts w:hint="eastAsia"/>
          <w:szCs w:val="28"/>
          <w:lang w:eastAsia="ko-KR"/>
        </w:rPr>
        <w:t>The Republic of Korea has a preliminary view that it supports the on-going studies on considering the operational and regulatory condition</w:t>
      </w:r>
      <w:r w:rsidRPr="002F3F2D">
        <w:rPr>
          <w:szCs w:val="28"/>
          <w:lang w:eastAsia="ko-KR"/>
        </w:rPr>
        <w:t>s</w:t>
      </w:r>
      <w:r w:rsidRPr="002F3F2D">
        <w:rPr>
          <w:rFonts w:hint="eastAsia"/>
          <w:szCs w:val="28"/>
          <w:lang w:eastAsia="ko-KR"/>
        </w:rPr>
        <w:t xml:space="preserve"> for the </w:t>
      </w:r>
      <w:r w:rsidRPr="002F3F2D">
        <w:rPr>
          <w:szCs w:val="28"/>
        </w:rPr>
        <w:t>earth stations on aircraft and vessels</w:t>
      </w:r>
      <w:r w:rsidRPr="002F3F2D">
        <w:rPr>
          <w:rFonts w:hint="eastAsia"/>
          <w:szCs w:val="28"/>
          <w:lang w:eastAsia="ko-KR"/>
        </w:rPr>
        <w:t xml:space="preserve"> to be operated ensuring the protection of incumbent services</w:t>
      </w:r>
      <w:r w:rsidRPr="002F3F2D">
        <w:rPr>
          <w:szCs w:val="28"/>
          <w:lang w:eastAsia="ko-KR"/>
        </w:rPr>
        <w:t xml:space="preserve"> in the frequency band 12.75 – 13.25 </w:t>
      </w:r>
      <w:r w:rsidRPr="002F3F2D">
        <w:rPr>
          <w:rFonts w:hint="eastAsia"/>
          <w:szCs w:val="28"/>
          <w:lang w:eastAsia="ko-KR"/>
        </w:rPr>
        <w:t>G</w:t>
      </w:r>
      <w:r w:rsidRPr="002F3F2D">
        <w:rPr>
          <w:szCs w:val="28"/>
          <w:lang w:eastAsia="ko-KR"/>
        </w:rPr>
        <w:t>Hz</w:t>
      </w:r>
      <w:r w:rsidRPr="002F3F2D">
        <w:rPr>
          <w:rFonts w:hint="eastAsia"/>
          <w:szCs w:val="28"/>
          <w:lang w:eastAsia="ko-KR"/>
        </w:rPr>
        <w:t>.</w:t>
      </w:r>
    </w:p>
    <w:p w14:paraId="59B75582" w14:textId="77777777" w:rsidR="002F3F2D" w:rsidRPr="002F3F2D" w:rsidRDefault="002F3F2D" w:rsidP="002F3F2D">
      <w:pPr>
        <w:spacing w:after="120" w:line="264" w:lineRule="auto"/>
        <w:jc w:val="both"/>
        <w:rPr>
          <w:szCs w:val="28"/>
          <w:lang w:eastAsia="ko-KR"/>
        </w:rPr>
      </w:pPr>
      <w:r w:rsidRPr="002F3F2D">
        <w:rPr>
          <w:rFonts w:hint="eastAsia"/>
          <w:szCs w:val="28"/>
          <w:lang w:eastAsia="ko-KR"/>
        </w:rPr>
        <w:t>The Republic of Korea also has preliminary view</w:t>
      </w:r>
      <w:r w:rsidRPr="002F3F2D">
        <w:rPr>
          <w:szCs w:val="28"/>
          <w:lang w:eastAsia="ko-KR"/>
        </w:rPr>
        <w:t>s</w:t>
      </w:r>
      <w:r w:rsidRPr="002F3F2D">
        <w:rPr>
          <w:rFonts w:hint="eastAsia"/>
          <w:szCs w:val="28"/>
          <w:lang w:eastAsia="ko-KR"/>
        </w:rPr>
        <w:t xml:space="preserve"> as follows</w:t>
      </w:r>
      <w:r w:rsidRPr="002F3F2D">
        <w:rPr>
          <w:szCs w:val="28"/>
          <w:lang w:eastAsia="ko-KR"/>
        </w:rPr>
        <w:t>:</w:t>
      </w:r>
    </w:p>
    <w:p w14:paraId="69584067" w14:textId="77777777" w:rsidR="002F3F2D" w:rsidRPr="002F3F2D" w:rsidRDefault="002F3F2D" w:rsidP="002F3F2D">
      <w:pPr>
        <w:pStyle w:val="ListParagraph"/>
        <w:numPr>
          <w:ilvl w:val="0"/>
          <w:numId w:val="25"/>
        </w:numPr>
        <w:spacing w:after="120" w:line="264" w:lineRule="auto"/>
        <w:jc w:val="both"/>
        <w:rPr>
          <w:szCs w:val="28"/>
          <w:lang w:eastAsia="ko-KR"/>
        </w:rPr>
      </w:pPr>
      <w:r w:rsidRPr="002F3F2D">
        <w:rPr>
          <w:szCs w:val="28"/>
        </w:rPr>
        <w:t>use of the frequency band 12.75-13.25 GHz (Earth-to-space) by earth stations on aircraft and vessels shall not limit the access of other administrations to their national resources in Appendix </w:t>
      </w:r>
      <w:r w:rsidRPr="002F3F2D">
        <w:rPr>
          <w:rStyle w:val="Appref"/>
          <w:b/>
          <w:bCs/>
          <w:szCs w:val="28"/>
        </w:rPr>
        <w:t>30B</w:t>
      </w:r>
      <w:r w:rsidRPr="002F3F2D">
        <w:rPr>
          <w:szCs w:val="28"/>
        </w:rPr>
        <w:t xml:space="preserve"> as well as implementation of Resolution </w:t>
      </w:r>
      <w:r w:rsidRPr="002F3F2D">
        <w:rPr>
          <w:b/>
          <w:szCs w:val="28"/>
        </w:rPr>
        <w:t>170 (WRC</w:t>
      </w:r>
      <w:r w:rsidRPr="002F3F2D">
        <w:rPr>
          <w:b/>
          <w:szCs w:val="28"/>
        </w:rPr>
        <w:noBreakHyphen/>
        <w:t>19</w:t>
      </w:r>
      <w:proofErr w:type="gramStart"/>
      <w:r w:rsidRPr="002F3F2D">
        <w:rPr>
          <w:b/>
          <w:szCs w:val="28"/>
        </w:rPr>
        <w:t>)</w:t>
      </w:r>
      <w:r w:rsidRPr="002F3F2D">
        <w:rPr>
          <w:bCs/>
          <w:szCs w:val="28"/>
        </w:rPr>
        <w:t>;</w:t>
      </w:r>
      <w:proofErr w:type="gramEnd"/>
    </w:p>
    <w:p w14:paraId="79ABA9FF" w14:textId="77777777" w:rsidR="002A0111" w:rsidRPr="002F3F2D" w:rsidRDefault="002F3F2D" w:rsidP="002F3F2D">
      <w:pPr>
        <w:pStyle w:val="ListParagraph"/>
        <w:numPr>
          <w:ilvl w:val="0"/>
          <w:numId w:val="25"/>
        </w:numPr>
        <w:spacing w:after="120" w:line="264" w:lineRule="auto"/>
        <w:jc w:val="both"/>
        <w:rPr>
          <w:szCs w:val="28"/>
          <w:lang w:eastAsia="ko-KR"/>
        </w:rPr>
      </w:pPr>
      <w:r w:rsidRPr="002F3F2D">
        <w:rPr>
          <w:szCs w:val="28"/>
        </w:rPr>
        <w:t>use of the frequency band 12.75-13.25 GHz (Earth-to-space) by earth stations on aircraft and vessels shall not impose undue constraints on existing services and their future development.</w:t>
      </w:r>
    </w:p>
    <w:p w14:paraId="49A5A222" w14:textId="77777777" w:rsidR="002F3F2D" w:rsidRPr="00441526" w:rsidRDefault="002F3F2D" w:rsidP="002F3F2D">
      <w:pPr>
        <w:ind w:left="708"/>
        <w:jc w:val="both"/>
        <w:rPr>
          <w:lang w:val="en-NZ"/>
        </w:rPr>
      </w:pPr>
    </w:p>
    <w:p w14:paraId="7249CDFC" w14:textId="77777777" w:rsidR="002F3F2D" w:rsidRPr="00441526" w:rsidRDefault="002F3F2D" w:rsidP="002F3F2D">
      <w:pPr>
        <w:spacing w:after="120"/>
        <w:jc w:val="both"/>
        <w:rPr>
          <w:b/>
          <w:lang w:val="en-NZ" w:eastAsia="ko-KR"/>
        </w:rPr>
      </w:pPr>
      <w:r w:rsidRPr="00441526">
        <w:rPr>
          <w:b/>
          <w:lang w:val="en-NZ" w:eastAsia="ko-KR"/>
        </w:rPr>
        <w:t>3.1.</w:t>
      </w:r>
      <w:r w:rsidR="00E46E84">
        <w:rPr>
          <w:b/>
          <w:lang w:val="en-NZ" w:eastAsia="ko-KR"/>
        </w:rPr>
        <w:t>4</w:t>
      </w:r>
      <w:r w:rsidRPr="00441526">
        <w:rPr>
          <w:b/>
          <w:lang w:val="en-NZ" w:eastAsia="ko-KR"/>
        </w:rPr>
        <w:tab/>
      </w:r>
      <w:r w:rsidR="00E46E84">
        <w:rPr>
          <w:b/>
          <w:lang w:val="en-NZ" w:eastAsia="ko-KR"/>
        </w:rPr>
        <w:t>Singapore</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E46E84">
        <w:rPr>
          <w:b/>
          <w:lang w:val="en-NZ" w:eastAsia="ko-KR"/>
        </w:rPr>
        <w:t>37</w:t>
      </w:r>
    </w:p>
    <w:p w14:paraId="1470425F" w14:textId="77777777" w:rsidR="00E46E84" w:rsidRPr="00E46E84" w:rsidRDefault="00E46E84" w:rsidP="00E46E84">
      <w:pPr>
        <w:pStyle w:val="ListParagraph"/>
        <w:numPr>
          <w:ilvl w:val="0"/>
          <w:numId w:val="24"/>
        </w:numPr>
        <w:jc w:val="both"/>
        <w:rPr>
          <w:b/>
          <w:sz w:val="28"/>
          <w:szCs w:val="28"/>
          <w:lang w:val="en-AU"/>
        </w:rPr>
      </w:pPr>
      <w:r w:rsidRPr="00E46E84">
        <w:rPr>
          <w:szCs w:val="28"/>
        </w:rPr>
        <w:t xml:space="preserve">Singapore supports on-going studies for the use of the frequency band 12.75 – 13.25 GHz (Earth-to-space) by earth stations on aircraft and vessels communicating with GSO space stations in the FSS, while ensuring protection of existing services in those frequency bands, in accordance with Resolution </w:t>
      </w:r>
      <w:r w:rsidRPr="00E46E84">
        <w:rPr>
          <w:b/>
          <w:bCs/>
          <w:szCs w:val="28"/>
        </w:rPr>
        <w:t xml:space="preserve">172 (WRC-19) </w:t>
      </w:r>
      <w:r w:rsidRPr="00E46E84">
        <w:rPr>
          <w:szCs w:val="28"/>
        </w:rPr>
        <w:t>noting that operation of such earth stations on aircraft and vessels should not impact the usability of the allotments in the Plan and assignments in the List under Appendix 30B of the Radio Regulations.</w:t>
      </w:r>
    </w:p>
    <w:p w14:paraId="31AEF9E0" w14:textId="77777777" w:rsidR="002F3F2D" w:rsidRDefault="002F3F2D" w:rsidP="002F3F2D">
      <w:pPr>
        <w:jc w:val="both"/>
        <w:rPr>
          <w:lang w:val="en-NZ"/>
        </w:rPr>
      </w:pPr>
    </w:p>
    <w:p w14:paraId="20B4C52B" w14:textId="77777777" w:rsidR="002F3F2D" w:rsidRPr="00441526" w:rsidRDefault="002F3F2D" w:rsidP="002F3F2D">
      <w:pPr>
        <w:spacing w:after="120"/>
        <w:jc w:val="both"/>
        <w:rPr>
          <w:b/>
          <w:lang w:val="en-NZ" w:eastAsia="ko-KR"/>
        </w:rPr>
      </w:pPr>
      <w:r w:rsidRPr="00441526">
        <w:rPr>
          <w:b/>
          <w:lang w:val="en-NZ" w:eastAsia="ko-KR"/>
        </w:rPr>
        <w:t>3.1.</w:t>
      </w:r>
      <w:r w:rsidR="00E46E84">
        <w:rPr>
          <w:b/>
          <w:lang w:val="en-NZ" w:eastAsia="ko-KR"/>
        </w:rPr>
        <w:t>5</w:t>
      </w:r>
      <w:r w:rsidRPr="00441526">
        <w:rPr>
          <w:b/>
          <w:lang w:val="en-NZ" w:eastAsia="ko-KR"/>
        </w:rPr>
        <w:tab/>
      </w:r>
      <w:r w:rsidR="00E46E84">
        <w:rPr>
          <w:b/>
          <w:lang w:val="en-NZ" w:eastAsia="ko-KR"/>
        </w:rPr>
        <w:t>Indonesia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E46E84">
        <w:rPr>
          <w:b/>
          <w:lang w:val="en-NZ" w:eastAsia="ko-KR"/>
        </w:rPr>
        <w:t>42</w:t>
      </w:r>
    </w:p>
    <w:p w14:paraId="51FCBE57" w14:textId="77777777" w:rsidR="002F3F2D" w:rsidRDefault="00E46E84" w:rsidP="002F3F2D">
      <w:pPr>
        <w:numPr>
          <w:ilvl w:val="0"/>
          <w:numId w:val="18"/>
        </w:numPr>
        <w:ind w:leftChars="145" w:left="708"/>
        <w:jc w:val="both"/>
        <w:rPr>
          <w:lang w:val="en-NZ"/>
        </w:rPr>
      </w:pPr>
      <w:r w:rsidRPr="00E46E84">
        <w:rPr>
          <w:szCs w:val="28"/>
        </w:rPr>
        <w:lastRenderedPageBreak/>
        <w:t xml:space="preserve">Indonesia is of the view to support study the sharing and compatibility issues between earth stations on aircraft and vessels communicating with GSO space stations in the FSS and current and planned stations of existing services, as well as services in adjacent frequency bands, to ensure protection of, and not impose undue constraints on, those services and their future development, </w:t>
      </w:r>
      <w:proofErr w:type="gramStart"/>
      <w:r w:rsidRPr="00E46E84">
        <w:rPr>
          <w:szCs w:val="28"/>
        </w:rPr>
        <w:t>taking into account</w:t>
      </w:r>
      <w:proofErr w:type="gramEnd"/>
      <w:r w:rsidRPr="00E46E84">
        <w:rPr>
          <w:szCs w:val="28"/>
        </w:rPr>
        <w:t xml:space="preserve"> the provisions of Appendix 30B.</w:t>
      </w:r>
    </w:p>
    <w:p w14:paraId="681EE087" w14:textId="77777777" w:rsidR="002F3F2D" w:rsidRDefault="002F3F2D" w:rsidP="002F3F2D">
      <w:pPr>
        <w:jc w:val="both"/>
        <w:rPr>
          <w:lang w:val="en-NZ"/>
        </w:rPr>
      </w:pPr>
    </w:p>
    <w:p w14:paraId="03987B7B" w14:textId="77777777" w:rsidR="00E46E84" w:rsidRPr="00441526" w:rsidRDefault="00E46E84" w:rsidP="00E46E84">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Pr>
          <w:b/>
          <w:lang w:val="en-NZ" w:eastAsia="ko-KR"/>
        </w:rPr>
        <w:t>47</w:t>
      </w:r>
      <w:r w:rsidR="00E630B8">
        <w:rPr>
          <w:b/>
          <w:lang w:val="en-NZ" w:eastAsia="ko-KR"/>
        </w:rPr>
        <w:t xml:space="preserve"> Rev1</w:t>
      </w:r>
    </w:p>
    <w:p w14:paraId="0BC5C865" w14:textId="0EB5C9E3" w:rsidR="00E34D9F" w:rsidRDefault="00E34D9F" w:rsidP="005F0915">
      <w:pPr>
        <w:pStyle w:val="ListParagraph"/>
        <w:numPr>
          <w:ilvl w:val="0"/>
          <w:numId w:val="26"/>
        </w:numPr>
        <w:tabs>
          <w:tab w:val="left" w:pos="709"/>
        </w:tabs>
        <w:jc w:val="both"/>
        <w:rPr>
          <w:rFonts w:eastAsiaTheme="minorEastAsia"/>
          <w:szCs w:val="28"/>
          <w:lang w:eastAsia="zh-CN"/>
        </w:rPr>
      </w:pPr>
      <w:r w:rsidRPr="00E34D9F">
        <w:rPr>
          <w:rFonts w:eastAsiaTheme="minorEastAsia" w:hint="eastAsia"/>
          <w:szCs w:val="28"/>
          <w:lang w:eastAsia="zh-CN"/>
        </w:rPr>
        <w:t>China support</w:t>
      </w:r>
      <w:r w:rsidR="00E630B8">
        <w:rPr>
          <w:rFonts w:eastAsiaTheme="minorEastAsia"/>
          <w:szCs w:val="28"/>
          <w:lang w:eastAsia="zh-CN"/>
        </w:rPr>
        <w:t>s</w:t>
      </w:r>
      <w:r w:rsidRPr="00E34D9F">
        <w:rPr>
          <w:rFonts w:eastAsiaTheme="minorEastAsia" w:hint="eastAsia"/>
          <w:szCs w:val="28"/>
          <w:lang w:eastAsia="zh-CN"/>
        </w:rPr>
        <w:t xml:space="preserve"> </w:t>
      </w:r>
      <w:r w:rsidRPr="00E34D9F">
        <w:rPr>
          <w:rFonts w:eastAsiaTheme="minorEastAsia"/>
          <w:szCs w:val="28"/>
          <w:lang w:eastAsia="zh-CN"/>
        </w:rPr>
        <w:t xml:space="preserve">ITU-R to conduct sharing and compatibility </w:t>
      </w:r>
      <w:r w:rsidRPr="00E34D9F">
        <w:rPr>
          <w:rFonts w:eastAsiaTheme="minorEastAsia" w:hint="eastAsia"/>
          <w:szCs w:val="28"/>
          <w:lang w:eastAsia="zh-CN"/>
        </w:rPr>
        <w:t>stud</w:t>
      </w:r>
      <w:r w:rsidRPr="00E34D9F">
        <w:rPr>
          <w:rFonts w:eastAsiaTheme="minorEastAsia"/>
          <w:szCs w:val="28"/>
          <w:lang w:eastAsia="zh-CN"/>
        </w:rPr>
        <w:t>ies</w:t>
      </w:r>
      <w:r>
        <w:rPr>
          <w:rFonts w:eastAsiaTheme="minorEastAsia"/>
          <w:szCs w:val="28"/>
          <w:lang w:eastAsia="zh-CN"/>
        </w:rPr>
        <w:t xml:space="preserve"> </w:t>
      </w:r>
      <w:r w:rsidRPr="00E34D9F">
        <w:rPr>
          <w:rFonts w:eastAsiaTheme="minorEastAsia"/>
          <w:szCs w:val="28"/>
          <w:lang w:eastAsia="zh-CN"/>
        </w:rPr>
        <w:t xml:space="preserve">between earth stations on aircraft and vessels communicating with GSO space stations in the FSS and current and planned stations of existing services, </w:t>
      </w:r>
      <w:r w:rsidRPr="00E34D9F">
        <w:rPr>
          <w:rFonts w:eastAsiaTheme="minorEastAsia" w:hint="eastAsia"/>
          <w:szCs w:val="28"/>
          <w:lang w:eastAsia="zh-CN"/>
        </w:rPr>
        <w:t>as well as services in adjacent frequency bands</w:t>
      </w:r>
      <w:r w:rsidRPr="00E34D9F">
        <w:rPr>
          <w:rFonts w:eastAsiaTheme="minorEastAsia"/>
          <w:szCs w:val="28"/>
          <w:lang w:eastAsia="zh-CN"/>
        </w:rPr>
        <w:t>,</w:t>
      </w:r>
      <w:r w:rsidRPr="00E34D9F">
        <w:rPr>
          <w:rFonts w:eastAsiaTheme="minorEastAsia" w:hint="eastAsia"/>
          <w:szCs w:val="28"/>
          <w:lang w:eastAsia="zh-CN"/>
        </w:rPr>
        <w:t xml:space="preserve"> to ensure protection of, and not impose undue constraints</w:t>
      </w:r>
      <w:r w:rsidR="005F0915">
        <w:rPr>
          <w:rFonts w:eastAsiaTheme="minorEastAsia"/>
          <w:szCs w:val="28"/>
          <w:lang w:eastAsia="zh-CN"/>
        </w:rPr>
        <w:t xml:space="preserve"> </w:t>
      </w:r>
      <w:r w:rsidRPr="00E34D9F">
        <w:rPr>
          <w:rFonts w:eastAsiaTheme="minorEastAsia" w:hint="eastAsia"/>
          <w:szCs w:val="28"/>
          <w:lang w:eastAsia="zh-CN"/>
        </w:rPr>
        <w:t xml:space="preserve">on services their future development, </w:t>
      </w:r>
      <w:proofErr w:type="gramStart"/>
      <w:r w:rsidRPr="00E34D9F">
        <w:rPr>
          <w:rFonts w:eastAsiaTheme="minorEastAsia" w:hint="eastAsia"/>
          <w:szCs w:val="28"/>
          <w:lang w:eastAsia="zh-CN"/>
        </w:rPr>
        <w:t>taking into account</w:t>
      </w:r>
      <w:proofErr w:type="gramEnd"/>
      <w:r w:rsidRPr="00E34D9F">
        <w:rPr>
          <w:rFonts w:eastAsiaTheme="minorEastAsia" w:hint="eastAsia"/>
          <w:szCs w:val="28"/>
          <w:lang w:eastAsia="zh-CN"/>
        </w:rPr>
        <w:t xml:space="preserve"> the provisions of</w:t>
      </w:r>
      <w:r w:rsidR="005F0915">
        <w:rPr>
          <w:rFonts w:eastAsiaTheme="minorEastAsia"/>
          <w:szCs w:val="28"/>
          <w:lang w:eastAsia="zh-CN"/>
        </w:rPr>
        <w:t xml:space="preserve"> </w:t>
      </w:r>
      <w:r w:rsidRPr="00E34D9F">
        <w:rPr>
          <w:rFonts w:eastAsiaTheme="minorEastAsia" w:hint="eastAsia"/>
          <w:szCs w:val="28"/>
          <w:lang w:eastAsia="zh-CN"/>
        </w:rPr>
        <w:t xml:space="preserve">Appendix </w:t>
      </w:r>
      <w:r w:rsidRPr="00E34D9F">
        <w:rPr>
          <w:rFonts w:eastAsiaTheme="minorEastAsia" w:hint="eastAsia"/>
          <w:b/>
          <w:bCs/>
          <w:szCs w:val="28"/>
          <w:lang w:eastAsia="zh-CN"/>
        </w:rPr>
        <w:t>30B</w:t>
      </w:r>
      <w:r w:rsidRPr="00E34D9F">
        <w:rPr>
          <w:rFonts w:eastAsiaTheme="minorEastAsia" w:hint="eastAsia"/>
          <w:szCs w:val="28"/>
          <w:lang w:eastAsia="zh-CN"/>
        </w:rPr>
        <w:t>.</w:t>
      </w:r>
    </w:p>
    <w:p w14:paraId="6F0ECA33" w14:textId="77777777" w:rsidR="00E3600D" w:rsidRPr="00E34D9F" w:rsidRDefault="00E3600D" w:rsidP="00E3600D">
      <w:pPr>
        <w:pStyle w:val="ListParagraph"/>
        <w:tabs>
          <w:tab w:val="left" w:pos="709"/>
        </w:tabs>
        <w:jc w:val="both"/>
        <w:rPr>
          <w:rFonts w:eastAsiaTheme="minorEastAsia"/>
          <w:szCs w:val="28"/>
          <w:lang w:eastAsia="zh-CN"/>
        </w:rPr>
      </w:pPr>
    </w:p>
    <w:p w14:paraId="3DA592B3" w14:textId="537C8811" w:rsidR="002F3F2D" w:rsidRPr="00E34D9F" w:rsidRDefault="00E34D9F" w:rsidP="00E34D9F">
      <w:pPr>
        <w:pStyle w:val="ListParagraph"/>
        <w:numPr>
          <w:ilvl w:val="0"/>
          <w:numId w:val="26"/>
        </w:numPr>
        <w:jc w:val="both"/>
        <w:rPr>
          <w:sz w:val="20"/>
          <w:lang w:val="en-NZ"/>
        </w:rPr>
      </w:pPr>
      <w:r w:rsidRPr="00E34D9F">
        <w:rPr>
          <w:rFonts w:eastAsiaTheme="minorEastAsia"/>
          <w:szCs w:val="28"/>
          <w:lang w:eastAsia="zh-CN"/>
        </w:rPr>
        <w:t>China also support</w:t>
      </w:r>
      <w:r w:rsidR="00DF2FBB">
        <w:rPr>
          <w:rFonts w:eastAsiaTheme="minorEastAsia"/>
          <w:szCs w:val="28"/>
          <w:lang w:eastAsia="zh-CN"/>
        </w:rPr>
        <w:t>s</w:t>
      </w:r>
      <w:r w:rsidRPr="00E34D9F">
        <w:rPr>
          <w:rFonts w:eastAsiaTheme="minorEastAsia"/>
          <w:szCs w:val="28"/>
          <w:lang w:eastAsia="zh-CN"/>
        </w:rPr>
        <w:t xml:space="preserve"> ITU-R to develop </w:t>
      </w:r>
      <w:r w:rsidRPr="00E34D9F">
        <w:rPr>
          <w:rFonts w:eastAsiaTheme="minorEastAsia" w:hint="eastAsia"/>
          <w:szCs w:val="28"/>
          <w:lang w:eastAsia="zh-CN"/>
        </w:rPr>
        <w:t xml:space="preserve">technical </w:t>
      </w:r>
      <w:r w:rsidRPr="00E34D9F">
        <w:rPr>
          <w:rFonts w:eastAsiaTheme="minorEastAsia"/>
          <w:szCs w:val="28"/>
          <w:lang w:eastAsia="zh-CN"/>
        </w:rPr>
        <w:t>condition</w:t>
      </w:r>
      <w:r w:rsidRPr="00E34D9F">
        <w:rPr>
          <w:rFonts w:eastAsiaTheme="minorEastAsia" w:hint="eastAsia"/>
          <w:szCs w:val="28"/>
          <w:lang w:eastAsia="zh-CN"/>
        </w:rPr>
        <w:t>s and regulatory provisions for</w:t>
      </w:r>
      <w:r w:rsidR="00E3600D">
        <w:rPr>
          <w:rFonts w:eastAsiaTheme="minorEastAsia"/>
          <w:szCs w:val="28"/>
          <w:lang w:eastAsia="zh-CN"/>
        </w:rPr>
        <w:t xml:space="preserve"> </w:t>
      </w:r>
      <w:r w:rsidRPr="00E34D9F">
        <w:rPr>
          <w:rFonts w:eastAsiaTheme="minorEastAsia" w:hint="eastAsia"/>
          <w:szCs w:val="28"/>
          <w:lang w:eastAsia="zh-CN"/>
        </w:rPr>
        <w:t>operation of earth stations on aircraft and vessels communicating with GSO space stations in the FSS</w:t>
      </w:r>
      <w:r w:rsidR="00E30D14">
        <w:rPr>
          <w:rFonts w:eastAsiaTheme="minorEastAsia"/>
          <w:szCs w:val="28"/>
          <w:lang w:eastAsia="zh-CN"/>
        </w:rPr>
        <w:t xml:space="preserve"> </w:t>
      </w:r>
      <w:r w:rsidRPr="00E34D9F">
        <w:rPr>
          <w:rFonts w:eastAsiaTheme="minorEastAsia" w:hint="eastAsia"/>
          <w:szCs w:val="28"/>
          <w:lang w:eastAsia="zh-CN"/>
        </w:rPr>
        <w:t>operating in the frequency band 12.75-13.25 GHz (Earth-to-space),</w:t>
      </w:r>
      <w:r w:rsidR="00E3600D">
        <w:rPr>
          <w:rFonts w:eastAsiaTheme="minorEastAsia"/>
          <w:szCs w:val="28"/>
          <w:lang w:eastAsia="zh-CN"/>
        </w:rPr>
        <w:t xml:space="preserve"> </w:t>
      </w:r>
      <w:r w:rsidRPr="00E34D9F">
        <w:rPr>
          <w:rFonts w:eastAsiaTheme="minorEastAsia" w:hint="eastAsia"/>
          <w:szCs w:val="28"/>
          <w:lang w:eastAsia="zh-CN"/>
        </w:rPr>
        <w:t>while ensuring protection to</w:t>
      </w:r>
      <w:r w:rsidR="00E3600D">
        <w:rPr>
          <w:rFonts w:eastAsiaTheme="minorEastAsia"/>
          <w:szCs w:val="28"/>
          <w:lang w:eastAsia="zh-CN"/>
        </w:rPr>
        <w:t xml:space="preserve"> </w:t>
      </w:r>
      <w:r w:rsidRPr="00E34D9F">
        <w:rPr>
          <w:rFonts w:eastAsiaTheme="minorEastAsia" w:hint="eastAsia"/>
          <w:szCs w:val="28"/>
          <w:lang w:eastAsia="zh-CN"/>
        </w:rPr>
        <w:t>the existing services and those in the adjacent bands</w:t>
      </w:r>
      <w:r w:rsidRPr="00E34D9F">
        <w:rPr>
          <w:rFonts w:eastAsiaTheme="minorEastAsia"/>
          <w:szCs w:val="28"/>
          <w:lang w:eastAsia="zh-CN"/>
        </w:rPr>
        <w:t xml:space="preserve">, </w:t>
      </w:r>
      <w:r w:rsidRPr="00E34D9F">
        <w:rPr>
          <w:szCs w:val="28"/>
        </w:rPr>
        <w:t xml:space="preserve">in accordance with Resolution </w:t>
      </w:r>
      <w:r w:rsidRPr="00E34D9F">
        <w:rPr>
          <w:b/>
          <w:szCs w:val="28"/>
        </w:rPr>
        <w:t>172 (WRC-19).</w:t>
      </w:r>
    </w:p>
    <w:p w14:paraId="13F9A5DC" w14:textId="77777777" w:rsidR="00E46E84" w:rsidRDefault="00E46E84" w:rsidP="003D3D47">
      <w:pPr>
        <w:jc w:val="both"/>
        <w:rPr>
          <w:lang w:val="en-NZ"/>
        </w:rPr>
      </w:pPr>
    </w:p>
    <w:p w14:paraId="6B5CB1AD" w14:textId="77777777" w:rsidR="00E46E84" w:rsidRPr="00441526" w:rsidRDefault="00E46E84" w:rsidP="00E46E84">
      <w:pPr>
        <w:spacing w:after="120"/>
        <w:jc w:val="both"/>
        <w:rPr>
          <w:b/>
          <w:lang w:val="en-NZ" w:eastAsia="ko-KR"/>
        </w:rPr>
      </w:pPr>
      <w:r w:rsidRPr="00441526">
        <w:rPr>
          <w:b/>
          <w:lang w:val="en-NZ" w:eastAsia="ko-KR"/>
        </w:rPr>
        <w:t>3.1.</w:t>
      </w:r>
      <w:r w:rsidR="00573ACA">
        <w:rPr>
          <w:b/>
          <w:lang w:val="en-NZ" w:eastAsia="ko-KR"/>
        </w:rPr>
        <w:t>7</w:t>
      </w:r>
      <w:r w:rsidRPr="00441526">
        <w:rPr>
          <w:b/>
          <w:lang w:val="en-NZ" w:eastAsia="ko-KR"/>
        </w:rPr>
        <w:tab/>
      </w:r>
      <w:r w:rsidR="00573ACA">
        <w:rPr>
          <w:b/>
          <w:lang w:val="en-NZ" w:eastAsia="ko-KR"/>
        </w:rPr>
        <w:t>Viet Nam</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00573ACA">
        <w:rPr>
          <w:b/>
          <w:lang w:val="en-NZ" w:eastAsia="ko-KR"/>
        </w:rPr>
        <w:t>/INP-52</w:t>
      </w:r>
    </w:p>
    <w:p w14:paraId="5E1921FF" w14:textId="5B070CE4" w:rsidR="00E46E84" w:rsidRPr="00B46E58" w:rsidRDefault="00B46E58" w:rsidP="00B46E58">
      <w:pPr>
        <w:pStyle w:val="ListParagraph"/>
        <w:numPr>
          <w:ilvl w:val="0"/>
          <w:numId w:val="27"/>
        </w:numPr>
        <w:jc w:val="both"/>
        <w:rPr>
          <w:lang w:val="en-NZ"/>
        </w:rPr>
      </w:pPr>
      <w:r w:rsidRPr="00B46E58">
        <w:rPr>
          <w:szCs w:val="28"/>
        </w:rPr>
        <w:t xml:space="preserve">Considering the possibility of using earth stations on aircraft and vessels communicating with geostationary space station in the fixed-satellite service in the frequency band 12.75-13.25 GHz (Earth-to-space), Viet Nam is in </w:t>
      </w:r>
      <w:proofErr w:type="spellStart"/>
      <w:r w:rsidRPr="00B46E58">
        <w:rPr>
          <w:szCs w:val="28"/>
        </w:rPr>
        <w:t>favour</w:t>
      </w:r>
      <w:proofErr w:type="spellEnd"/>
      <w:r w:rsidRPr="00B46E58">
        <w:rPr>
          <w:szCs w:val="28"/>
        </w:rPr>
        <w:t xml:space="preserve"> of the need</w:t>
      </w:r>
      <w:r w:rsidR="00DF2FBB">
        <w:rPr>
          <w:szCs w:val="28"/>
        </w:rPr>
        <w:t xml:space="preserve"> </w:t>
      </w:r>
      <w:r w:rsidRPr="00B46E58">
        <w:rPr>
          <w:szCs w:val="28"/>
        </w:rPr>
        <w:t xml:space="preserve">to ensure protection to allotments in the Plan and assignments in the List of RR Appendix 30B in </w:t>
      </w:r>
      <w:r w:rsidR="00E3600D" w:rsidRPr="00B46E58">
        <w:rPr>
          <w:szCs w:val="28"/>
        </w:rPr>
        <w:t>accordance</w:t>
      </w:r>
      <w:r w:rsidRPr="00B46E58">
        <w:rPr>
          <w:szCs w:val="28"/>
        </w:rPr>
        <w:t xml:space="preserve"> with criteria provided in Annex </w:t>
      </w:r>
      <w:r w:rsidRPr="00B46E58">
        <w:rPr>
          <w:b/>
          <w:szCs w:val="28"/>
        </w:rPr>
        <w:t>4</w:t>
      </w:r>
      <w:r w:rsidRPr="00B46E58">
        <w:rPr>
          <w:szCs w:val="28"/>
        </w:rPr>
        <w:t xml:space="preserve"> to Appendix </w:t>
      </w:r>
      <w:r w:rsidRPr="00B46E58">
        <w:rPr>
          <w:b/>
          <w:szCs w:val="28"/>
        </w:rPr>
        <w:t xml:space="preserve">30B. </w:t>
      </w:r>
      <w:r w:rsidRPr="00B46E58">
        <w:rPr>
          <w:szCs w:val="28"/>
        </w:rPr>
        <w:t xml:space="preserve">Such use of earth stations shall not limit the access of other administrations to their national resources in Appendix </w:t>
      </w:r>
      <w:r w:rsidRPr="00B46E58">
        <w:rPr>
          <w:b/>
          <w:szCs w:val="28"/>
        </w:rPr>
        <w:t>30B</w:t>
      </w:r>
      <w:r w:rsidRPr="00B46E58">
        <w:rPr>
          <w:szCs w:val="28"/>
        </w:rPr>
        <w:t>.</w:t>
      </w:r>
    </w:p>
    <w:p w14:paraId="053A2010" w14:textId="77777777" w:rsidR="002A0111" w:rsidRPr="00441526" w:rsidRDefault="002A0111" w:rsidP="002A0111">
      <w:pPr>
        <w:rPr>
          <w:lang w:val="en-NZ"/>
        </w:rPr>
      </w:pPr>
    </w:p>
    <w:p w14:paraId="21ECB2EC"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1098C88D" w14:textId="77777777" w:rsidR="00B46E58" w:rsidRPr="00DF2FBB" w:rsidRDefault="00521D2B" w:rsidP="00DF2FBB">
      <w:pPr>
        <w:pStyle w:val="ListParagraph"/>
        <w:numPr>
          <w:ilvl w:val="0"/>
          <w:numId w:val="27"/>
        </w:numPr>
        <w:spacing w:after="120"/>
        <w:jc w:val="both"/>
        <w:rPr>
          <w:lang w:val="en-NZ" w:eastAsia="ko-KR"/>
        </w:rPr>
      </w:pPr>
      <w:r w:rsidRPr="00DF2FBB">
        <w:rPr>
          <w:lang w:val="en-NZ" w:eastAsia="ko-KR"/>
        </w:rPr>
        <w:t>None.</w:t>
      </w:r>
    </w:p>
    <w:p w14:paraId="50528145" w14:textId="77777777" w:rsidR="00DF2FBB" w:rsidRDefault="00DF2FBB" w:rsidP="002A0111">
      <w:pPr>
        <w:spacing w:after="120"/>
        <w:jc w:val="both"/>
        <w:rPr>
          <w:lang w:val="en-NZ" w:eastAsia="ko-KR"/>
        </w:rPr>
      </w:pPr>
    </w:p>
    <w:p w14:paraId="083608D0"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BFCD7C0" w14:textId="50E7D80D" w:rsidR="00FF1E30" w:rsidRDefault="00FF1E30" w:rsidP="00E3600D">
      <w:pPr>
        <w:spacing w:after="120" w:line="264" w:lineRule="auto"/>
        <w:jc w:val="both"/>
      </w:pPr>
      <w:r>
        <w:t xml:space="preserve">APT </w:t>
      </w:r>
      <w:r w:rsidR="00F32858">
        <w:t>M</w:t>
      </w:r>
      <w:r>
        <w:t>embers</w:t>
      </w:r>
      <w:r w:rsidRPr="0048160F">
        <w:t xml:space="preserve"> support on-going studies </w:t>
      </w:r>
      <w:r w:rsidR="00A438C5">
        <w:t xml:space="preserve">being carried out by ITU-R Working party 4A </w:t>
      </w:r>
      <w:r w:rsidRPr="0048160F">
        <w:t>for the use of the frequency band 12.75 – 13.25 GHz (Earth-to-space) by earth stations on aircraft and vessels communicating with GSO space stations in the FSS</w:t>
      </w:r>
      <w:r>
        <w:t xml:space="preserve"> </w:t>
      </w:r>
      <w:r w:rsidRPr="0048160F">
        <w:t>while ensuring protection of existing services in those frequency bands</w:t>
      </w:r>
      <w:r w:rsidR="00552D62">
        <w:t xml:space="preserve"> and in adjacent bands</w:t>
      </w:r>
      <w:r w:rsidRPr="0048160F">
        <w:t xml:space="preserve">, in accordance with Resolution </w:t>
      </w:r>
      <w:r w:rsidRPr="0048160F">
        <w:rPr>
          <w:b/>
          <w:bCs/>
        </w:rPr>
        <w:t>172 (WRC-19)</w:t>
      </w:r>
      <w:r>
        <w:rPr>
          <w:b/>
          <w:bCs/>
        </w:rPr>
        <w:t>.</w:t>
      </w:r>
    </w:p>
    <w:p w14:paraId="4DED9F77" w14:textId="05D71433" w:rsidR="009857EF" w:rsidRDefault="003B7E48" w:rsidP="00E3600D">
      <w:pPr>
        <w:spacing w:after="120" w:line="264" w:lineRule="auto"/>
        <w:jc w:val="both"/>
        <w:rPr>
          <w:color w:val="000000"/>
        </w:rPr>
      </w:pPr>
      <w:r>
        <w:rPr>
          <w:rFonts w:eastAsiaTheme="minorEastAsia"/>
          <w:lang w:eastAsia="ja-JP"/>
        </w:rPr>
        <w:t xml:space="preserve">APT </w:t>
      </w:r>
      <w:r w:rsidR="00F32858">
        <w:rPr>
          <w:rFonts w:eastAsiaTheme="minorEastAsia"/>
          <w:lang w:eastAsia="ja-JP"/>
        </w:rPr>
        <w:t>M</w:t>
      </w:r>
      <w:r>
        <w:rPr>
          <w:rFonts w:eastAsiaTheme="minorEastAsia"/>
          <w:lang w:eastAsia="ja-JP"/>
        </w:rPr>
        <w:t>embers</w:t>
      </w:r>
      <w:r>
        <w:t xml:space="preserve"> </w:t>
      </w:r>
      <w:r w:rsidR="00FF1E30" w:rsidRPr="0048160F">
        <w:rPr>
          <w:rFonts w:eastAsiaTheme="minorEastAsia"/>
          <w:lang w:eastAsia="zh-CN"/>
        </w:rPr>
        <w:t xml:space="preserve">also support ITU-R </w:t>
      </w:r>
      <w:r w:rsidR="009857EF">
        <w:rPr>
          <w:rFonts w:eastAsiaTheme="minorEastAsia"/>
          <w:lang w:eastAsia="zh-CN"/>
        </w:rPr>
        <w:t xml:space="preserve">studies </w:t>
      </w:r>
      <w:r w:rsidR="00FF1E30" w:rsidRPr="0048160F">
        <w:rPr>
          <w:rFonts w:eastAsiaTheme="minorEastAsia"/>
          <w:lang w:eastAsia="zh-CN"/>
        </w:rPr>
        <w:t xml:space="preserve">to develop </w:t>
      </w:r>
      <w:r w:rsidR="00FF1E30" w:rsidRPr="0048160F">
        <w:rPr>
          <w:rFonts w:eastAsiaTheme="minorEastAsia" w:hint="eastAsia"/>
          <w:lang w:eastAsia="zh-CN"/>
        </w:rPr>
        <w:t xml:space="preserve">technical </w:t>
      </w:r>
      <w:r w:rsidR="00FF1E30" w:rsidRPr="0048160F">
        <w:rPr>
          <w:rFonts w:eastAsiaTheme="minorEastAsia"/>
          <w:lang w:eastAsia="zh-CN"/>
        </w:rPr>
        <w:t>condition</w:t>
      </w:r>
      <w:r w:rsidR="00FF1E30" w:rsidRPr="0048160F">
        <w:rPr>
          <w:rFonts w:eastAsiaTheme="minorEastAsia" w:hint="eastAsia"/>
          <w:lang w:eastAsia="zh-CN"/>
        </w:rPr>
        <w:t>s and regulatory provisions for</w:t>
      </w:r>
      <w:r w:rsidR="001A6CCB">
        <w:rPr>
          <w:rFonts w:eastAsiaTheme="minorEastAsia"/>
          <w:lang w:eastAsia="zh-CN"/>
        </w:rPr>
        <w:t xml:space="preserve"> </w:t>
      </w:r>
      <w:r w:rsidR="00FF1E30" w:rsidRPr="0048160F">
        <w:rPr>
          <w:rFonts w:eastAsiaTheme="minorEastAsia" w:hint="eastAsia"/>
          <w:lang w:eastAsia="zh-CN"/>
        </w:rPr>
        <w:t>operation of earth stations on aircraft and vessels communicating with GSO space stations in the FSS</w:t>
      </w:r>
      <w:r w:rsidR="00EF571B">
        <w:rPr>
          <w:rFonts w:eastAsiaTheme="minorEastAsia"/>
          <w:lang w:eastAsia="zh-CN"/>
        </w:rPr>
        <w:t xml:space="preserve"> </w:t>
      </w:r>
      <w:r w:rsidR="00FF1E30" w:rsidRPr="0048160F">
        <w:rPr>
          <w:rFonts w:eastAsiaTheme="minorEastAsia" w:hint="eastAsia"/>
          <w:lang w:eastAsia="zh-CN"/>
        </w:rPr>
        <w:t>operating in the frequency band 12.75-13.25 GHz (Earth-to-space),</w:t>
      </w:r>
      <w:r w:rsidR="00E30D14">
        <w:rPr>
          <w:rFonts w:eastAsiaTheme="minorEastAsia"/>
          <w:lang w:eastAsia="zh-CN"/>
        </w:rPr>
        <w:t xml:space="preserve"> </w:t>
      </w:r>
      <w:r w:rsidR="00FF1E30" w:rsidRPr="0048160F">
        <w:rPr>
          <w:rFonts w:eastAsiaTheme="minorEastAsia" w:hint="eastAsia"/>
          <w:lang w:eastAsia="zh-CN"/>
        </w:rPr>
        <w:t>while ensuring protection to</w:t>
      </w:r>
      <w:r w:rsidR="00E30D14">
        <w:rPr>
          <w:rFonts w:eastAsiaTheme="minorEastAsia"/>
          <w:lang w:eastAsia="zh-CN"/>
        </w:rPr>
        <w:t xml:space="preserve"> </w:t>
      </w:r>
      <w:r w:rsidR="00FF1E30" w:rsidRPr="0048160F">
        <w:rPr>
          <w:rFonts w:eastAsiaTheme="minorEastAsia" w:hint="eastAsia"/>
          <w:lang w:eastAsia="zh-CN"/>
        </w:rPr>
        <w:t>the existing services and those in the adjacent bands</w:t>
      </w:r>
      <w:r w:rsidR="00FF1E30" w:rsidRPr="0048160F">
        <w:rPr>
          <w:rFonts w:eastAsiaTheme="minorEastAsia"/>
          <w:lang w:eastAsia="zh-CN"/>
        </w:rPr>
        <w:t xml:space="preserve">, </w:t>
      </w:r>
      <w:r w:rsidR="00FF1E30" w:rsidRPr="0048160F">
        <w:t xml:space="preserve">in accordance with Resolution </w:t>
      </w:r>
      <w:r w:rsidR="00FF1E30" w:rsidRPr="0048160F">
        <w:rPr>
          <w:b/>
        </w:rPr>
        <w:t>172 (WRC-19)</w:t>
      </w:r>
      <w:r w:rsidR="009857EF" w:rsidRPr="0048160F">
        <w:rPr>
          <w:color w:val="000000"/>
        </w:rPr>
        <w:t xml:space="preserve">. </w:t>
      </w:r>
    </w:p>
    <w:p w14:paraId="300B7358" w14:textId="77777777" w:rsidR="00FF1E30" w:rsidRDefault="00FF1E30" w:rsidP="00202D6F">
      <w:pPr>
        <w:spacing w:after="120" w:line="264" w:lineRule="auto"/>
        <w:rPr>
          <w:lang w:val="en-NZ"/>
        </w:rPr>
      </w:pPr>
    </w:p>
    <w:p w14:paraId="4254CC03" w14:textId="77777777" w:rsidR="000A39ED" w:rsidRDefault="000A39ED" w:rsidP="00202D6F">
      <w:pPr>
        <w:spacing w:after="120" w:line="264" w:lineRule="auto"/>
        <w:jc w:val="both"/>
        <w:rPr>
          <w:rFonts w:eastAsiaTheme="minorEastAsia"/>
          <w:lang w:eastAsia="ja-JP"/>
        </w:rPr>
      </w:pPr>
    </w:p>
    <w:p w14:paraId="4A236F26" w14:textId="134221F5" w:rsidR="00EF571B" w:rsidRPr="0048160F" w:rsidRDefault="00EF571B" w:rsidP="00202D6F">
      <w:pPr>
        <w:spacing w:after="120" w:line="264" w:lineRule="auto"/>
        <w:jc w:val="both"/>
        <w:rPr>
          <w:lang w:eastAsia="ko-KR"/>
        </w:rPr>
      </w:pPr>
      <w:r>
        <w:rPr>
          <w:rFonts w:eastAsiaTheme="minorEastAsia"/>
          <w:lang w:eastAsia="ja-JP"/>
        </w:rPr>
        <w:t xml:space="preserve">APT </w:t>
      </w:r>
      <w:r w:rsidR="00F32858">
        <w:rPr>
          <w:rFonts w:eastAsiaTheme="minorEastAsia"/>
          <w:lang w:eastAsia="ja-JP"/>
        </w:rPr>
        <w:t>M</w:t>
      </w:r>
      <w:r>
        <w:rPr>
          <w:rFonts w:eastAsiaTheme="minorEastAsia"/>
          <w:lang w:eastAsia="ja-JP"/>
        </w:rPr>
        <w:t xml:space="preserve">embers </w:t>
      </w:r>
      <w:r w:rsidRPr="0048160F">
        <w:rPr>
          <w:rFonts w:hint="eastAsia"/>
          <w:lang w:eastAsia="ko-KR"/>
        </w:rPr>
        <w:t xml:space="preserve">also </w:t>
      </w:r>
      <w:r>
        <w:rPr>
          <w:lang w:eastAsia="ko-KR"/>
        </w:rPr>
        <w:t>have</w:t>
      </w:r>
      <w:r w:rsidRPr="0048160F">
        <w:rPr>
          <w:rFonts w:hint="eastAsia"/>
          <w:lang w:eastAsia="ko-KR"/>
        </w:rPr>
        <w:t xml:space="preserve"> preliminary view</w:t>
      </w:r>
      <w:r w:rsidRPr="0048160F">
        <w:rPr>
          <w:lang w:eastAsia="ko-KR"/>
        </w:rPr>
        <w:t>s</w:t>
      </w:r>
      <w:r w:rsidRPr="0048160F">
        <w:rPr>
          <w:rFonts w:hint="eastAsia"/>
          <w:lang w:eastAsia="ko-KR"/>
        </w:rPr>
        <w:t xml:space="preserve"> as follows</w:t>
      </w:r>
      <w:r w:rsidRPr="0048160F">
        <w:rPr>
          <w:lang w:eastAsia="ko-KR"/>
        </w:rPr>
        <w:t>:</w:t>
      </w:r>
    </w:p>
    <w:p w14:paraId="4C6BD966" w14:textId="77777777" w:rsidR="00EF571B" w:rsidRPr="00EF571B" w:rsidRDefault="00EF571B" w:rsidP="00202D6F">
      <w:pPr>
        <w:pStyle w:val="ListParagraph"/>
        <w:numPr>
          <w:ilvl w:val="0"/>
          <w:numId w:val="25"/>
        </w:numPr>
        <w:spacing w:after="120" w:line="264" w:lineRule="auto"/>
        <w:jc w:val="both"/>
        <w:rPr>
          <w:lang w:eastAsia="ko-KR"/>
        </w:rPr>
      </w:pPr>
      <w:r w:rsidRPr="0048160F">
        <w:lastRenderedPageBreak/>
        <w:t>operation of such earth stations on aircraft and vessels should not impact the usability of the allotments in the Plan and assignments in the List under Appendix 30B of the Radio Regulations.</w:t>
      </w:r>
    </w:p>
    <w:p w14:paraId="607FFAAA" w14:textId="77777777" w:rsidR="00EF571B" w:rsidRPr="00EF571B" w:rsidRDefault="00EF571B" w:rsidP="00202D6F">
      <w:pPr>
        <w:pStyle w:val="ListParagraph"/>
        <w:numPr>
          <w:ilvl w:val="0"/>
          <w:numId w:val="25"/>
        </w:numPr>
        <w:spacing w:after="120" w:line="264" w:lineRule="auto"/>
        <w:jc w:val="both"/>
        <w:rPr>
          <w:lang w:eastAsia="ko-KR"/>
        </w:rPr>
      </w:pPr>
      <w:r w:rsidRPr="0048160F">
        <w:t>use of the frequency band 12.75-13.25 GHz (Earth-to-space) by earth stations on aircraft and vessels shall not limit the access of other administrations to their national resources in Appendix </w:t>
      </w:r>
      <w:r w:rsidRPr="0048160F">
        <w:rPr>
          <w:rStyle w:val="Appref"/>
          <w:b/>
          <w:bCs/>
        </w:rPr>
        <w:t>30B</w:t>
      </w:r>
      <w:r w:rsidRPr="0048160F">
        <w:t xml:space="preserve"> as well as implementation of Resolution </w:t>
      </w:r>
      <w:r w:rsidRPr="0048160F">
        <w:rPr>
          <w:b/>
        </w:rPr>
        <w:t>170 (WRC</w:t>
      </w:r>
      <w:r w:rsidRPr="0048160F">
        <w:rPr>
          <w:b/>
        </w:rPr>
        <w:noBreakHyphen/>
        <w:t>19)</w:t>
      </w:r>
      <w:r w:rsidR="00102869">
        <w:rPr>
          <w:bCs/>
        </w:rPr>
        <w:t>.</w:t>
      </w:r>
    </w:p>
    <w:p w14:paraId="28C03914"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15A8EA0" w14:textId="77777777" w:rsidR="005206E9" w:rsidRPr="00DF2FBB" w:rsidRDefault="00521D2B" w:rsidP="00DF2FBB">
      <w:pPr>
        <w:pStyle w:val="ListParagraph"/>
        <w:numPr>
          <w:ilvl w:val="0"/>
          <w:numId w:val="27"/>
        </w:numPr>
        <w:rPr>
          <w:lang w:val="en-NZ"/>
        </w:rPr>
      </w:pPr>
      <w:r w:rsidRPr="00DF2FBB">
        <w:rPr>
          <w:lang w:val="en-NZ"/>
        </w:rPr>
        <w:t>None.</w:t>
      </w:r>
    </w:p>
    <w:p w14:paraId="3A1E9293" w14:textId="77777777" w:rsidR="002A0111" w:rsidRPr="00441526" w:rsidRDefault="002A0111" w:rsidP="00A20F72">
      <w:pPr>
        <w:spacing w:beforeLines="50" w:before="120"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1E9F462" w14:textId="373EDEB7" w:rsidR="003B7E48" w:rsidRPr="003B7E48" w:rsidRDefault="003B7E48" w:rsidP="003B7E48">
      <w:pPr>
        <w:spacing w:before="120"/>
        <w:jc w:val="both"/>
        <w:rPr>
          <w:b/>
          <w:lang w:val="en-NZ" w:eastAsia="ko-KR"/>
        </w:rPr>
      </w:pPr>
      <w:r w:rsidRPr="003B7E48">
        <w:rPr>
          <w:rFonts w:eastAsia="MS Mincho"/>
          <w:lang w:val="en-NZ" w:eastAsia="ja-JP"/>
        </w:rPr>
        <w:t xml:space="preserve">APT </w:t>
      </w:r>
      <w:r w:rsidR="00E3600D">
        <w:rPr>
          <w:rFonts w:eastAsia="MS Mincho"/>
          <w:lang w:val="en-NZ" w:eastAsia="ja-JP"/>
        </w:rPr>
        <w:t>M</w:t>
      </w:r>
      <w:r w:rsidRPr="003B7E48">
        <w:rPr>
          <w:rFonts w:eastAsia="MS Mincho"/>
          <w:lang w:val="en-NZ" w:eastAsia="ja-JP"/>
        </w:rPr>
        <w:t xml:space="preserve">embers are invited to follow the progress of ITU-R </w:t>
      </w:r>
      <w:proofErr w:type="gramStart"/>
      <w:r w:rsidRPr="003B7E48">
        <w:rPr>
          <w:rFonts w:eastAsia="MS Mincho"/>
          <w:lang w:val="en-NZ" w:eastAsia="ja-JP"/>
        </w:rPr>
        <w:t>studies, and</w:t>
      </w:r>
      <w:proofErr w:type="gramEnd"/>
      <w:r w:rsidRPr="003B7E48">
        <w:rPr>
          <w:rFonts w:eastAsia="MS Mincho"/>
          <w:lang w:val="en-NZ" w:eastAsia="ja-JP"/>
        </w:rPr>
        <w:t xml:space="preserve"> are encouraged to submit their contributions for further considerations at the next meeting.</w:t>
      </w:r>
    </w:p>
    <w:p w14:paraId="47512B6B" w14:textId="77777777" w:rsidR="003B7E48" w:rsidRDefault="003B7E48" w:rsidP="00A03D78">
      <w:pPr>
        <w:jc w:val="both"/>
        <w:rPr>
          <w:b/>
          <w:lang w:val="en-NZ"/>
        </w:rPr>
      </w:pPr>
    </w:p>
    <w:p w14:paraId="0FFB7D38" w14:textId="77777777" w:rsidR="00502317" w:rsidRPr="006F518F" w:rsidRDefault="002A0111" w:rsidP="00502317">
      <w:pPr>
        <w:jc w:val="both"/>
        <w:rPr>
          <w:lang w:val="en-NZ"/>
        </w:rPr>
      </w:pPr>
      <w:r>
        <w:rPr>
          <w:b/>
          <w:lang w:val="en-NZ"/>
        </w:rPr>
        <w:t>7</w:t>
      </w:r>
      <w:r w:rsidRPr="00441526">
        <w:rPr>
          <w:b/>
          <w:lang w:val="en-NZ"/>
        </w:rPr>
        <w:t xml:space="preserve">. </w:t>
      </w:r>
      <w:r w:rsidRPr="00441526">
        <w:rPr>
          <w:b/>
          <w:lang w:val="en-NZ"/>
        </w:rPr>
        <w:tab/>
        <w:t>Views from Other Organisations</w:t>
      </w:r>
      <w:r w:rsidR="00502317">
        <w:rPr>
          <w:b/>
          <w:lang w:val="en-NZ"/>
        </w:rPr>
        <w:t xml:space="preserve"> </w:t>
      </w:r>
    </w:p>
    <w:p w14:paraId="3DFF7C8D" w14:textId="77777777" w:rsidR="002A0111" w:rsidRPr="00441526" w:rsidRDefault="002A0111" w:rsidP="003D3D47">
      <w:pPr>
        <w:jc w:val="both"/>
        <w:rPr>
          <w:lang w:val="en-NZ"/>
        </w:rPr>
      </w:pPr>
    </w:p>
    <w:p w14:paraId="0D59F15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4E8C27F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r w:rsidR="00EC77FE">
        <w:rPr>
          <w:b/>
          <w:lang w:val="en-NZ" w:eastAsia="ko-KR"/>
        </w:rPr>
        <w:t>25</w:t>
      </w:r>
    </w:p>
    <w:p w14:paraId="71E6F424" w14:textId="77777777" w:rsidR="00B46E58" w:rsidRPr="00B46E58" w:rsidRDefault="00B46E58" w:rsidP="00E3600D">
      <w:pPr>
        <w:pStyle w:val="Default"/>
        <w:numPr>
          <w:ilvl w:val="0"/>
          <w:numId w:val="27"/>
        </w:numPr>
        <w:jc w:val="both"/>
        <w:rPr>
          <w:rFonts w:ascii="Times New Roman" w:hAnsi="Times New Roman" w:cs="Times New Roman"/>
        </w:rPr>
      </w:pPr>
      <w:r w:rsidRPr="00B46E58">
        <w:rPr>
          <w:rFonts w:ascii="Times New Roman" w:hAnsi="Times New Roman" w:cs="Times New Roman"/>
        </w:rPr>
        <w:t xml:space="preserve">Inviting ASMG administrations to study their requirements for this technology and the spectrum use in these bands, and provide their option in the next ASMG </w:t>
      </w:r>
      <w:proofErr w:type="gramStart"/>
      <w:r w:rsidRPr="00B46E58">
        <w:rPr>
          <w:rFonts w:ascii="Times New Roman" w:hAnsi="Times New Roman" w:cs="Times New Roman"/>
        </w:rPr>
        <w:t>meeting</w:t>
      </w:r>
      <w:proofErr w:type="gramEnd"/>
      <w:r w:rsidRPr="00B46E58">
        <w:rPr>
          <w:rFonts w:ascii="Times New Roman" w:hAnsi="Times New Roman" w:cs="Times New Roman"/>
        </w:rPr>
        <w:t xml:space="preserve"> </w:t>
      </w:r>
    </w:p>
    <w:p w14:paraId="4431041C" w14:textId="77777777" w:rsidR="002A0111" w:rsidRPr="00441526" w:rsidRDefault="002A0111" w:rsidP="002A0111">
      <w:pPr>
        <w:rPr>
          <w:lang w:val="en-NZ"/>
        </w:rPr>
      </w:pPr>
    </w:p>
    <w:p w14:paraId="277789E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EC77FE">
        <w:rPr>
          <w:b/>
          <w:lang w:val="en-NZ" w:eastAsia="ko-KR"/>
        </w:rPr>
        <w:t>26</w:t>
      </w:r>
    </w:p>
    <w:p w14:paraId="2FF233B1" w14:textId="77777777" w:rsidR="002A0111" w:rsidRPr="00441526" w:rsidRDefault="00B46E58" w:rsidP="002A0111">
      <w:pPr>
        <w:numPr>
          <w:ilvl w:val="0"/>
          <w:numId w:val="18"/>
        </w:numPr>
        <w:ind w:leftChars="145" w:left="708"/>
        <w:rPr>
          <w:lang w:val="en-NZ"/>
        </w:rPr>
      </w:pPr>
      <w:r>
        <w:rPr>
          <w:lang w:val="en-NZ"/>
        </w:rPr>
        <w:t>None.</w:t>
      </w:r>
    </w:p>
    <w:p w14:paraId="79B5DFCB" w14:textId="77777777" w:rsidR="005206E9" w:rsidRDefault="005206E9" w:rsidP="002A0111">
      <w:pPr>
        <w:spacing w:after="120"/>
        <w:jc w:val="both"/>
        <w:rPr>
          <w:b/>
          <w:lang w:val="en-NZ" w:eastAsia="ko-KR"/>
        </w:rPr>
      </w:pPr>
    </w:p>
    <w:p w14:paraId="51576E6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EC77FE">
        <w:rPr>
          <w:b/>
          <w:lang w:val="en-NZ" w:eastAsia="ko-KR"/>
        </w:rPr>
        <w:t>35</w:t>
      </w:r>
    </w:p>
    <w:p w14:paraId="223412DB" w14:textId="77777777" w:rsidR="00182175" w:rsidRPr="00743374" w:rsidRDefault="00182175" w:rsidP="00E3600D">
      <w:pPr>
        <w:pStyle w:val="ListParagraph"/>
        <w:numPr>
          <w:ilvl w:val="0"/>
          <w:numId w:val="27"/>
        </w:numPr>
        <w:spacing w:before="40" w:after="40"/>
        <w:jc w:val="both"/>
      </w:pPr>
      <w:r w:rsidRPr="00743374">
        <w:t>CEPT supports establishing a regulatory framework and technical requirements for operation of earth stations on aircraft in the frequency band 12.75</w:t>
      </w:r>
      <w:r w:rsidRPr="00E07B17">
        <w:rPr>
          <w:rFonts w:ascii="Calibri" w:hAnsi="Calibri"/>
        </w:rPr>
        <w:t>‐</w:t>
      </w:r>
      <w:r w:rsidRPr="00E07B17">
        <w:rPr>
          <w:rFonts w:eastAsia="Malgun Gothic"/>
        </w:rPr>
        <w:t>13.25 GHz (Earth</w:t>
      </w:r>
      <w:r w:rsidRPr="00E07B17">
        <w:rPr>
          <w:rFonts w:ascii="Calibri" w:hAnsi="Calibri"/>
        </w:rPr>
        <w:t>‐</w:t>
      </w:r>
      <w:r w:rsidRPr="00E07B17">
        <w:rPr>
          <w:rFonts w:eastAsia="Malgun Gothic"/>
        </w:rPr>
        <w:t>to</w:t>
      </w:r>
      <w:r w:rsidRPr="00E07B17">
        <w:rPr>
          <w:rFonts w:ascii="Calibri" w:hAnsi="Calibri"/>
        </w:rPr>
        <w:t>‐</w:t>
      </w:r>
      <w:r w:rsidRPr="00E07B17">
        <w:rPr>
          <w:rFonts w:eastAsia="Malgun Gothic"/>
        </w:rPr>
        <w:t xml:space="preserve">space) with </w:t>
      </w:r>
      <w:r w:rsidRPr="00743374">
        <w:t>conditions that protect the services currently allocated in this frequency band and bands adjacent to it</w:t>
      </w:r>
      <w:proofErr w:type="gramStart"/>
      <w:r w:rsidRPr="00743374">
        <w:t>, ,</w:t>
      </w:r>
      <w:proofErr w:type="gramEnd"/>
      <w:r w:rsidRPr="00743374">
        <w:t xml:space="preserve"> taking into account ECC Decision (19)04. </w:t>
      </w:r>
    </w:p>
    <w:p w14:paraId="42C42B6F" w14:textId="77777777" w:rsidR="002A0111" w:rsidRPr="00441526" w:rsidRDefault="00182175" w:rsidP="00E3600D">
      <w:pPr>
        <w:numPr>
          <w:ilvl w:val="0"/>
          <w:numId w:val="27"/>
        </w:numPr>
        <w:jc w:val="both"/>
        <w:rPr>
          <w:lang w:val="en-NZ"/>
        </w:rPr>
      </w:pPr>
      <w:r w:rsidRPr="00743374">
        <w:t>CEPT supports establishing a regulatory framework and technical requirements for operation of earth stations on vessels in the frequency band 12.75</w:t>
      </w:r>
      <w:r w:rsidRPr="00E07B17">
        <w:rPr>
          <w:rFonts w:ascii="Calibri" w:hAnsi="Calibri"/>
        </w:rPr>
        <w:t>‐</w:t>
      </w:r>
      <w:r w:rsidRPr="00E07B17">
        <w:rPr>
          <w:rFonts w:eastAsia="Malgun Gothic"/>
        </w:rPr>
        <w:t>13.25 GHz (Earth</w:t>
      </w:r>
      <w:r w:rsidRPr="00E07B17">
        <w:rPr>
          <w:rFonts w:ascii="Calibri" w:hAnsi="Calibri"/>
        </w:rPr>
        <w:t>‐</w:t>
      </w:r>
      <w:r w:rsidRPr="00E07B17">
        <w:rPr>
          <w:rFonts w:eastAsia="Malgun Gothic"/>
        </w:rPr>
        <w:t>to</w:t>
      </w:r>
      <w:r w:rsidRPr="00E07B17">
        <w:rPr>
          <w:rFonts w:ascii="Calibri" w:hAnsi="Calibri"/>
        </w:rPr>
        <w:t>‐</w:t>
      </w:r>
      <w:r w:rsidRPr="00E07B17">
        <w:rPr>
          <w:rFonts w:eastAsia="Malgun Gothic"/>
        </w:rPr>
        <w:t>space) pending on the results of the studies conducted on</w:t>
      </w:r>
      <w:r w:rsidRPr="00743374">
        <w:t xml:space="preserve"> protection of services currently allocated in this frequency band and bands adjacent to it.</w:t>
      </w:r>
    </w:p>
    <w:p w14:paraId="7AC30CEC" w14:textId="77777777" w:rsidR="002A0111" w:rsidRPr="00441526" w:rsidRDefault="002A0111" w:rsidP="002A0111">
      <w:pPr>
        <w:rPr>
          <w:lang w:val="en-NZ"/>
        </w:rPr>
      </w:pPr>
    </w:p>
    <w:p w14:paraId="27D3C481"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EC77FE">
        <w:rPr>
          <w:b/>
          <w:lang w:val="en-NZ" w:eastAsia="ko-KR"/>
        </w:rPr>
        <w:t>34</w:t>
      </w:r>
    </w:p>
    <w:p w14:paraId="02264BA1" w14:textId="77777777" w:rsidR="00B46E58" w:rsidRPr="00743374" w:rsidRDefault="00B46E58" w:rsidP="00E3600D">
      <w:pPr>
        <w:pStyle w:val="ListParagraph"/>
        <w:numPr>
          <w:ilvl w:val="0"/>
          <w:numId w:val="27"/>
        </w:numPr>
        <w:spacing w:before="40" w:after="40"/>
        <w:jc w:val="both"/>
      </w:pPr>
      <w:r w:rsidRPr="00743374">
        <w:t>Some administrations support studies on the operation of earth stations on aircraft and vessels communicating with GSO FSS space stations in the 12.75-13.25 GHz (Earth-to-space) frequency band with the objective of developing appropriate technical and regulatory provisions to protect allotments/assignments in the Appendix 30B Plan and other primary allocated services, as well as primary services in adjacent bands, as called for in Resolution 172 (WRC-19)</w:t>
      </w:r>
    </w:p>
    <w:p w14:paraId="12300CE6" w14:textId="77777777" w:rsidR="002A0111" w:rsidRDefault="002A0111" w:rsidP="002A0111">
      <w:pPr>
        <w:spacing w:after="120"/>
        <w:jc w:val="both"/>
        <w:rPr>
          <w:b/>
          <w:lang w:val="en-NZ" w:eastAsia="ko-KR"/>
        </w:rPr>
      </w:pPr>
    </w:p>
    <w:p w14:paraId="586B89E1"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EC77FE">
        <w:rPr>
          <w:b/>
          <w:lang w:val="en-NZ" w:eastAsia="ko-KR"/>
        </w:rPr>
        <w:t>36</w:t>
      </w:r>
    </w:p>
    <w:p w14:paraId="309561AB" w14:textId="1447C748" w:rsidR="00182175" w:rsidRPr="00743374" w:rsidRDefault="00182175" w:rsidP="00E3600D">
      <w:pPr>
        <w:pStyle w:val="ListParagraph"/>
        <w:numPr>
          <w:ilvl w:val="0"/>
          <w:numId w:val="30"/>
        </w:numPr>
        <w:spacing w:before="40" w:after="40"/>
        <w:jc w:val="both"/>
      </w:pPr>
      <w:r w:rsidRPr="00E07B17">
        <w:rPr>
          <w:snapToGrid w:val="0"/>
        </w:rPr>
        <w:t>The RCC Administrations support the studies of methods for sharing and guarantee</w:t>
      </w:r>
      <w:r w:rsidR="00E3600D">
        <w:rPr>
          <w:snapToGrid w:val="0"/>
        </w:rPr>
        <w:t xml:space="preserve"> </w:t>
      </w:r>
      <w:r w:rsidRPr="00E07B17">
        <w:rPr>
          <w:snapToGrid w:val="0"/>
        </w:rPr>
        <w:t xml:space="preserve">compatibility between earth stations on aircraft and vessels communicating with GSO space stations in the FSS in the frequency band 12.75-13.25 GHz (Earth-to-space) and </w:t>
      </w:r>
      <w:r w:rsidRPr="00E07B17">
        <w:rPr>
          <w:snapToGrid w:val="0"/>
        </w:rPr>
        <w:lastRenderedPageBreak/>
        <w:t xml:space="preserve">incumbent and future stations of services in this frequency band as well as services in adjacent frequency </w:t>
      </w:r>
      <w:r w:rsidRPr="00E07B17">
        <w:rPr>
          <w:snapToGrid w:val="0"/>
          <w:lang w:val="en-GB"/>
        </w:rPr>
        <w:t>bands</w:t>
      </w:r>
      <w:r w:rsidRPr="00E07B17">
        <w:rPr>
          <w:snapToGrid w:val="0"/>
        </w:rPr>
        <w:t xml:space="preserve"> (i.e. EESS (active) in the frequency band </w:t>
      </w:r>
      <w:r w:rsidRPr="00E07B17">
        <w:rPr>
          <w:shd w:val="clear" w:color="auto" w:fill="FFFFFF" w:themeFill="background1"/>
        </w:rPr>
        <w:t>13.25</w:t>
      </w:r>
      <w:r w:rsidRPr="00743374">
        <w:t>−</w:t>
      </w:r>
      <w:r w:rsidRPr="00E07B17">
        <w:rPr>
          <w:shd w:val="clear" w:color="auto" w:fill="FFFFFF" w:themeFill="background1"/>
        </w:rPr>
        <w:t>13.75 GHz</w:t>
      </w:r>
      <w:r w:rsidRPr="00E07B17">
        <w:rPr>
          <w:snapToGrid w:val="0"/>
        </w:rPr>
        <w:t>), to ensure protection of, and not impose undue constraints on those services and their future development, taking into account the provisions of Appendix</w:t>
      </w:r>
      <w:r w:rsidRPr="00E07B17">
        <w:rPr>
          <w:b/>
          <w:snapToGrid w:val="0"/>
        </w:rPr>
        <w:t xml:space="preserve"> 30B</w:t>
      </w:r>
      <w:r w:rsidRPr="00E07B17">
        <w:rPr>
          <w:snapToGrid w:val="0"/>
        </w:rPr>
        <w:t>.</w:t>
      </w:r>
    </w:p>
    <w:p w14:paraId="6DD0AA4B" w14:textId="5C3A200C" w:rsidR="00182175" w:rsidRPr="00743374" w:rsidRDefault="00182175" w:rsidP="00E3600D">
      <w:pPr>
        <w:pStyle w:val="ListParagraph"/>
        <w:numPr>
          <w:ilvl w:val="0"/>
          <w:numId w:val="30"/>
        </w:numPr>
        <w:spacing w:before="40" w:after="40"/>
        <w:jc w:val="both"/>
      </w:pPr>
      <w:r w:rsidRPr="00E07B17">
        <w:rPr>
          <w:snapToGrid w:val="0"/>
        </w:rPr>
        <w:t xml:space="preserve">The RCC Administrations are in </w:t>
      </w:r>
      <w:proofErr w:type="spellStart"/>
      <w:r w:rsidRPr="00E07B17">
        <w:rPr>
          <w:snapToGrid w:val="0"/>
        </w:rPr>
        <w:t>favour</w:t>
      </w:r>
      <w:proofErr w:type="spellEnd"/>
      <w:r w:rsidRPr="00E07B17">
        <w:rPr>
          <w:snapToGrid w:val="0"/>
        </w:rPr>
        <w:t xml:space="preserve"> of</w:t>
      </w:r>
      <w:r w:rsidR="00E3600D">
        <w:rPr>
          <w:snapToGrid w:val="0"/>
        </w:rPr>
        <w:t xml:space="preserve"> </w:t>
      </w:r>
      <w:r w:rsidRPr="00E07B17">
        <w:rPr>
          <w:snapToGrid w:val="0"/>
        </w:rPr>
        <w:t>the development of technical requirements and</w:t>
      </w:r>
      <w:r w:rsidR="00E3600D">
        <w:rPr>
          <w:snapToGrid w:val="0"/>
        </w:rPr>
        <w:t xml:space="preserve"> </w:t>
      </w:r>
      <w:r w:rsidRPr="00E07B17">
        <w:rPr>
          <w:snapToGrid w:val="0"/>
        </w:rPr>
        <w:t>regulatory provisions for ESIMs on aircraft and vessels for the harmonized operation of such earth stations communicating with GSO space stations in the FSS in the frequency band 12.75-13.25 GHz (Earth-to-space), while ensuring in this</w:t>
      </w:r>
      <w:r w:rsidR="00E3600D">
        <w:rPr>
          <w:snapToGrid w:val="0"/>
        </w:rPr>
        <w:t xml:space="preserve"> </w:t>
      </w:r>
      <w:r w:rsidRPr="00E07B17">
        <w:rPr>
          <w:snapToGrid w:val="0"/>
        </w:rPr>
        <w:t xml:space="preserve">and adjacent bands protection to the existing services, </w:t>
      </w:r>
      <w:proofErr w:type="gramStart"/>
      <w:r w:rsidRPr="00E07B17">
        <w:rPr>
          <w:snapToGrid w:val="0"/>
        </w:rPr>
        <w:t>taking into account</w:t>
      </w:r>
      <w:proofErr w:type="gramEnd"/>
      <w:r w:rsidRPr="00E07B17">
        <w:rPr>
          <w:snapToGrid w:val="0"/>
        </w:rPr>
        <w:t xml:space="preserve"> the provisions of Appendix</w:t>
      </w:r>
      <w:r w:rsidRPr="00E07B17">
        <w:rPr>
          <w:b/>
          <w:snapToGrid w:val="0"/>
        </w:rPr>
        <w:t xml:space="preserve"> 30B</w:t>
      </w:r>
      <w:r w:rsidRPr="00E07B17">
        <w:rPr>
          <w:snapToGrid w:val="0"/>
        </w:rPr>
        <w:t>.</w:t>
      </w:r>
    </w:p>
    <w:p w14:paraId="792202E4" w14:textId="3CEC4706" w:rsidR="00182175" w:rsidRPr="000A7FC0" w:rsidRDefault="00182175" w:rsidP="00E3600D">
      <w:pPr>
        <w:pStyle w:val="ListParagraph"/>
        <w:numPr>
          <w:ilvl w:val="0"/>
          <w:numId w:val="30"/>
        </w:numPr>
        <w:spacing w:before="40" w:after="40"/>
        <w:jc w:val="both"/>
        <w:rPr>
          <w:color w:val="000000" w:themeColor="text1"/>
        </w:rPr>
      </w:pPr>
      <w:r w:rsidRPr="00E07B17">
        <w:rPr>
          <w:snapToGrid w:val="0"/>
        </w:rPr>
        <w:t xml:space="preserve">The RCC Administrations are in </w:t>
      </w:r>
      <w:proofErr w:type="spellStart"/>
      <w:r w:rsidRPr="00E07B17">
        <w:rPr>
          <w:snapToGrid w:val="0"/>
        </w:rPr>
        <w:t>favour</w:t>
      </w:r>
      <w:proofErr w:type="spellEnd"/>
      <w:r w:rsidRPr="00E07B17">
        <w:rPr>
          <w:snapToGrid w:val="0"/>
        </w:rPr>
        <w:t xml:space="preserve"> of the need to ensure protection to allotments in the Plan and assignments in the List of RR Appendix</w:t>
      </w:r>
      <w:r w:rsidRPr="00E07B17">
        <w:rPr>
          <w:b/>
          <w:snapToGrid w:val="0"/>
        </w:rPr>
        <w:t xml:space="preserve"> 30B</w:t>
      </w:r>
      <w:r w:rsidRPr="00E07B17">
        <w:rPr>
          <w:snapToGrid w:val="0"/>
        </w:rPr>
        <w:t xml:space="preserve"> in accordance with criteria provided in Annex 4 to Appendix </w:t>
      </w:r>
      <w:r w:rsidRPr="00E07B17">
        <w:rPr>
          <w:b/>
          <w:snapToGrid w:val="0"/>
        </w:rPr>
        <w:t>30B,</w:t>
      </w:r>
      <w:r w:rsidRPr="00E07B17">
        <w:rPr>
          <w:snapToGrid w:val="0"/>
        </w:rPr>
        <w:t>when considering the possibility of using earth stations in motion</w:t>
      </w:r>
      <w:r w:rsidR="00E3600D">
        <w:rPr>
          <w:snapToGrid w:val="0"/>
        </w:rPr>
        <w:t xml:space="preserve"> </w:t>
      </w:r>
      <w:r w:rsidRPr="00E07B17">
        <w:rPr>
          <w:snapToGrid w:val="0"/>
        </w:rPr>
        <w:t xml:space="preserve">on aircraft and vessels communicating with GSO space stations in the FSS in the frequency band 12.75-13.25 GHz (Earth-to-space), and such use of the frequency band 12.75-13.25 GHz (Earth-to-space) by the earth stations on aircraft and vessels shall not result in any constraints or changes in the existing allotments/ assignments in the Plan/List and shall not adversely affect the criteria </w:t>
      </w:r>
      <w:r w:rsidRPr="00E07B17">
        <w:rPr>
          <w:snapToGrid w:val="0"/>
          <w:color w:val="000000" w:themeColor="text1"/>
        </w:rPr>
        <w:t xml:space="preserve">in Annex 4, </w:t>
      </w:r>
      <w:r w:rsidRPr="000A7FC0">
        <w:rPr>
          <w:snapToGrid w:val="0"/>
          <w:color w:val="000000" w:themeColor="text1"/>
        </w:rPr>
        <w:t>including cumulative effect of multiple earth stations on aircraft and vessels.</w:t>
      </w:r>
    </w:p>
    <w:p w14:paraId="28D5EA94" w14:textId="77777777" w:rsidR="002A0111" w:rsidRPr="00441526" w:rsidRDefault="00182175" w:rsidP="00E3600D">
      <w:pPr>
        <w:numPr>
          <w:ilvl w:val="0"/>
          <w:numId w:val="30"/>
        </w:numPr>
        <w:jc w:val="both"/>
        <w:rPr>
          <w:lang w:val="en-NZ"/>
        </w:rPr>
      </w:pPr>
      <w:r w:rsidRPr="000A7FC0">
        <w:rPr>
          <w:snapToGrid w:val="0"/>
          <w:color w:val="000000" w:themeColor="text1"/>
        </w:rPr>
        <w:t>The RCC Administrations consider that ESIMs on aircraft and vessels shall operate in the</w:t>
      </w:r>
      <w:r w:rsidRPr="00E07B17">
        <w:rPr>
          <w:snapToGrid w:val="0"/>
        </w:rPr>
        <w:t xml:space="preserve"> frequency band 12.75-13.25 GHz (Earth-to-space) within the envelope of the earth station’s characteristics of the satellite network </w:t>
      </w:r>
      <w:proofErr w:type="gramStart"/>
      <w:r w:rsidRPr="00E07B17">
        <w:rPr>
          <w:snapToGrid w:val="0"/>
        </w:rPr>
        <w:t>and also</w:t>
      </w:r>
      <w:proofErr w:type="gramEnd"/>
      <w:r w:rsidRPr="00E07B17">
        <w:rPr>
          <w:snapToGrid w:val="0"/>
        </w:rPr>
        <w:t xml:space="preserve"> within the agreements reached by administrations under §§</w:t>
      </w:r>
      <w:r w:rsidRPr="00743374">
        <w:t xml:space="preserve">6.5, 6.6 and 6.16 of Article 6, Appendix </w:t>
      </w:r>
      <w:r w:rsidRPr="00E07B17">
        <w:rPr>
          <w:b/>
        </w:rPr>
        <w:t>30B</w:t>
      </w:r>
      <w:r w:rsidRPr="00743374">
        <w:t>.</w:t>
      </w:r>
    </w:p>
    <w:p w14:paraId="3194EC16" w14:textId="77777777" w:rsidR="002A0111" w:rsidRPr="00441526" w:rsidRDefault="002A0111" w:rsidP="002A0111">
      <w:pPr>
        <w:rPr>
          <w:lang w:val="en-NZ"/>
        </w:rPr>
      </w:pPr>
    </w:p>
    <w:p w14:paraId="3931C3F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45368DA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58E513BC" w14:textId="77777777" w:rsidR="002A0111" w:rsidRPr="00441526" w:rsidRDefault="00EC77FE" w:rsidP="002A0111">
      <w:pPr>
        <w:numPr>
          <w:ilvl w:val="0"/>
          <w:numId w:val="18"/>
        </w:numPr>
        <w:ind w:leftChars="145" w:left="708"/>
        <w:rPr>
          <w:lang w:val="en-NZ"/>
        </w:rPr>
      </w:pPr>
      <w:r>
        <w:rPr>
          <w:lang w:val="en-NZ"/>
        </w:rPr>
        <w:t>None.</w:t>
      </w:r>
    </w:p>
    <w:p w14:paraId="67330BDB" w14:textId="77777777" w:rsidR="002A0111" w:rsidRPr="00441526" w:rsidRDefault="002A0111" w:rsidP="002A0111">
      <w:pPr>
        <w:rPr>
          <w:lang w:val="en-NZ"/>
        </w:rPr>
      </w:pPr>
    </w:p>
    <w:p w14:paraId="2C5AB45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t xml:space="preserve">ICAO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/INF-ZZ</w:t>
      </w:r>
    </w:p>
    <w:p w14:paraId="2EC62B87" w14:textId="77777777" w:rsidR="002A0111" w:rsidRPr="00441526" w:rsidRDefault="00EC77FE" w:rsidP="002A0111">
      <w:pPr>
        <w:numPr>
          <w:ilvl w:val="0"/>
          <w:numId w:val="18"/>
        </w:numPr>
        <w:ind w:leftChars="145" w:left="708"/>
        <w:rPr>
          <w:lang w:val="en-NZ"/>
        </w:rPr>
      </w:pPr>
      <w:r>
        <w:rPr>
          <w:lang w:val="en-NZ"/>
        </w:rPr>
        <w:t>None.</w:t>
      </w:r>
    </w:p>
    <w:p w14:paraId="0380A86C" w14:textId="77777777" w:rsidR="002A0111" w:rsidRPr="00441526" w:rsidRDefault="002A0111" w:rsidP="002A0111">
      <w:pPr>
        <w:rPr>
          <w:lang w:val="en-NZ"/>
        </w:rPr>
      </w:pPr>
    </w:p>
    <w:p w14:paraId="79C9EA8F" w14:textId="77777777" w:rsidR="002A0111" w:rsidRPr="00441526" w:rsidRDefault="002A0111" w:rsidP="002A0111">
      <w:pPr>
        <w:jc w:val="both"/>
        <w:rPr>
          <w:lang w:val="en-NZ"/>
        </w:rPr>
      </w:pPr>
    </w:p>
    <w:p w14:paraId="52385A0C" w14:textId="77777777" w:rsidR="002A0111" w:rsidRPr="00441526" w:rsidRDefault="002A0111" w:rsidP="002A0111">
      <w:pPr>
        <w:rPr>
          <w:b/>
          <w:lang w:val="en-NZ"/>
        </w:rPr>
      </w:pPr>
    </w:p>
    <w:p w14:paraId="56E35FFD" w14:textId="77777777" w:rsidR="002A0111" w:rsidRPr="00710333" w:rsidRDefault="002A0111" w:rsidP="002A0111">
      <w:pPr>
        <w:jc w:val="center"/>
        <w:rPr>
          <w:snapToGrid w:val="0"/>
          <w:lang w:val="en-NZ"/>
        </w:rPr>
      </w:pPr>
      <w:r w:rsidRPr="00441526">
        <w:rPr>
          <w:lang w:val="en-NZ"/>
        </w:rPr>
        <w:t>____________</w:t>
      </w:r>
    </w:p>
    <w:p w14:paraId="6BE660BF" w14:textId="77777777" w:rsidR="002A0111" w:rsidRPr="007673CA" w:rsidRDefault="002A0111" w:rsidP="002A0111">
      <w:pPr>
        <w:jc w:val="both"/>
        <w:rPr>
          <w:lang w:val="en-NZ"/>
        </w:rPr>
      </w:pPr>
    </w:p>
    <w:sectPr w:rsidR="002A0111" w:rsidRPr="007673CA"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27DA" w14:textId="77777777" w:rsidR="00395B60" w:rsidRDefault="00395B60">
      <w:r>
        <w:separator/>
      </w:r>
    </w:p>
  </w:endnote>
  <w:endnote w:type="continuationSeparator" w:id="0">
    <w:p w14:paraId="3252A7E0" w14:textId="77777777" w:rsidR="00395B60" w:rsidRDefault="0039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5193" w14:textId="77777777" w:rsidR="0097693B" w:rsidRDefault="0086464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19353F1"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313F" w14:textId="0AAF6CA4"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A83867">
      <w:rPr>
        <w:lang w:eastAsia="ko-KR"/>
      </w:rPr>
      <w:t>OUT</w:t>
    </w:r>
    <w:r>
      <w:rPr>
        <w:lang w:eastAsia="ko-KR"/>
      </w:rPr>
      <w:t>-</w:t>
    </w:r>
    <w:r w:rsidR="005E22CD">
      <w:rPr>
        <w:lang w:eastAsia="ko-KR"/>
      </w:rPr>
      <w:t>2</w:t>
    </w:r>
    <w:r w:rsidR="00A83867">
      <w:rPr>
        <w:lang w:eastAsia="ko-KR"/>
      </w:rPr>
      <w:t>8</w:t>
    </w:r>
    <w:r w:rsidR="00E3600D">
      <w:rPr>
        <w:lang w:eastAsia="ko-KR"/>
      </w:rPr>
      <w:t>(Rev.1)</w:t>
    </w:r>
    <w:r>
      <w:rPr>
        <w:rStyle w:val="PageNumber"/>
      </w:rPr>
      <w:tab/>
    </w:r>
    <w:r w:rsidR="002C7EA9" w:rsidRPr="002C7EA9">
      <w:rPr>
        <w:rStyle w:val="PageNumber"/>
      </w:rPr>
      <w:t xml:space="preserve">Page </w:t>
    </w:r>
    <w:r w:rsidR="00864643" w:rsidRPr="002C7EA9">
      <w:rPr>
        <w:rStyle w:val="PageNumber"/>
      </w:rPr>
      <w:fldChar w:fldCharType="begin"/>
    </w:r>
    <w:r w:rsidR="002C7EA9" w:rsidRPr="002C7EA9">
      <w:rPr>
        <w:rStyle w:val="PageNumber"/>
      </w:rPr>
      <w:instrText xml:space="preserve"> PAGE </w:instrText>
    </w:r>
    <w:r w:rsidR="00864643" w:rsidRPr="002C7EA9">
      <w:rPr>
        <w:rStyle w:val="PageNumber"/>
      </w:rPr>
      <w:fldChar w:fldCharType="separate"/>
    </w:r>
    <w:r w:rsidR="00A20F72">
      <w:rPr>
        <w:rStyle w:val="PageNumber"/>
        <w:noProof/>
      </w:rPr>
      <w:t>2</w:t>
    </w:r>
    <w:r w:rsidR="00864643" w:rsidRPr="002C7EA9">
      <w:rPr>
        <w:rStyle w:val="PageNumber"/>
      </w:rPr>
      <w:fldChar w:fldCharType="end"/>
    </w:r>
    <w:r w:rsidR="002C7EA9" w:rsidRPr="002C7EA9">
      <w:rPr>
        <w:rStyle w:val="PageNumber"/>
      </w:rPr>
      <w:t xml:space="preserve"> of </w:t>
    </w:r>
    <w:r w:rsidR="00864643" w:rsidRPr="002C7EA9">
      <w:rPr>
        <w:rStyle w:val="PageNumber"/>
      </w:rPr>
      <w:fldChar w:fldCharType="begin"/>
    </w:r>
    <w:r w:rsidR="002C7EA9" w:rsidRPr="002C7EA9">
      <w:rPr>
        <w:rStyle w:val="PageNumber"/>
      </w:rPr>
      <w:instrText xml:space="preserve"> NUMPAGES </w:instrText>
    </w:r>
    <w:r w:rsidR="00864643" w:rsidRPr="002C7EA9">
      <w:rPr>
        <w:rStyle w:val="PageNumber"/>
      </w:rPr>
      <w:fldChar w:fldCharType="separate"/>
    </w:r>
    <w:r w:rsidR="00A20F72">
      <w:rPr>
        <w:rStyle w:val="PageNumber"/>
        <w:noProof/>
      </w:rPr>
      <w:t>5</w:t>
    </w:r>
    <w:r w:rsidR="00864643"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257DD9C1" w14:textId="77777777" w:rsidTr="00BB0EA4">
      <w:trPr>
        <w:trHeight w:val="432"/>
      </w:trPr>
      <w:tc>
        <w:tcPr>
          <w:tcW w:w="1296" w:type="dxa"/>
          <w:tcBorders>
            <w:top w:val="single" w:sz="8" w:space="0" w:color="auto"/>
            <w:bottom w:val="nil"/>
            <w:right w:val="nil"/>
          </w:tcBorders>
        </w:tcPr>
        <w:p w14:paraId="556A9F19"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66668BB" w14:textId="77777777" w:rsidR="0092727B" w:rsidRDefault="00613AF5" w:rsidP="0092727B">
          <w:pPr>
            <w:pStyle w:val="Footer"/>
            <w:tabs>
              <w:tab w:val="clear" w:pos="4320"/>
              <w:tab w:val="clear" w:pos="8640"/>
            </w:tabs>
          </w:pPr>
          <w:r>
            <w:t>Mr. Phung Nguyen Phuong</w:t>
          </w:r>
        </w:p>
        <w:p w14:paraId="51CCC84A" w14:textId="77777777" w:rsidR="002A0111" w:rsidRPr="002A0111" w:rsidRDefault="002A0111" w:rsidP="00613AF5">
          <w:pPr>
            <w:pStyle w:val="Footer"/>
            <w:tabs>
              <w:tab w:val="clear" w:pos="4320"/>
              <w:tab w:val="clear" w:pos="8640"/>
            </w:tabs>
          </w:pPr>
          <w:r>
            <w:t>Chairman, DG AI1.</w:t>
          </w:r>
          <w:r w:rsidR="00613AF5">
            <w:t>5</w:t>
          </w:r>
          <w:r>
            <w:t xml:space="preserve">/WP </w:t>
          </w:r>
          <w:r w:rsidR="00613AF5">
            <w:t>4</w:t>
          </w:r>
        </w:p>
      </w:tc>
      <w:tc>
        <w:tcPr>
          <w:tcW w:w="2880" w:type="dxa"/>
          <w:tcBorders>
            <w:top w:val="single" w:sz="8" w:space="0" w:color="auto"/>
            <w:left w:val="nil"/>
            <w:bottom w:val="nil"/>
          </w:tcBorders>
        </w:tcPr>
        <w:p w14:paraId="382CB08D" w14:textId="77777777" w:rsidR="0092727B" w:rsidRPr="0092727B" w:rsidRDefault="0092727B" w:rsidP="0092727B">
          <w:pPr>
            <w:pStyle w:val="Footer"/>
            <w:tabs>
              <w:tab w:val="clear" w:pos="4320"/>
              <w:tab w:val="clear" w:pos="8640"/>
            </w:tabs>
          </w:pPr>
          <w:r>
            <w:t>E-mail:</w:t>
          </w:r>
          <w:r w:rsidR="00613AF5">
            <w:t xml:space="preserve"> </w:t>
          </w:r>
          <w:hyperlink r:id="rId1" w:history="1">
            <w:r w:rsidR="00613AF5" w:rsidRPr="00AB34BA">
              <w:rPr>
                <w:rStyle w:val="Hyperlink"/>
              </w:rPr>
              <w:t>Phuongpn@rfd.gov.vn</w:t>
            </w:r>
          </w:hyperlink>
        </w:p>
      </w:tc>
    </w:tr>
  </w:tbl>
  <w:p w14:paraId="6817945B"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472" w14:textId="77777777" w:rsidR="00395B60" w:rsidRDefault="00395B60">
      <w:r>
        <w:separator/>
      </w:r>
    </w:p>
  </w:footnote>
  <w:footnote w:type="continuationSeparator" w:id="0">
    <w:p w14:paraId="10051C92" w14:textId="77777777" w:rsidR="00395B60" w:rsidRDefault="0039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25DF" w14:textId="77777777" w:rsidR="0097693B" w:rsidRDefault="0097693B" w:rsidP="0092727B">
    <w:pPr>
      <w:pStyle w:val="Header"/>
      <w:tabs>
        <w:tab w:val="clear" w:pos="4320"/>
        <w:tab w:val="clear" w:pos="8640"/>
      </w:tabs>
      <w:rPr>
        <w:lang w:eastAsia="ko-KR"/>
      </w:rPr>
    </w:pPr>
  </w:p>
  <w:p w14:paraId="2CB0A24C"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4D81"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B51A9D"/>
    <w:multiLevelType w:val="hybridMultilevel"/>
    <w:tmpl w:val="6D0E4E0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106BC"/>
    <w:multiLevelType w:val="hybridMultilevel"/>
    <w:tmpl w:val="8D580D2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72550"/>
    <w:multiLevelType w:val="hybridMultilevel"/>
    <w:tmpl w:val="2F400E4E"/>
    <w:lvl w:ilvl="0" w:tplc="3F867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707164C"/>
    <w:multiLevelType w:val="hybridMultilevel"/>
    <w:tmpl w:val="6C96194A"/>
    <w:lvl w:ilvl="0" w:tplc="A66E32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92D30"/>
    <w:multiLevelType w:val="hybridMultilevel"/>
    <w:tmpl w:val="6CE0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A15B6"/>
    <w:multiLevelType w:val="hybridMultilevel"/>
    <w:tmpl w:val="38AC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9"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9"/>
  </w:num>
  <w:num w:numId="3">
    <w:abstractNumId w:val="8"/>
  </w:num>
  <w:num w:numId="4">
    <w:abstractNumId w:val="24"/>
  </w:num>
  <w:num w:numId="5">
    <w:abstractNumId w:val="12"/>
  </w:num>
  <w:num w:numId="6">
    <w:abstractNumId w:val="15"/>
  </w:num>
  <w:num w:numId="7">
    <w:abstractNumId w:val="6"/>
  </w:num>
  <w:num w:numId="8">
    <w:abstractNumId w:val="1"/>
  </w:num>
  <w:num w:numId="9">
    <w:abstractNumId w:val="28"/>
  </w:num>
  <w:num w:numId="10">
    <w:abstractNumId w:val="21"/>
  </w:num>
  <w:num w:numId="1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9"/>
  </w:num>
  <w:num w:numId="17">
    <w:abstractNumId w:val="20"/>
  </w:num>
  <w:num w:numId="18">
    <w:abstractNumId w:val="16"/>
  </w:num>
  <w:num w:numId="19">
    <w:abstractNumId w:val="26"/>
  </w:num>
  <w:num w:numId="20">
    <w:abstractNumId w:val="11"/>
  </w:num>
  <w:num w:numId="21">
    <w:abstractNumId w:val="25"/>
  </w:num>
  <w:num w:numId="22">
    <w:abstractNumId w:val="30"/>
  </w:num>
  <w:num w:numId="23">
    <w:abstractNumId w:val="23"/>
  </w:num>
  <w:num w:numId="24">
    <w:abstractNumId w:val="3"/>
  </w:num>
  <w:num w:numId="25">
    <w:abstractNumId w:val="19"/>
  </w:num>
  <w:num w:numId="26">
    <w:abstractNumId w:val="2"/>
  </w:num>
  <w:num w:numId="27">
    <w:abstractNumId w:val="27"/>
  </w:num>
  <w:num w:numId="28">
    <w:abstractNumId w:val="17"/>
  </w:num>
  <w:num w:numId="29">
    <w:abstractNumId w:val="13"/>
  </w:num>
  <w:num w:numId="30">
    <w:abstractNumId w:val="4"/>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3"/>
    <w:rsid w:val="000060DF"/>
    <w:rsid w:val="00010C8E"/>
    <w:rsid w:val="0003595B"/>
    <w:rsid w:val="00036517"/>
    <w:rsid w:val="00036CC9"/>
    <w:rsid w:val="00040149"/>
    <w:rsid w:val="0004786B"/>
    <w:rsid w:val="00070642"/>
    <w:rsid w:val="000713CF"/>
    <w:rsid w:val="00075C14"/>
    <w:rsid w:val="000822B5"/>
    <w:rsid w:val="00094B87"/>
    <w:rsid w:val="000A012B"/>
    <w:rsid w:val="000A39ED"/>
    <w:rsid w:val="000A5418"/>
    <w:rsid w:val="000B4A77"/>
    <w:rsid w:val="000D47FB"/>
    <w:rsid w:val="000F345F"/>
    <w:rsid w:val="000F517C"/>
    <w:rsid w:val="000F5540"/>
    <w:rsid w:val="00102869"/>
    <w:rsid w:val="00105F1A"/>
    <w:rsid w:val="00125FBD"/>
    <w:rsid w:val="001409B2"/>
    <w:rsid w:val="00152636"/>
    <w:rsid w:val="001539DD"/>
    <w:rsid w:val="00156782"/>
    <w:rsid w:val="00165F01"/>
    <w:rsid w:val="001731F4"/>
    <w:rsid w:val="00180EE7"/>
    <w:rsid w:val="00182175"/>
    <w:rsid w:val="001916F2"/>
    <w:rsid w:val="001930A7"/>
    <w:rsid w:val="00196568"/>
    <w:rsid w:val="00197C18"/>
    <w:rsid w:val="001A2F16"/>
    <w:rsid w:val="001A6CCB"/>
    <w:rsid w:val="001B1804"/>
    <w:rsid w:val="001B18C2"/>
    <w:rsid w:val="001C443F"/>
    <w:rsid w:val="001C61A5"/>
    <w:rsid w:val="001C6707"/>
    <w:rsid w:val="001D52AA"/>
    <w:rsid w:val="001D5D7E"/>
    <w:rsid w:val="001F5947"/>
    <w:rsid w:val="00202410"/>
    <w:rsid w:val="00202D6F"/>
    <w:rsid w:val="00214A0C"/>
    <w:rsid w:val="0021588B"/>
    <w:rsid w:val="002161B6"/>
    <w:rsid w:val="00217304"/>
    <w:rsid w:val="002216AC"/>
    <w:rsid w:val="0023212E"/>
    <w:rsid w:val="002475E2"/>
    <w:rsid w:val="002506D2"/>
    <w:rsid w:val="00250DE2"/>
    <w:rsid w:val="00254A1B"/>
    <w:rsid w:val="0026064A"/>
    <w:rsid w:val="00264566"/>
    <w:rsid w:val="00283438"/>
    <w:rsid w:val="0028454D"/>
    <w:rsid w:val="00291C9E"/>
    <w:rsid w:val="002926D4"/>
    <w:rsid w:val="0029734E"/>
    <w:rsid w:val="002A0111"/>
    <w:rsid w:val="002A3CF5"/>
    <w:rsid w:val="002B06A3"/>
    <w:rsid w:val="002B435C"/>
    <w:rsid w:val="002B447F"/>
    <w:rsid w:val="002C07DA"/>
    <w:rsid w:val="002C2A49"/>
    <w:rsid w:val="002C7EA9"/>
    <w:rsid w:val="002F3F2D"/>
    <w:rsid w:val="002F575D"/>
    <w:rsid w:val="003113D7"/>
    <w:rsid w:val="00311E8A"/>
    <w:rsid w:val="00332B5A"/>
    <w:rsid w:val="00342F20"/>
    <w:rsid w:val="00360377"/>
    <w:rsid w:val="00366548"/>
    <w:rsid w:val="00372906"/>
    <w:rsid w:val="0038005B"/>
    <w:rsid w:val="003809C7"/>
    <w:rsid w:val="0038236C"/>
    <w:rsid w:val="00386C66"/>
    <w:rsid w:val="00393DCD"/>
    <w:rsid w:val="00395B40"/>
    <w:rsid w:val="00395B60"/>
    <w:rsid w:val="003A2006"/>
    <w:rsid w:val="003A6568"/>
    <w:rsid w:val="003B4FD1"/>
    <w:rsid w:val="003B6263"/>
    <w:rsid w:val="003B7E48"/>
    <w:rsid w:val="003C29E6"/>
    <w:rsid w:val="003C64A7"/>
    <w:rsid w:val="003D1128"/>
    <w:rsid w:val="003D1671"/>
    <w:rsid w:val="003D3D47"/>
    <w:rsid w:val="003D3FDA"/>
    <w:rsid w:val="003D6D00"/>
    <w:rsid w:val="003E166F"/>
    <w:rsid w:val="003F307E"/>
    <w:rsid w:val="003F454D"/>
    <w:rsid w:val="003F4D8B"/>
    <w:rsid w:val="004001E5"/>
    <w:rsid w:val="0041313C"/>
    <w:rsid w:val="00420822"/>
    <w:rsid w:val="00420C74"/>
    <w:rsid w:val="00441526"/>
    <w:rsid w:val="004465AA"/>
    <w:rsid w:val="00446A5E"/>
    <w:rsid w:val="0045458F"/>
    <w:rsid w:val="004633B4"/>
    <w:rsid w:val="004724BB"/>
    <w:rsid w:val="0048160F"/>
    <w:rsid w:val="00495CED"/>
    <w:rsid w:val="004A2F96"/>
    <w:rsid w:val="004A4BDF"/>
    <w:rsid w:val="004B3553"/>
    <w:rsid w:val="004B3F4B"/>
    <w:rsid w:val="004C1E58"/>
    <w:rsid w:val="004E1FCA"/>
    <w:rsid w:val="004E47D6"/>
    <w:rsid w:val="004F29F4"/>
    <w:rsid w:val="00502317"/>
    <w:rsid w:val="00503189"/>
    <w:rsid w:val="00516BD1"/>
    <w:rsid w:val="005206E9"/>
    <w:rsid w:val="00521D2B"/>
    <w:rsid w:val="00526C7E"/>
    <w:rsid w:val="00526D01"/>
    <w:rsid w:val="00530E8C"/>
    <w:rsid w:val="00535D34"/>
    <w:rsid w:val="00545933"/>
    <w:rsid w:val="00552105"/>
    <w:rsid w:val="00552D62"/>
    <w:rsid w:val="005562F2"/>
    <w:rsid w:val="00557544"/>
    <w:rsid w:val="00565BBB"/>
    <w:rsid w:val="00571B26"/>
    <w:rsid w:val="00573ACA"/>
    <w:rsid w:val="00585F3C"/>
    <w:rsid w:val="00586CA0"/>
    <w:rsid w:val="00587875"/>
    <w:rsid w:val="005A63EB"/>
    <w:rsid w:val="005B0876"/>
    <w:rsid w:val="005B3EA3"/>
    <w:rsid w:val="005C33B6"/>
    <w:rsid w:val="005D6202"/>
    <w:rsid w:val="005D6E98"/>
    <w:rsid w:val="005E22CD"/>
    <w:rsid w:val="005F0915"/>
    <w:rsid w:val="00607E2B"/>
    <w:rsid w:val="006139D6"/>
    <w:rsid w:val="00613AF5"/>
    <w:rsid w:val="00616D1B"/>
    <w:rsid w:val="00623CE1"/>
    <w:rsid w:val="00627880"/>
    <w:rsid w:val="0063062B"/>
    <w:rsid w:val="00634A82"/>
    <w:rsid w:val="00637351"/>
    <w:rsid w:val="006419AA"/>
    <w:rsid w:val="00646166"/>
    <w:rsid w:val="00646545"/>
    <w:rsid w:val="00652BDD"/>
    <w:rsid w:val="00654896"/>
    <w:rsid w:val="006565E2"/>
    <w:rsid w:val="006621F0"/>
    <w:rsid w:val="006647BA"/>
    <w:rsid w:val="00667229"/>
    <w:rsid w:val="00682BE5"/>
    <w:rsid w:val="00683846"/>
    <w:rsid w:val="00690FED"/>
    <w:rsid w:val="006939A5"/>
    <w:rsid w:val="006B09DB"/>
    <w:rsid w:val="006D5223"/>
    <w:rsid w:val="006D5970"/>
    <w:rsid w:val="006E12FC"/>
    <w:rsid w:val="006F0F24"/>
    <w:rsid w:val="006F2B2E"/>
    <w:rsid w:val="006F6A5C"/>
    <w:rsid w:val="00702442"/>
    <w:rsid w:val="00703F6F"/>
    <w:rsid w:val="007052B3"/>
    <w:rsid w:val="00705962"/>
    <w:rsid w:val="00707C21"/>
    <w:rsid w:val="00712451"/>
    <w:rsid w:val="00717DE9"/>
    <w:rsid w:val="0072518B"/>
    <w:rsid w:val="007302FF"/>
    <w:rsid w:val="00731041"/>
    <w:rsid w:val="007329E4"/>
    <w:rsid w:val="00732F08"/>
    <w:rsid w:val="007342F0"/>
    <w:rsid w:val="0074190C"/>
    <w:rsid w:val="0075493D"/>
    <w:rsid w:val="00762576"/>
    <w:rsid w:val="007673CA"/>
    <w:rsid w:val="00791060"/>
    <w:rsid w:val="007926EA"/>
    <w:rsid w:val="007953FA"/>
    <w:rsid w:val="007B5626"/>
    <w:rsid w:val="007B6124"/>
    <w:rsid w:val="007D3C53"/>
    <w:rsid w:val="007D6D0A"/>
    <w:rsid w:val="007E3A0F"/>
    <w:rsid w:val="007F0AE6"/>
    <w:rsid w:val="007F2628"/>
    <w:rsid w:val="007F2FBA"/>
    <w:rsid w:val="00800C3A"/>
    <w:rsid w:val="0080570B"/>
    <w:rsid w:val="008148E1"/>
    <w:rsid w:val="00822B33"/>
    <w:rsid w:val="00825CC5"/>
    <w:rsid w:val="008319BF"/>
    <w:rsid w:val="008323AE"/>
    <w:rsid w:val="008415F0"/>
    <w:rsid w:val="008433C2"/>
    <w:rsid w:val="00844457"/>
    <w:rsid w:val="008454C8"/>
    <w:rsid w:val="0084627E"/>
    <w:rsid w:val="00851D78"/>
    <w:rsid w:val="00864643"/>
    <w:rsid w:val="0087122A"/>
    <w:rsid w:val="008A016F"/>
    <w:rsid w:val="008A1A0D"/>
    <w:rsid w:val="008A72E1"/>
    <w:rsid w:val="008A76ED"/>
    <w:rsid w:val="008B3C72"/>
    <w:rsid w:val="008C5FED"/>
    <w:rsid w:val="008D0E09"/>
    <w:rsid w:val="008D6D8C"/>
    <w:rsid w:val="00903007"/>
    <w:rsid w:val="00923816"/>
    <w:rsid w:val="0092727B"/>
    <w:rsid w:val="0093074B"/>
    <w:rsid w:val="00930E64"/>
    <w:rsid w:val="00943CF9"/>
    <w:rsid w:val="00956F8C"/>
    <w:rsid w:val="00961D57"/>
    <w:rsid w:val="00976716"/>
    <w:rsid w:val="0097693B"/>
    <w:rsid w:val="009857EF"/>
    <w:rsid w:val="00993355"/>
    <w:rsid w:val="009963F7"/>
    <w:rsid w:val="009A11CB"/>
    <w:rsid w:val="009A4A6D"/>
    <w:rsid w:val="009B44DD"/>
    <w:rsid w:val="009B7E42"/>
    <w:rsid w:val="009C7235"/>
    <w:rsid w:val="009D46CE"/>
    <w:rsid w:val="009D4ADA"/>
    <w:rsid w:val="009E13DD"/>
    <w:rsid w:val="009E31F6"/>
    <w:rsid w:val="009F0CC7"/>
    <w:rsid w:val="009F547A"/>
    <w:rsid w:val="00A03D78"/>
    <w:rsid w:val="00A0503B"/>
    <w:rsid w:val="00A059CD"/>
    <w:rsid w:val="00A13265"/>
    <w:rsid w:val="00A14900"/>
    <w:rsid w:val="00A20F72"/>
    <w:rsid w:val="00A2159F"/>
    <w:rsid w:val="00A23C16"/>
    <w:rsid w:val="00A25DC0"/>
    <w:rsid w:val="00A313DD"/>
    <w:rsid w:val="00A324FF"/>
    <w:rsid w:val="00A438C5"/>
    <w:rsid w:val="00A529BC"/>
    <w:rsid w:val="00A5346C"/>
    <w:rsid w:val="00A53F51"/>
    <w:rsid w:val="00A562F0"/>
    <w:rsid w:val="00A564FB"/>
    <w:rsid w:val="00A614C1"/>
    <w:rsid w:val="00A61EA6"/>
    <w:rsid w:val="00A657BF"/>
    <w:rsid w:val="00A71136"/>
    <w:rsid w:val="00A83867"/>
    <w:rsid w:val="00A90AD3"/>
    <w:rsid w:val="00A92578"/>
    <w:rsid w:val="00AA474C"/>
    <w:rsid w:val="00AC35EF"/>
    <w:rsid w:val="00AC4D5B"/>
    <w:rsid w:val="00AD1DDB"/>
    <w:rsid w:val="00AD2697"/>
    <w:rsid w:val="00AD5C77"/>
    <w:rsid w:val="00AD7E5F"/>
    <w:rsid w:val="00AE3066"/>
    <w:rsid w:val="00AE6396"/>
    <w:rsid w:val="00AF0331"/>
    <w:rsid w:val="00AF68E4"/>
    <w:rsid w:val="00B00A87"/>
    <w:rsid w:val="00B01AA1"/>
    <w:rsid w:val="00B0424C"/>
    <w:rsid w:val="00B06025"/>
    <w:rsid w:val="00B26377"/>
    <w:rsid w:val="00B30C81"/>
    <w:rsid w:val="00B30DA1"/>
    <w:rsid w:val="00B46E58"/>
    <w:rsid w:val="00B4793B"/>
    <w:rsid w:val="00B56099"/>
    <w:rsid w:val="00B64A60"/>
    <w:rsid w:val="00B661AC"/>
    <w:rsid w:val="00B8468D"/>
    <w:rsid w:val="00B92C1D"/>
    <w:rsid w:val="00B937D7"/>
    <w:rsid w:val="00B96B67"/>
    <w:rsid w:val="00BB0EA4"/>
    <w:rsid w:val="00BB34BF"/>
    <w:rsid w:val="00BC57EF"/>
    <w:rsid w:val="00BC69DB"/>
    <w:rsid w:val="00BE6B6B"/>
    <w:rsid w:val="00BF25F9"/>
    <w:rsid w:val="00C00B04"/>
    <w:rsid w:val="00C01425"/>
    <w:rsid w:val="00C0351B"/>
    <w:rsid w:val="00C0569B"/>
    <w:rsid w:val="00C13FD5"/>
    <w:rsid w:val="00C15633"/>
    <w:rsid w:val="00C15799"/>
    <w:rsid w:val="00C32E84"/>
    <w:rsid w:val="00C35415"/>
    <w:rsid w:val="00C357AD"/>
    <w:rsid w:val="00C516C7"/>
    <w:rsid w:val="00C51C5F"/>
    <w:rsid w:val="00C554CC"/>
    <w:rsid w:val="00C6069C"/>
    <w:rsid w:val="00C60F50"/>
    <w:rsid w:val="00C62E1A"/>
    <w:rsid w:val="00C70477"/>
    <w:rsid w:val="00C72AD4"/>
    <w:rsid w:val="00C74745"/>
    <w:rsid w:val="00C85119"/>
    <w:rsid w:val="00C95C48"/>
    <w:rsid w:val="00CA41E7"/>
    <w:rsid w:val="00CA7DFE"/>
    <w:rsid w:val="00CC3837"/>
    <w:rsid w:val="00CD170C"/>
    <w:rsid w:val="00CD320B"/>
    <w:rsid w:val="00CD3F37"/>
    <w:rsid w:val="00CD5431"/>
    <w:rsid w:val="00CE4B93"/>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DF2FBB"/>
    <w:rsid w:val="00E0124F"/>
    <w:rsid w:val="00E30D14"/>
    <w:rsid w:val="00E34D9F"/>
    <w:rsid w:val="00E3600D"/>
    <w:rsid w:val="00E42CA3"/>
    <w:rsid w:val="00E46E84"/>
    <w:rsid w:val="00E56CCB"/>
    <w:rsid w:val="00E5762A"/>
    <w:rsid w:val="00E62C97"/>
    <w:rsid w:val="00E630B8"/>
    <w:rsid w:val="00E674D3"/>
    <w:rsid w:val="00E70FD0"/>
    <w:rsid w:val="00E72B2C"/>
    <w:rsid w:val="00E7309D"/>
    <w:rsid w:val="00E77C4B"/>
    <w:rsid w:val="00E83913"/>
    <w:rsid w:val="00E9301F"/>
    <w:rsid w:val="00E9690A"/>
    <w:rsid w:val="00E97DC7"/>
    <w:rsid w:val="00EC0B68"/>
    <w:rsid w:val="00EC12CD"/>
    <w:rsid w:val="00EC77FE"/>
    <w:rsid w:val="00EE3065"/>
    <w:rsid w:val="00EF571B"/>
    <w:rsid w:val="00F000EF"/>
    <w:rsid w:val="00F2504E"/>
    <w:rsid w:val="00F2585B"/>
    <w:rsid w:val="00F32858"/>
    <w:rsid w:val="00F4053F"/>
    <w:rsid w:val="00F516E7"/>
    <w:rsid w:val="00F57BF7"/>
    <w:rsid w:val="00F6263E"/>
    <w:rsid w:val="00F627C2"/>
    <w:rsid w:val="00F736FD"/>
    <w:rsid w:val="00F84067"/>
    <w:rsid w:val="00F8575E"/>
    <w:rsid w:val="00FA50B4"/>
    <w:rsid w:val="00FB6E83"/>
    <w:rsid w:val="00FC156A"/>
    <w:rsid w:val="00FD6235"/>
    <w:rsid w:val="00FE13D1"/>
    <w:rsid w:val="00FE3DE5"/>
    <w:rsid w:val="00FF1E3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D361"/>
  <w15:docId w15:val="{4AC76DAF-FBB4-4309-873A-24BF1E1F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2F3F2D"/>
    <w:rPr>
      <w:rFonts w:eastAsia="BatangChe"/>
      <w:sz w:val="24"/>
      <w:szCs w:val="24"/>
    </w:rPr>
  </w:style>
  <w:style w:type="character" w:customStyle="1" w:styleId="Appref">
    <w:name w:val="App_ref"/>
    <w:basedOn w:val="DefaultParagraphFont"/>
    <w:rsid w:val="002F3F2D"/>
  </w:style>
  <w:style w:type="paragraph" w:customStyle="1" w:styleId="Default">
    <w:name w:val="Default"/>
    <w:rsid w:val="00B46E5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uongp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A03A-393D-4E76-8AAA-EBF959B0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1864</Words>
  <Characters>10628</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2021-04-18T10:37:00Z</cp:lastPrinted>
  <dcterms:created xsi:type="dcterms:W3CDTF">2021-04-23T08:35:00Z</dcterms:created>
  <dcterms:modified xsi:type="dcterms:W3CDTF">2021-04-27T03:02:00Z</dcterms:modified>
</cp:coreProperties>
</file>