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FC22EA" w:rsidRPr="00674C4D" w14:paraId="235FCD70" w14:textId="77777777" w:rsidTr="002B0949">
        <w:trPr>
          <w:cantSplit/>
          <w:trHeight w:val="288"/>
        </w:trPr>
        <w:tc>
          <w:tcPr>
            <w:tcW w:w="1399" w:type="dxa"/>
            <w:vMerge w:val="restart"/>
          </w:tcPr>
          <w:p w14:paraId="44502534" w14:textId="77777777" w:rsidR="00FC22EA" w:rsidRPr="00674C4D" w:rsidRDefault="00FC22EA" w:rsidP="002B0949">
            <w:pPr>
              <w:pStyle w:val="Note"/>
              <w:widowControl w:val="0"/>
              <w:tabs>
                <w:tab w:val="clear" w:pos="284"/>
                <w:tab w:val="clear" w:pos="1134"/>
                <w:tab w:val="clear" w:pos="1871"/>
                <w:tab w:val="clear" w:pos="2268"/>
              </w:tabs>
              <w:wordWrap w:val="0"/>
              <w:spacing w:before="0"/>
              <w:rPr>
                <w:noProof w:val="0"/>
                <w:kern w:val="2"/>
                <w:sz w:val="24"/>
                <w:szCs w:val="24"/>
              </w:rPr>
            </w:pPr>
            <w:r w:rsidRPr="00674C4D">
              <w:rPr>
                <w:kern w:val="2"/>
                <w:sz w:val="24"/>
                <w:szCs w:val="24"/>
                <w:lang w:eastAsia="zh-CN"/>
              </w:rPr>
              <w:drawing>
                <wp:inline distT="0" distB="0" distL="0" distR="0" wp14:anchorId="1DCC9F50" wp14:editId="4E08751D">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51B018A7" w14:textId="77777777" w:rsidR="00FC22EA" w:rsidRPr="00674C4D" w:rsidRDefault="00FC22EA" w:rsidP="002B0949">
            <w:r w:rsidRPr="00674C4D">
              <w:t>ASIA-PACIFIC TELECOMMUNITY</w:t>
            </w:r>
          </w:p>
        </w:tc>
        <w:tc>
          <w:tcPr>
            <w:tcW w:w="2160" w:type="dxa"/>
          </w:tcPr>
          <w:p w14:paraId="6BAE938F" w14:textId="77777777" w:rsidR="00FC22EA" w:rsidRPr="00674C4D" w:rsidRDefault="00FC22EA" w:rsidP="002B0949">
            <w:pPr>
              <w:rPr>
                <w:b/>
                <w:sz w:val="22"/>
                <w:szCs w:val="22"/>
              </w:rPr>
            </w:pPr>
            <w:r w:rsidRPr="00674C4D">
              <w:rPr>
                <w:b/>
              </w:rPr>
              <w:t>Document No:</w:t>
            </w:r>
          </w:p>
        </w:tc>
      </w:tr>
      <w:tr w:rsidR="00FC22EA" w:rsidRPr="00674C4D" w14:paraId="49483925" w14:textId="77777777" w:rsidTr="002B0949">
        <w:trPr>
          <w:cantSplit/>
          <w:trHeight w:val="504"/>
        </w:trPr>
        <w:tc>
          <w:tcPr>
            <w:tcW w:w="1399" w:type="dxa"/>
            <w:vMerge/>
          </w:tcPr>
          <w:p w14:paraId="2D58F829" w14:textId="77777777" w:rsidR="00FC22EA" w:rsidRPr="00674C4D" w:rsidRDefault="00FC22EA" w:rsidP="002B0949"/>
        </w:tc>
        <w:tc>
          <w:tcPr>
            <w:tcW w:w="5760" w:type="dxa"/>
          </w:tcPr>
          <w:p w14:paraId="493518C2" w14:textId="77777777" w:rsidR="00FC22EA" w:rsidRPr="00674C4D" w:rsidRDefault="00FC22EA" w:rsidP="002B0949">
            <w:pPr>
              <w:spacing w:line="0" w:lineRule="atLeast"/>
              <w:rPr>
                <w:b/>
              </w:rPr>
            </w:pPr>
            <w:r w:rsidRPr="00674C4D">
              <w:rPr>
                <w:b/>
              </w:rPr>
              <w:t>The 2nd Meeting of the APT Conference Preparatory</w:t>
            </w:r>
          </w:p>
          <w:p w14:paraId="1503987B" w14:textId="77777777" w:rsidR="00FC22EA" w:rsidRPr="00674C4D" w:rsidRDefault="00FC22EA" w:rsidP="002B0949">
            <w:pPr>
              <w:spacing w:line="0" w:lineRule="atLeast"/>
            </w:pPr>
            <w:r w:rsidRPr="00674C4D">
              <w:rPr>
                <w:b/>
              </w:rPr>
              <w:t>Group for WRC-23 (APG23-2)</w:t>
            </w:r>
          </w:p>
        </w:tc>
        <w:tc>
          <w:tcPr>
            <w:tcW w:w="2160" w:type="dxa"/>
          </w:tcPr>
          <w:p w14:paraId="45FD5D88" w14:textId="67EB8847" w:rsidR="00FC22EA" w:rsidRPr="00E20972" w:rsidRDefault="00FC22EA" w:rsidP="002B0949">
            <w:pPr>
              <w:rPr>
                <w:rFonts w:cstheme="minorBidi"/>
                <w:b/>
                <w:bCs/>
                <w:szCs w:val="30"/>
                <w:cs/>
                <w:lang w:val="fr-FR" w:bidi="th-TH"/>
              </w:rPr>
            </w:pPr>
            <w:r w:rsidRPr="00674C4D">
              <w:rPr>
                <w:b/>
                <w:bCs/>
                <w:lang w:val="fr-FR"/>
              </w:rPr>
              <w:t>APG23-2/</w:t>
            </w:r>
            <w:r w:rsidR="00590CF6">
              <w:rPr>
                <w:b/>
                <w:bCs/>
                <w:lang w:val="fr-FR"/>
              </w:rPr>
              <w:t>OUT</w:t>
            </w:r>
            <w:r w:rsidRPr="00674C4D">
              <w:rPr>
                <w:b/>
                <w:bCs/>
                <w:lang w:val="fr-FR"/>
              </w:rPr>
              <w:t>-</w:t>
            </w:r>
            <w:r w:rsidR="00F5464A">
              <w:rPr>
                <w:rFonts w:cstheme="minorBidi"/>
                <w:b/>
                <w:bCs/>
                <w:szCs w:val="30"/>
                <w:lang w:bidi="th-TH"/>
              </w:rPr>
              <w:t>31</w:t>
            </w:r>
          </w:p>
          <w:p w14:paraId="23FA02C0" w14:textId="77777777" w:rsidR="00FC22EA" w:rsidRPr="00674C4D" w:rsidRDefault="00FC22EA" w:rsidP="002B0949">
            <w:pPr>
              <w:spacing w:line="0" w:lineRule="atLeast"/>
              <w:rPr>
                <w:b/>
              </w:rPr>
            </w:pPr>
          </w:p>
        </w:tc>
      </w:tr>
      <w:tr w:rsidR="00FC22EA" w:rsidRPr="00674C4D" w14:paraId="00C4ED34" w14:textId="77777777" w:rsidTr="002B0949">
        <w:trPr>
          <w:cantSplit/>
          <w:trHeight w:val="288"/>
        </w:trPr>
        <w:tc>
          <w:tcPr>
            <w:tcW w:w="1399" w:type="dxa"/>
            <w:vMerge/>
          </w:tcPr>
          <w:p w14:paraId="72C51F86" w14:textId="77777777" w:rsidR="00FC22EA" w:rsidRPr="00674C4D" w:rsidRDefault="00FC22EA" w:rsidP="002B0949">
            <w:pPr>
              <w:rPr>
                <w:lang w:val="en-GB"/>
              </w:rPr>
            </w:pPr>
          </w:p>
        </w:tc>
        <w:tc>
          <w:tcPr>
            <w:tcW w:w="5760" w:type="dxa"/>
            <w:vAlign w:val="bottom"/>
          </w:tcPr>
          <w:p w14:paraId="0F5744C7" w14:textId="77777777" w:rsidR="00FC22EA" w:rsidRPr="00674C4D" w:rsidRDefault="00FC22EA" w:rsidP="002B0949">
            <w:pPr>
              <w:rPr>
                <w:bCs/>
              </w:rPr>
            </w:pPr>
            <w:r w:rsidRPr="00674C4D">
              <w:t xml:space="preserve">19 – 23 April 2021, </w:t>
            </w:r>
            <w:r w:rsidRPr="00674C4D">
              <w:rPr>
                <w:bCs/>
              </w:rPr>
              <w:t>Virtual/Online Meeting</w:t>
            </w:r>
          </w:p>
        </w:tc>
        <w:tc>
          <w:tcPr>
            <w:tcW w:w="2160" w:type="dxa"/>
            <w:vAlign w:val="bottom"/>
          </w:tcPr>
          <w:p w14:paraId="21F64BC1" w14:textId="19711518" w:rsidR="00FC22EA" w:rsidRPr="00674C4D" w:rsidRDefault="00FC22EA" w:rsidP="002B0949">
            <w:r w:rsidRPr="00674C4D">
              <w:rPr>
                <w:bCs/>
              </w:rPr>
              <w:t>2</w:t>
            </w:r>
            <w:r w:rsidR="00590CF6">
              <w:rPr>
                <w:bCs/>
              </w:rPr>
              <w:t>3</w:t>
            </w:r>
            <w:r w:rsidRPr="00674C4D">
              <w:rPr>
                <w:bCs/>
              </w:rPr>
              <w:t xml:space="preserve"> April 2021</w:t>
            </w:r>
          </w:p>
        </w:tc>
      </w:tr>
    </w:tbl>
    <w:p w14:paraId="64CF303F" w14:textId="77777777" w:rsidR="0097586A" w:rsidRDefault="0097586A" w:rsidP="0097586A">
      <w:pPr>
        <w:snapToGrid w:val="0"/>
        <w:spacing w:after="100" w:line="264" w:lineRule="auto"/>
        <w:rPr>
          <w:lang w:val="en-NZ" w:eastAsia="ko-KR"/>
        </w:rPr>
      </w:pPr>
    </w:p>
    <w:p w14:paraId="7B7AC417" w14:textId="7F0DAC40" w:rsidR="00B64A60" w:rsidRDefault="00157A25" w:rsidP="0097586A">
      <w:pPr>
        <w:snapToGrid w:val="0"/>
        <w:spacing w:after="100" w:line="264" w:lineRule="auto"/>
        <w:jc w:val="center"/>
        <w:rPr>
          <w:lang w:val="en-NZ" w:eastAsia="ko-KR"/>
        </w:rPr>
      </w:pPr>
      <w:r>
        <w:rPr>
          <w:lang w:val="en-NZ" w:eastAsia="ko-KR"/>
        </w:rPr>
        <w:t>Working Party 4</w:t>
      </w:r>
    </w:p>
    <w:p w14:paraId="30342F52" w14:textId="4A961CF8" w:rsidR="00B64A60" w:rsidRPr="00441526" w:rsidRDefault="00B64A60" w:rsidP="0097586A">
      <w:pPr>
        <w:snapToGrid w:val="0"/>
        <w:spacing w:after="100" w:line="264" w:lineRule="auto"/>
        <w:jc w:val="center"/>
        <w:rPr>
          <w:b/>
          <w:bCs/>
          <w:caps/>
          <w:lang w:val="en-NZ"/>
        </w:rPr>
      </w:pPr>
      <w:r w:rsidRPr="00441526">
        <w:rPr>
          <w:b/>
          <w:bCs/>
          <w:caps/>
          <w:lang w:val="en-NZ"/>
        </w:rPr>
        <w:t>PRELIMINARY VIEWs on WRC-</w:t>
      </w:r>
      <w:r w:rsidR="007F0AE6">
        <w:rPr>
          <w:b/>
          <w:bCs/>
          <w:caps/>
          <w:lang w:val="en-NZ"/>
        </w:rPr>
        <w:t>23</w:t>
      </w:r>
      <w:r w:rsidRPr="00441526">
        <w:rPr>
          <w:b/>
          <w:bCs/>
          <w:caps/>
          <w:lang w:val="en-NZ"/>
        </w:rPr>
        <w:t xml:space="preserve"> agenda item 1.</w:t>
      </w:r>
      <w:r w:rsidR="00037EB3">
        <w:rPr>
          <w:b/>
          <w:bCs/>
          <w:caps/>
          <w:lang w:val="en-NZ"/>
        </w:rPr>
        <w:t>18</w:t>
      </w:r>
    </w:p>
    <w:p w14:paraId="5D083A73" w14:textId="77777777" w:rsidR="00B64A60" w:rsidRPr="00441526" w:rsidRDefault="00B64A60" w:rsidP="0097586A">
      <w:pPr>
        <w:snapToGrid w:val="0"/>
        <w:spacing w:after="100" w:line="264" w:lineRule="auto"/>
        <w:rPr>
          <w:lang w:val="en-NZ"/>
        </w:rPr>
      </w:pPr>
    </w:p>
    <w:p w14:paraId="1FB72991" w14:textId="77777777" w:rsidR="002A0111" w:rsidRPr="00441526" w:rsidRDefault="002A0111" w:rsidP="0097586A">
      <w:pPr>
        <w:snapToGrid w:val="0"/>
        <w:spacing w:after="100" w:line="264" w:lineRule="auto"/>
        <w:jc w:val="both"/>
        <w:rPr>
          <w:lang w:val="en-NZ"/>
        </w:rPr>
      </w:pPr>
      <w:r w:rsidRPr="00441526">
        <w:rPr>
          <w:b/>
          <w:lang w:val="en-NZ"/>
        </w:rPr>
        <w:t>Agenda Item 1.</w:t>
      </w:r>
      <w:r w:rsidR="00037EB3">
        <w:rPr>
          <w:b/>
          <w:lang w:val="en-NZ"/>
        </w:rPr>
        <w:t>18</w:t>
      </w:r>
      <w:r w:rsidRPr="00441526">
        <w:rPr>
          <w:b/>
          <w:lang w:val="en-NZ"/>
        </w:rPr>
        <w:t xml:space="preserve">: </w:t>
      </w:r>
    </w:p>
    <w:p w14:paraId="50C266B5" w14:textId="77777777" w:rsidR="002A0111" w:rsidRDefault="00037EB3" w:rsidP="0097586A">
      <w:pPr>
        <w:snapToGrid w:val="0"/>
        <w:spacing w:after="100" w:line="264" w:lineRule="auto"/>
        <w:jc w:val="both"/>
        <w:rPr>
          <w:i/>
        </w:rPr>
      </w:pPr>
      <w:r w:rsidRPr="00037EB3">
        <w:rPr>
          <w:i/>
        </w:rPr>
        <w:t xml:space="preserve">to consider studies relating to spectrum needs and potential new allocations to the mobile-satellite service for future development of narrowband mobile-satellite systems, in accordance with Resolution </w:t>
      </w:r>
      <w:r w:rsidRPr="00037EB3">
        <w:rPr>
          <w:b/>
          <w:bCs/>
          <w:i/>
        </w:rPr>
        <w:t>248</w:t>
      </w:r>
      <w:r w:rsidRPr="00037EB3">
        <w:rPr>
          <w:i/>
        </w:rPr>
        <w:t xml:space="preserve"> </w:t>
      </w:r>
      <w:r w:rsidRPr="00037EB3">
        <w:rPr>
          <w:b/>
          <w:bCs/>
          <w:i/>
        </w:rPr>
        <w:t>(WRC</w:t>
      </w:r>
      <w:r w:rsidRPr="00037EB3">
        <w:rPr>
          <w:b/>
          <w:bCs/>
          <w:i/>
        </w:rPr>
        <w:noBreakHyphen/>
        <w:t>19)</w:t>
      </w:r>
      <w:r w:rsidRPr="00037EB3">
        <w:rPr>
          <w:i/>
        </w:rPr>
        <w:t>;</w:t>
      </w:r>
    </w:p>
    <w:p w14:paraId="4CEB0F16" w14:textId="77777777" w:rsidR="00037EB3" w:rsidRPr="00037EB3" w:rsidRDefault="00037EB3" w:rsidP="0097586A">
      <w:pPr>
        <w:snapToGrid w:val="0"/>
        <w:spacing w:after="100" w:line="264" w:lineRule="auto"/>
        <w:jc w:val="both"/>
        <w:rPr>
          <w:i/>
          <w:lang w:val="en-NZ"/>
        </w:rPr>
      </w:pPr>
    </w:p>
    <w:p w14:paraId="70AE96F5" w14:textId="77777777" w:rsidR="002A0111" w:rsidRPr="00441526" w:rsidRDefault="002A0111" w:rsidP="0097586A">
      <w:pPr>
        <w:snapToGrid w:val="0"/>
        <w:spacing w:after="100" w:line="264" w:lineRule="auto"/>
        <w:jc w:val="both"/>
        <w:rPr>
          <w:b/>
          <w:lang w:val="en-NZ" w:eastAsia="ko-KR"/>
        </w:rPr>
      </w:pPr>
      <w:r w:rsidRPr="00441526">
        <w:rPr>
          <w:b/>
          <w:lang w:val="en-NZ" w:eastAsia="ko-KR"/>
        </w:rPr>
        <w:t xml:space="preserve">1. </w:t>
      </w:r>
      <w:r w:rsidRPr="00441526">
        <w:rPr>
          <w:b/>
          <w:lang w:val="en-NZ" w:eastAsia="ko-KR"/>
        </w:rPr>
        <w:tab/>
        <w:t>Background</w:t>
      </w:r>
    </w:p>
    <w:p w14:paraId="74E21848" w14:textId="77777777" w:rsidR="007D6E5E" w:rsidRPr="007D6E5E" w:rsidRDefault="007D6E5E" w:rsidP="0097586A">
      <w:pPr>
        <w:snapToGrid w:val="0"/>
        <w:spacing w:after="100" w:line="264" w:lineRule="auto"/>
        <w:jc w:val="both"/>
        <w:rPr>
          <w:rFonts w:eastAsia="SimSun"/>
          <w:lang w:eastAsia="zh-CN"/>
        </w:rPr>
      </w:pPr>
      <w:r w:rsidRPr="00E02A35">
        <w:t>WRC-23 Agenda item 1.18 calls for WRC-23 to implement the “</w:t>
      </w:r>
      <w:r w:rsidRPr="00E02A35">
        <w:rPr>
          <w:i/>
          <w:iCs/>
        </w:rPr>
        <w:t>studies relating to spectrum needs and potential new allocations to the mobile satellite service in the frequency bands 1 695-1 710 MHz, 2 010-2 025 MHz, 3 300-3 315 MHz and 3 385-3 400 MHz for future development of narrowband mobile-satellite systems”</w:t>
      </w:r>
      <w:r w:rsidRPr="00E02A35">
        <w:rPr>
          <w:b/>
          <w:bCs/>
          <w:i/>
          <w:iCs/>
        </w:rPr>
        <w:t xml:space="preserve"> </w:t>
      </w:r>
      <w:r w:rsidRPr="00E02A35">
        <w:t>while ensuring the protection of existing primary services in those frequency bands and adjacent frequency bands</w:t>
      </w:r>
      <w:r>
        <w:t xml:space="preserve">. </w:t>
      </w:r>
      <w:r w:rsidRPr="00EC33FA">
        <w:rPr>
          <w:rFonts w:eastAsia="SimSun"/>
          <w:lang w:eastAsia="zh-CN"/>
        </w:rPr>
        <w:t>In accordance with the results of</w:t>
      </w:r>
      <w:r>
        <w:rPr>
          <w:rFonts w:eastAsia="SimSun"/>
          <w:lang w:eastAsia="zh-CN"/>
        </w:rPr>
        <w:t xml:space="preserve"> CPM23-1, ITU-R Working Party 4C (WP 4C</w:t>
      </w:r>
      <w:r w:rsidRPr="00EC33FA">
        <w:rPr>
          <w:rFonts w:eastAsia="SimSun"/>
          <w:lang w:eastAsia="zh-CN"/>
        </w:rPr>
        <w:t>) was assigned to be the responsibl</w:t>
      </w:r>
      <w:r>
        <w:rPr>
          <w:rFonts w:eastAsia="SimSun"/>
          <w:lang w:eastAsia="zh-CN"/>
        </w:rPr>
        <w:t>e group for the Agenda Item 1.18</w:t>
      </w:r>
      <w:r w:rsidRPr="00EC33FA">
        <w:rPr>
          <w:rFonts w:eastAsia="SimSun"/>
          <w:lang w:eastAsia="zh-CN"/>
        </w:rPr>
        <w:t>.</w:t>
      </w:r>
    </w:p>
    <w:p w14:paraId="20CA75EC" w14:textId="77777777" w:rsidR="007D6E5E" w:rsidRDefault="007D6E5E" w:rsidP="0097586A">
      <w:pPr>
        <w:tabs>
          <w:tab w:val="left" w:pos="1134"/>
          <w:tab w:val="left" w:pos="1871"/>
          <w:tab w:val="left" w:pos="2268"/>
        </w:tabs>
        <w:snapToGrid w:val="0"/>
        <w:spacing w:after="100" w:line="264" w:lineRule="auto"/>
        <w:rPr>
          <w:rFonts w:eastAsia="SimSun"/>
          <w:lang w:eastAsia="zh-CN"/>
        </w:rPr>
      </w:pPr>
      <w:r>
        <w:rPr>
          <w:rFonts w:eastAsia="SimSun" w:hint="eastAsia"/>
          <w:lang w:eastAsia="zh-CN"/>
        </w:rPr>
        <w:t>According to the Resolution 248 (WRC-19), the candidate frequencies for agenda item 1.18 are as follows:</w:t>
      </w:r>
    </w:p>
    <w:p w14:paraId="121AAAA4" w14:textId="77777777" w:rsidR="007D6E5E" w:rsidRDefault="007D6E5E" w:rsidP="0097586A">
      <w:pPr>
        <w:numPr>
          <w:ilvl w:val="0"/>
          <w:numId w:val="23"/>
        </w:numPr>
        <w:snapToGrid w:val="0"/>
        <w:spacing w:after="100" w:line="264" w:lineRule="auto"/>
        <w:ind w:right="15" w:hanging="1134"/>
      </w:pPr>
      <w:r>
        <w:t>1 695-1 710 MHz in Region 2,</w:t>
      </w:r>
    </w:p>
    <w:p w14:paraId="24110921" w14:textId="77777777" w:rsidR="007D6E5E" w:rsidRDefault="007D6E5E" w:rsidP="0097586A">
      <w:pPr>
        <w:numPr>
          <w:ilvl w:val="0"/>
          <w:numId w:val="23"/>
        </w:numPr>
        <w:snapToGrid w:val="0"/>
        <w:spacing w:after="100" w:line="264" w:lineRule="auto"/>
        <w:ind w:right="15" w:hanging="1134"/>
      </w:pPr>
      <w:r>
        <w:t>2 010-2 025 MHz in Region 1,</w:t>
      </w:r>
    </w:p>
    <w:p w14:paraId="3C980FA1" w14:textId="77777777" w:rsidR="007D6E5E" w:rsidRDefault="007D6E5E" w:rsidP="0097586A">
      <w:pPr>
        <w:numPr>
          <w:ilvl w:val="0"/>
          <w:numId w:val="23"/>
        </w:numPr>
        <w:snapToGrid w:val="0"/>
        <w:spacing w:after="100" w:line="264" w:lineRule="auto"/>
        <w:ind w:right="15" w:hanging="1134"/>
      </w:pPr>
      <w:r>
        <w:t>3 300-3 315 MHz, 3 385-3 400 MHz in Region 2;</w:t>
      </w:r>
    </w:p>
    <w:p w14:paraId="309C68C2" w14:textId="77777777" w:rsidR="002A0111" w:rsidRPr="0097586A" w:rsidRDefault="007D6E5E" w:rsidP="0097586A">
      <w:pPr>
        <w:snapToGrid w:val="0"/>
        <w:spacing w:after="100" w:line="264" w:lineRule="auto"/>
        <w:jc w:val="both"/>
        <w:rPr>
          <w:rFonts w:eastAsia="SimSun"/>
          <w:lang w:eastAsia="zh-CN"/>
        </w:rPr>
      </w:pPr>
      <w:r>
        <w:rPr>
          <w:rFonts w:eastAsia="SimSun" w:hint="eastAsia"/>
          <w:lang w:eastAsia="zh-CN"/>
        </w:rPr>
        <w:t>ITU-R working groups are now working on the service/application characteristics, spectrum needs and propagation models, and WP4C drafted the WDPDNR for spectrum requests and initialed the sharing and compatibility studies between narrowband mobile-satellite systems and other systems at its February meeting, and a correspondence group was established to continue the discussion on AI 1.18.</w:t>
      </w:r>
    </w:p>
    <w:p w14:paraId="7B6BA913" w14:textId="77777777" w:rsidR="002A0111" w:rsidRPr="00441526" w:rsidRDefault="002A0111" w:rsidP="0097586A">
      <w:pPr>
        <w:snapToGrid w:val="0"/>
        <w:spacing w:after="100" w:line="264" w:lineRule="auto"/>
        <w:jc w:val="both"/>
        <w:rPr>
          <w:lang w:val="en-NZ"/>
        </w:rPr>
      </w:pPr>
    </w:p>
    <w:p w14:paraId="6C422C7E" w14:textId="77777777" w:rsidR="002A0111" w:rsidRPr="00441526" w:rsidRDefault="002A0111" w:rsidP="0097586A">
      <w:pPr>
        <w:snapToGrid w:val="0"/>
        <w:spacing w:after="100" w:line="264" w:lineRule="auto"/>
        <w:jc w:val="both"/>
        <w:rPr>
          <w:b/>
          <w:lang w:val="en-NZ" w:eastAsia="ko-KR"/>
        </w:rPr>
      </w:pPr>
      <w:r w:rsidRPr="00441526">
        <w:rPr>
          <w:b/>
          <w:lang w:val="en-NZ" w:eastAsia="ko-KR"/>
        </w:rPr>
        <w:t xml:space="preserve">2. </w:t>
      </w:r>
      <w:r w:rsidRPr="00441526">
        <w:rPr>
          <w:b/>
          <w:lang w:val="en-NZ" w:eastAsia="ko-KR"/>
        </w:rPr>
        <w:tab/>
        <w:t>Documents</w:t>
      </w:r>
    </w:p>
    <w:p w14:paraId="41B1E1DF" w14:textId="77777777" w:rsidR="002A0111" w:rsidRPr="00441526" w:rsidRDefault="002A0111" w:rsidP="0097586A">
      <w:pPr>
        <w:numPr>
          <w:ilvl w:val="0"/>
          <w:numId w:val="18"/>
        </w:numPr>
        <w:snapToGrid w:val="0"/>
        <w:spacing w:after="100" w:line="264" w:lineRule="auto"/>
        <w:ind w:leftChars="145" w:left="708"/>
        <w:jc w:val="both"/>
        <w:rPr>
          <w:lang w:val="en-NZ"/>
        </w:rPr>
      </w:pPr>
      <w:r w:rsidRPr="00441526">
        <w:rPr>
          <w:lang w:val="en-NZ"/>
        </w:rPr>
        <w:t>Input Documents</w:t>
      </w:r>
      <w:r w:rsidR="00281526">
        <w:rPr>
          <w:lang w:val="en-NZ"/>
        </w:rPr>
        <w:t>:</w:t>
      </w:r>
      <w:r w:rsidRPr="00441526">
        <w:rPr>
          <w:lang w:val="en-NZ"/>
        </w:rPr>
        <w:t xml:space="preserve"> APG</w:t>
      </w:r>
      <w:r w:rsidR="00822B33">
        <w:rPr>
          <w:lang w:val="en-NZ"/>
        </w:rPr>
        <w:t>23</w:t>
      </w:r>
      <w:r w:rsidRPr="00441526">
        <w:rPr>
          <w:lang w:val="en-NZ"/>
        </w:rPr>
        <w:t>-</w:t>
      </w:r>
      <w:r w:rsidR="00822B33">
        <w:rPr>
          <w:lang w:val="en-NZ"/>
        </w:rPr>
        <w:t>2</w:t>
      </w:r>
      <w:r w:rsidRPr="00441526">
        <w:rPr>
          <w:lang w:val="en-NZ"/>
        </w:rPr>
        <w:t>/INP-</w:t>
      </w:r>
      <w:r w:rsidR="007D6E5E">
        <w:rPr>
          <w:lang w:val="en-NZ"/>
        </w:rPr>
        <w:t>13</w:t>
      </w:r>
      <w:r w:rsidRPr="00441526">
        <w:rPr>
          <w:lang w:val="en-NZ"/>
        </w:rPr>
        <w:t xml:space="preserve"> (</w:t>
      </w:r>
      <w:r w:rsidR="007D6E5E">
        <w:rPr>
          <w:rFonts w:hint="eastAsia"/>
          <w:lang w:val="en-NZ" w:eastAsia="ko-KR"/>
        </w:rPr>
        <w:t>J</w:t>
      </w:r>
      <w:r w:rsidR="00322752">
        <w:rPr>
          <w:lang w:val="en-NZ" w:eastAsia="ko-KR"/>
        </w:rPr>
        <w:t>PN</w:t>
      </w:r>
      <w:r w:rsidRPr="00441526">
        <w:rPr>
          <w:lang w:val="en-NZ"/>
        </w:rPr>
        <w:t>)</w:t>
      </w:r>
      <w:r w:rsidR="007D6E5E">
        <w:rPr>
          <w:lang w:val="en-NZ"/>
        </w:rPr>
        <w:t xml:space="preserve">, 27 (AUS), </w:t>
      </w:r>
      <w:r w:rsidR="00D267B4">
        <w:rPr>
          <w:lang w:val="en-NZ"/>
        </w:rPr>
        <w:t>47(Rev.1) (CHN), 52 (VTN)</w:t>
      </w:r>
    </w:p>
    <w:p w14:paraId="60330AD7" w14:textId="77777777" w:rsidR="002A0111" w:rsidRDefault="002A0111" w:rsidP="0097586A">
      <w:pPr>
        <w:numPr>
          <w:ilvl w:val="0"/>
          <w:numId w:val="18"/>
        </w:numPr>
        <w:snapToGrid w:val="0"/>
        <w:spacing w:after="100" w:line="264" w:lineRule="auto"/>
        <w:ind w:leftChars="145" w:left="708"/>
        <w:jc w:val="both"/>
        <w:rPr>
          <w:lang w:val="en-NZ"/>
        </w:rPr>
      </w:pPr>
      <w:r w:rsidRPr="00441526">
        <w:rPr>
          <w:lang w:val="en-NZ"/>
        </w:rPr>
        <w:t>Information Documents APG</w:t>
      </w:r>
      <w:r w:rsidR="00822B33">
        <w:rPr>
          <w:lang w:val="en-NZ"/>
        </w:rPr>
        <w:t>23</w:t>
      </w:r>
      <w:r w:rsidRPr="00441526">
        <w:rPr>
          <w:lang w:val="en-NZ"/>
        </w:rPr>
        <w:t>-</w:t>
      </w:r>
      <w:r w:rsidR="00822B33">
        <w:rPr>
          <w:lang w:val="en-NZ"/>
        </w:rPr>
        <w:t>2</w:t>
      </w:r>
      <w:r w:rsidRPr="00441526">
        <w:rPr>
          <w:lang w:val="en-NZ"/>
        </w:rPr>
        <w:t>/INF-</w:t>
      </w:r>
      <w:r w:rsidR="006761EE">
        <w:rPr>
          <w:lang w:val="en-NZ"/>
        </w:rPr>
        <w:t>20</w:t>
      </w:r>
      <w:r w:rsidRPr="00441526">
        <w:rPr>
          <w:lang w:val="en-NZ"/>
        </w:rPr>
        <w:t xml:space="preserve"> (</w:t>
      </w:r>
      <w:r w:rsidR="006761EE">
        <w:rPr>
          <w:rFonts w:hint="eastAsia"/>
          <w:lang w:val="en-NZ" w:eastAsia="ko-KR"/>
        </w:rPr>
        <w:t>D</w:t>
      </w:r>
      <w:r w:rsidR="006761EE">
        <w:rPr>
          <w:lang w:val="en-NZ" w:eastAsia="ko-KR"/>
        </w:rPr>
        <w:t>G Chairman), 23 (</w:t>
      </w:r>
      <w:r w:rsidR="006761EE">
        <w:rPr>
          <w:rFonts w:hint="eastAsia"/>
          <w:lang w:val="en-NZ" w:eastAsia="ko-KR"/>
        </w:rPr>
        <w:t>I</w:t>
      </w:r>
      <w:r w:rsidR="006761EE">
        <w:rPr>
          <w:lang w:val="en-NZ" w:eastAsia="ko-KR"/>
        </w:rPr>
        <w:t xml:space="preserve">ARU), 25 (ASMG), </w:t>
      </w:r>
      <w:r w:rsidRPr="00441526">
        <w:rPr>
          <w:lang w:val="en-NZ"/>
        </w:rPr>
        <w:t xml:space="preserve"> </w:t>
      </w:r>
      <w:r w:rsidR="006761EE">
        <w:rPr>
          <w:lang w:val="en-NZ"/>
        </w:rPr>
        <w:t>34 (</w:t>
      </w:r>
      <w:r w:rsidR="006761EE">
        <w:rPr>
          <w:rFonts w:hint="eastAsia"/>
          <w:lang w:val="en-NZ" w:eastAsia="ko-KR"/>
        </w:rPr>
        <w:t>C</w:t>
      </w:r>
      <w:r w:rsidR="006761EE">
        <w:rPr>
          <w:lang w:val="en-NZ" w:eastAsia="ko-KR"/>
        </w:rPr>
        <w:t>ITEL), 35 (</w:t>
      </w:r>
      <w:r w:rsidR="006761EE">
        <w:rPr>
          <w:rFonts w:hint="eastAsia"/>
          <w:lang w:val="en-NZ" w:eastAsia="ko-KR"/>
        </w:rPr>
        <w:t>C</w:t>
      </w:r>
      <w:r w:rsidR="006761EE">
        <w:rPr>
          <w:lang w:val="en-NZ" w:eastAsia="ko-KR"/>
        </w:rPr>
        <w:t>EPT), 36 (RCC)</w:t>
      </w:r>
    </w:p>
    <w:p w14:paraId="2133CA5A" w14:textId="65CAF4BA" w:rsidR="00403C3D" w:rsidRDefault="00403C3D" w:rsidP="00403C3D">
      <w:pPr>
        <w:snapToGrid w:val="0"/>
        <w:spacing w:after="100" w:line="264" w:lineRule="auto"/>
        <w:ind w:left="708"/>
        <w:jc w:val="both"/>
        <w:rPr>
          <w:lang w:val="en-NZ"/>
        </w:rPr>
      </w:pPr>
    </w:p>
    <w:p w14:paraId="5AE695EB" w14:textId="77777777" w:rsidR="00D267B4" w:rsidRDefault="002A0111" w:rsidP="0097586A">
      <w:pPr>
        <w:snapToGrid w:val="0"/>
        <w:spacing w:after="100" w:line="264" w:lineRule="auto"/>
        <w:rPr>
          <w:b/>
          <w:lang w:val="en-NZ" w:eastAsia="ko-KR"/>
        </w:rPr>
      </w:pPr>
      <w:r w:rsidRPr="00441526">
        <w:rPr>
          <w:b/>
          <w:lang w:val="en-NZ" w:eastAsia="ko-KR"/>
        </w:rPr>
        <w:t xml:space="preserve">3. </w:t>
      </w:r>
      <w:r w:rsidRPr="00441526">
        <w:rPr>
          <w:b/>
          <w:lang w:val="en-NZ" w:eastAsia="ko-KR"/>
        </w:rPr>
        <w:tab/>
        <w:t>Summary of discussions</w:t>
      </w:r>
    </w:p>
    <w:p w14:paraId="5B122D30" w14:textId="77777777" w:rsidR="002A0111" w:rsidRPr="0097586A" w:rsidRDefault="002A0111" w:rsidP="0097586A">
      <w:pPr>
        <w:snapToGrid w:val="0"/>
        <w:spacing w:after="100" w:line="264" w:lineRule="auto"/>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635C7BF4" w14:textId="77777777" w:rsidR="002A0111" w:rsidRPr="00441526" w:rsidRDefault="002A0111" w:rsidP="0097586A">
      <w:pPr>
        <w:snapToGrid w:val="0"/>
        <w:spacing w:after="100" w:line="264" w:lineRule="auto"/>
        <w:jc w:val="both"/>
        <w:rPr>
          <w:b/>
          <w:lang w:val="en-NZ" w:eastAsia="ko-KR"/>
        </w:rPr>
      </w:pPr>
      <w:r w:rsidRPr="00441526">
        <w:rPr>
          <w:b/>
          <w:lang w:val="en-NZ" w:eastAsia="ko-KR"/>
        </w:rPr>
        <w:lastRenderedPageBreak/>
        <w:t xml:space="preserve">3.1.1 </w:t>
      </w:r>
      <w:r w:rsidRPr="00441526">
        <w:rPr>
          <w:b/>
          <w:lang w:val="en-NZ" w:eastAsia="ko-KR"/>
        </w:rPr>
        <w:tab/>
      </w:r>
      <w:r w:rsidR="007D6E5E">
        <w:rPr>
          <w:b/>
          <w:lang w:val="en-NZ" w:eastAsia="ko-KR"/>
        </w:rPr>
        <w:t>Japan</w:t>
      </w:r>
      <w:r w:rsidRPr="00441526">
        <w:rPr>
          <w:b/>
          <w:lang w:val="en-NZ" w:eastAsia="ko-KR"/>
        </w:rPr>
        <w:t xml:space="preserve">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822B33">
        <w:rPr>
          <w:b/>
          <w:lang w:val="en-NZ" w:eastAsia="ko-KR"/>
        </w:rPr>
        <w:t>2</w:t>
      </w:r>
      <w:r w:rsidRPr="00441526">
        <w:rPr>
          <w:b/>
          <w:lang w:val="en-NZ" w:eastAsia="ko-KR"/>
        </w:rPr>
        <w:t>/INP-</w:t>
      </w:r>
      <w:r w:rsidR="007D6E5E">
        <w:rPr>
          <w:b/>
          <w:lang w:val="en-NZ" w:eastAsia="ko-KR"/>
        </w:rPr>
        <w:t>13</w:t>
      </w:r>
    </w:p>
    <w:p w14:paraId="6E0C2098" w14:textId="77777777" w:rsidR="002A0111" w:rsidRDefault="007D6E5E" w:rsidP="0097586A">
      <w:pPr>
        <w:snapToGrid w:val="0"/>
        <w:spacing w:after="100" w:line="264" w:lineRule="auto"/>
        <w:jc w:val="both"/>
        <w:rPr>
          <w:rFonts w:eastAsia="SimSun"/>
          <w:lang w:eastAsia="zh-CN"/>
        </w:rPr>
      </w:pPr>
      <w:r w:rsidRPr="00714D9B">
        <w:rPr>
          <w:rFonts w:eastAsia="SimSun"/>
          <w:lang w:eastAsia="zh-CN"/>
        </w:rPr>
        <w:t>Japan is of the view that it is necessary to conduct appropriate studies at ITU-R for a possible new allocation while ensuring the protection of existing services.</w:t>
      </w:r>
    </w:p>
    <w:p w14:paraId="624B6911" w14:textId="77777777" w:rsidR="0097586A" w:rsidRPr="0097586A" w:rsidRDefault="0097586A" w:rsidP="0097586A">
      <w:pPr>
        <w:snapToGrid w:val="0"/>
        <w:spacing w:after="100" w:line="264" w:lineRule="auto"/>
        <w:jc w:val="both"/>
        <w:rPr>
          <w:rFonts w:eastAsia="SimSun"/>
          <w:lang w:eastAsia="zh-CN"/>
        </w:rPr>
      </w:pPr>
    </w:p>
    <w:p w14:paraId="020AA924" w14:textId="77777777" w:rsidR="002A0111" w:rsidRPr="00441526" w:rsidRDefault="002A0111" w:rsidP="0097586A">
      <w:pPr>
        <w:snapToGrid w:val="0"/>
        <w:spacing w:after="100" w:line="264" w:lineRule="auto"/>
        <w:jc w:val="both"/>
        <w:rPr>
          <w:b/>
          <w:lang w:val="en-NZ" w:eastAsia="ko-KR"/>
        </w:rPr>
      </w:pPr>
      <w:r w:rsidRPr="00441526">
        <w:rPr>
          <w:b/>
          <w:lang w:val="en-NZ" w:eastAsia="ko-KR"/>
        </w:rPr>
        <w:t xml:space="preserve">3.1.2 </w:t>
      </w:r>
      <w:r w:rsidRPr="00441526">
        <w:rPr>
          <w:b/>
          <w:lang w:val="en-NZ" w:eastAsia="ko-KR"/>
        </w:rPr>
        <w:tab/>
      </w:r>
      <w:r w:rsidR="007D6E5E">
        <w:rPr>
          <w:b/>
          <w:lang w:val="en-NZ" w:eastAsia="ko-KR"/>
        </w:rPr>
        <w:t>Australia</w:t>
      </w:r>
      <w:r w:rsidRPr="00441526">
        <w:rPr>
          <w:b/>
          <w:lang w:val="en-NZ" w:eastAsia="ko-KR"/>
        </w:rPr>
        <w:t xml:space="preserve">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822B33">
        <w:rPr>
          <w:b/>
          <w:lang w:val="en-NZ" w:eastAsia="ko-KR"/>
        </w:rPr>
        <w:t>2</w:t>
      </w:r>
      <w:r w:rsidRPr="00441526">
        <w:rPr>
          <w:b/>
          <w:lang w:val="en-NZ" w:eastAsia="ko-KR"/>
        </w:rPr>
        <w:t>/INP-</w:t>
      </w:r>
      <w:r w:rsidR="007D6E5E">
        <w:rPr>
          <w:b/>
          <w:lang w:val="en-NZ" w:eastAsia="ko-KR"/>
        </w:rPr>
        <w:t>27</w:t>
      </w:r>
    </w:p>
    <w:p w14:paraId="6E077622" w14:textId="77777777" w:rsidR="002A0111" w:rsidRDefault="007D6E5E" w:rsidP="00D43B27">
      <w:pPr>
        <w:snapToGrid w:val="0"/>
        <w:spacing w:after="100" w:line="264" w:lineRule="auto"/>
        <w:jc w:val="both"/>
        <w:rPr>
          <w:color w:val="000000"/>
        </w:rPr>
      </w:pPr>
      <w:r w:rsidRPr="006F40F9">
        <w:rPr>
          <w:color w:val="000000"/>
        </w:rPr>
        <w:t>Australia supports sharing and compatibility studies being conducted to determine the suitability of new allocations to the mobile-satellite service (MSS), with a view to protecting the primary services, in the relevant frequency bands and adjacent frequency bands, without causing undue constraints on their further development.</w:t>
      </w:r>
    </w:p>
    <w:p w14:paraId="2F4BEF11" w14:textId="77777777" w:rsidR="0097586A" w:rsidRPr="0097586A" w:rsidRDefault="0097586A" w:rsidP="0097586A">
      <w:pPr>
        <w:snapToGrid w:val="0"/>
        <w:spacing w:after="100" w:line="264" w:lineRule="auto"/>
        <w:rPr>
          <w:sz w:val="22"/>
          <w:szCs w:val="22"/>
        </w:rPr>
      </w:pPr>
    </w:p>
    <w:p w14:paraId="0F1F1B32" w14:textId="77777777" w:rsidR="007D6E5E" w:rsidRDefault="002A0111" w:rsidP="0097586A">
      <w:pPr>
        <w:snapToGrid w:val="0"/>
        <w:spacing w:after="100" w:line="264" w:lineRule="auto"/>
        <w:jc w:val="both"/>
        <w:rPr>
          <w:b/>
          <w:lang w:val="en-NZ" w:eastAsia="ko-KR"/>
        </w:rPr>
      </w:pPr>
      <w:r w:rsidRPr="00441526">
        <w:rPr>
          <w:b/>
          <w:lang w:val="en-NZ" w:eastAsia="ko-KR"/>
        </w:rPr>
        <w:t>3.1.</w:t>
      </w:r>
      <w:r w:rsidR="007D6E5E">
        <w:rPr>
          <w:b/>
          <w:lang w:val="en-NZ" w:eastAsia="ko-KR"/>
        </w:rPr>
        <w:t>3</w:t>
      </w:r>
      <w:r w:rsidRPr="00441526">
        <w:rPr>
          <w:b/>
          <w:lang w:val="en-NZ" w:eastAsia="ko-KR"/>
        </w:rPr>
        <w:tab/>
        <w:t>C</w:t>
      </w:r>
      <w:r w:rsidR="007D6E5E">
        <w:rPr>
          <w:b/>
          <w:lang w:val="en-NZ" w:eastAsia="ko-KR"/>
        </w:rPr>
        <w:t>hina</w:t>
      </w:r>
      <w:r w:rsidRPr="00441526">
        <w:rPr>
          <w:b/>
          <w:lang w:val="en-NZ" w:eastAsia="ko-KR"/>
        </w:rPr>
        <w:t xml:space="preserve">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822B33">
        <w:rPr>
          <w:b/>
          <w:lang w:val="en-NZ" w:eastAsia="ko-KR"/>
        </w:rPr>
        <w:t>2</w:t>
      </w:r>
      <w:r w:rsidRPr="00441526">
        <w:rPr>
          <w:b/>
          <w:lang w:val="en-NZ" w:eastAsia="ko-KR"/>
        </w:rPr>
        <w:t>/INP-</w:t>
      </w:r>
      <w:r w:rsidR="007D6E5E">
        <w:rPr>
          <w:b/>
          <w:lang w:val="en-NZ" w:eastAsia="ko-KR"/>
        </w:rPr>
        <w:t>47(Rev.1)</w:t>
      </w:r>
    </w:p>
    <w:p w14:paraId="37631399" w14:textId="77777777" w:rsidR="00B32D76" w:rsidRDefault="007D6E5E" w:rsidP="0097586A">
      <w:pPr>
        <w:pStyle w:val="ListParagraph1"/>
        <w:snapToGrid w:val="0"/>
        <w:spacing w:after="100" w:line="264" w:lineRule="auto"/>
        <w:ind w:firstLineChars="0" w:firstLine="0"/>
        <w:jc w:val="both"/>
        <w:rPr>
          <w:rFonts w:eastAsia="SimSun"/>
          <w:lang w:eastAsia="zh-CN"/>
        </w:rPr>
      </w:pPr>
      <w:r>
        <w:rPr>
          <w:rFonts w:eastAsia="SimSun" w:hint="eastAsia"/>
          <w:lang w:eastAsia="zh-CN"/>
        </w:rPr>
        <w:t>China</w:t>
      </w:r>
      <w:r>
        <w:rPr>
          <w:rFonts w:eastAsia="SimSun"/>
          <w:lang w:eastAsia="zh-CN"/>
        </w:rPr>
        <w:t xml:space="preserve"> proposes that</w:t>
      </w:r>
      <w:r>
        <w:rPr>
          <w:rFonts w:eastAsia="SimSun" w:hint="eastAsia"/>
          <w:lang w:eastAsia="zh-CN"/>
        </w:rPr>
        <w:t xml:space="preserve"> the protection for IMT systems deployed in Region 3 in the frequency band 2010-2025 MHz should be considered when conducting studies on AI 1.18 and that APT take into account the above proposals in the drafting of the APT preliminary view on AI 1.18. China also </w:t>
      </w:r>
      <w:r>
        <w:rPr>
          <w:rFonts w:eastAsia="SimSun"/>
          <w:lang w:eastAsia="zh-CN"/>
        </w:rPr>
        <w:t>support</w:t>
      </w:r>
      <w:r>
        <w:rPr>
          <w:rFonts w:eastAsia="SimSun" w:hint="eastAsia"/>
          <w:lang w:eastAsia="zh-CN"/>
        </w:rPr>
        <w:t>s</w:t>
      </w:r>
      <w:r>
        <w:rPr>
          <w:rFonts w:eastAsia="SimSun"/>
          <w:lang w:eastAsia="zh-CN"/>
        </w:rPr>
        <w:t xml:space="preserve"> APT to formulate preliminary common views as early as possible </w:t>
      </w:r>
      <w:r>
        <w:rPr>
          <w:rFonts w:eastAsia="SimSun" w:hint="eastAsia"/>
          <w:lang w:eastAsia="zh-CN"/>
        </w:rPr>
        <w:t>subject to discussion and agreement</w:t>
      </w:r>
      <w:r w:rsidR="0097586A">
        <w:rPr>
          <w:rFonts w:eastAsia="SimSun"/>
          <w:lang w:eastAsia="zh-CN"/>
        </w:rPr>
        <w:t>.</w:t>
      </w:r>
    </w:p>
    <w:p w14:paraId="6EF3A487" w14:textId="77777777" w:rsidR="0097586A" w:rsidRDefault="0097586A" w:rsidP="0097586A">
      <w:pPr>
        <w:pStyle w:val="ListParagraph1"/>
        <w:snapToGrid w:val="0"/>
        <w:spacing w:after="100" w:line="264" w:lineRule="auto"/>
        <w:ind w:firstLineChars="0" w:firstLine="0"/>
        <w:jc w:val="both"/>
        <w:rPr>
          <w:rFonts w:eastAsia="SimSun"/>
          <w:lang w:eastAsia="zh-CN"/>
        </w:rPr>
      </w:pPr>
    </w:p>
    <w:p w14:paraId="13FBC7FB" w14:textId="77777777" w:rsidR="007D6E5E" w:rsidRDefault="007D6E5E" w:rsidP="0097586A">
      <w:pPr>
        <w:snapToGrid w:val="0"/>
        <w:spacing w:after="100" w:line="264" w:lineRule="auto"/>
        <w:jc w:val="both"/>
        <w:rPr>
          <w:b/>
          <w:lang w:val="en-NZ" w:eastAsia="ko-KR"/>
        </w:rPr>
      </w:pPr>
      <w:r w:rsidRPr="00441526">
        <w:rPr>
          <w:b/>
          <w:lang w:val="en-NZ" w:eastAsia="ko-KR"/>
        </w:rPr>
        <w:t>3.1.</w:t>
      </w:r>
      <w:r>
        <w:rPr>
          <w:b/>
          <w:lang w:val="en-NZ" w:eastAsia="ko-KR"/>
        </w:rPr>
        <w:t>4</w:t>
      </w:r>
      <w:r w:rsidRPr="00441526">
        <w:rPr>
          <w:b/>
          <w:lang w:val="en-NZ" w:eastAsia="ko-KR"/>
        </w:rPr>
        <w:tab/>
      </w:r>
      <w:r>
        <w:rPr>
          <w:b/>
          <w:lang w:val="en-NZ" w:eastAsia="ko-KR"/>
        </w:rPr>
        <w:t>Viet Nam</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2</w:t>
      </w:r>
      <w:r w:rsidRPr="00441526">
        <w:rPr>
          <w:b/>
          <w:lang w:val="en-NZ" w:eastAsia="ko-KR"/>
        </w:rPr>
        <w:t>/INP-</w:t>
      </w:r>
      <w:r>
        <w:rPr>
          <w:b/>
          <w:lang w:val="en-NZ" w:eastAsia="ko-KR"/>
        </w:rPr>
        <w:t>52</w:t>
      </w:r>
    </w:p>
    <w:p w14:paraId="3D33A241" w14:textId="77777777" w:rsidR="002A0111" w:rsidRDefault="007D6E5E" w:rsidP="00D43B27">
      <w:pPr>
        <w:tabs>
          <w:tab w:val="left" w:pos="600"/>
        </w:tabs>
        <w:snapToGrid w:val="0"/>
        <w:spacing w:after="100" w:line="264" w:lineRule="auto"/>
        <w:jc w:val="both"/>
      </w:pPr>
      <w:r>
        <w:rPr>
          <w:color w:val="201F1E"/>
          <w:shd w:val="clear" w:color="auto" w:fill="FFFFFF"/>
        </w:rPr>
        <w:t>Viet Nam</w:t>
      </w:r>
      <w:r w:rsidRPr="00AF5FCE">
        <w:rPr>
          <w:color w:val="201F1E"/>
          <w:shd w:val="clear" w:color="auto" w:fill="FFFFFF"/>
        </w:rPr>
        <w:t xml:space="preserve"> supports appropriate action at WRC-23</w:t>
      </w:r>
      <w:r>
        <w:rPr>
          <w:color w:val="201F1E"/>
          <w:shd w:val="clear" w:color="auto" w:fill="FFFFFF"/>
        </w:rPr>
        <w:t xml:space="preserve"> with the view of ensuring </w:t>
      </w:r>
      <w:r w:rsidRPr="003F617C">
        <w:t xml:space="preserve">the protection </w:t>
      </w:r>
      <w:r>
        <w:rPr>
          <w:color w:val="201F1E"/>
          <w:shd w:val="clear" w:color="auto" w:fill="FFFFFF"/>
        </w:rPr>
        <w:t>of the</w:t>
      </w:r>
      <w:r w:rsidRPr="00A53BCA">
        <w:rPr>
          <w:color w:val="201F1E"/>
          <w:shd w:val="clear" w:color="auto" w:fill="FFFFFF"/>
        </w:rPr>
        <w:t xml:space="preserve"> existing primary services</w:t>
      </w:r>
      <w:r>
        <w:rPr>
          <w:color w:val="201F1E"/>
          <w:shd w:val="clear" w:color="auto" w:fill="FFFFFF"/>
        </w:rPr>
        <w:t xml:space="preserve"> allocated in the same and adjacent frequency bands for Region 3 from harmful interference</w:t>
      </w:r>
      <w:r w:rsidRPr="00A53BCA">
        <w:rPr>
          <w:color w:val="201F1E"/>
          <w:shd w:val="clear" w:color="auto" w:fill="FFFFFF"/>
        </w:rPr>
        <w:t xml:space="preserve"> </w:t>
      </w:r>
      <w:r>
        <w:rPr>
          <w:color w:val="201F1E"/>
          <w:shd w:val="clear" w:color="auto" w:fill="FFFFFF"/>
        </w:rPr>
        <w:t xml:space="preserve">and that these existing primary services </w:t>
      </w:r>
      <w:r w:rsidRPr="00A53BCA">
        <w:rPr>
          <w:color w:val="201F1E"/>
          <w:shd w:val="clear" w:color="auto" w:fill="FFFFFF"/>
        </w:rPr>
        <w:t>can continue operations without having additional regulatory or technical constraints imposed on these services</w:t>
      </w:r>
      <w:r>
        <w:rPr>
          <w:color w:val="201F1E"/>
          <w:shd w:val="clear" w:color="auto" w:fill="FFFFFF"/>
        </w:rPr>
        <w:t xml:space="preserve">, </w:t>
      </w:r>
      <w:r w:rsidRPr="00CC7DEC">
        <w:rPr>
          <w:color w:val="000000"/>
        </w:rPr>
        <w:t>in any potential decisions made at WRC-23</w:t>
      </w:r>
      <w:r w:rsidRPr="003F617C">
        <w:t>.</w:t>
      </w:r>
    </w:p>
    <w:p w14:paraId="00E468B1" w14:textId="77777777" w:rsidR="0097586A" w:rsidRPr="0097586A" w:rsidRDefault="0097586A" w:rsidP="0097586A">
      <w:pPr>
        <w:tabs>
          <w:tab w:val="left" w:pos="600"/>
        </w:tabs>
        <w:snapToGrid w:val="0"/>
        <w:spacing w:after="100" w:line="264" w:lineRule="auto"/>
      </w:pPr>
    </w:p>
    <w:p w14:paraId="5590EFF1" w14:textId="77777777" w:rsidR="002A0111" w:rsidRPr="00441526" w:rsidRDefault="002A0111" w:rsidP="0097586A">
      <w:pPr>
        <w:snapToGrid w:val="0"/>
        <w:spacing w:after="100" w:line="264" w:lineRule="auto"/>
        <w:jc w:val="both"/>
        <w:rPr>
          <w:b/>
          <w:lang w:val="en-NZ"/>
        </w:rPr>
      </w:pPr>
      <w:r w:rsidRPr="00441526">
        <w:rPr>
          <w:b/>
          <w:lang w:val="en-NZ"/>
        </w:rPr>
        <w:t xml:space="preserve">3.2 </w:t>
      </w:r>
      <w:r w:rsidRPr="00441526">
        <w:rPr>
          <w:b/>
          <w:lang w:val="en-NZ"/>
        </w:rPr>
        <w:tab/>
        <w:t>S</w:t>
      </w:r>
      <w:r w:rsidRPr="00441526">
        <w:rPr>
          <w:b/>
          <w:lang w:val="en-NZ" w:eastAsia="ko-KR"/>
        </w:rPr>
        <w:t>ummary of issues raised du</w:t>
      </w:r>
      <w:r w:rsidRPr="00441526">
        <w:rPr>
          <w:b/>
          <w:lang w:val="en-NZ"/>
        </w:rPr>
        <w:t>ring the meeting</w:t>
      </w:r>
    </w:p>
    <w:p w14:paraId="3451DFBF" w14:textId="43FA1E74" w:rsidR="0097586A" w:rsidRPr="00F82DDE" w:rsidRDefault="0056230B" w:rsidP="00D43B27">
      <w:pPr>
        <w:jc w:val="both"/>
        <w:rPr>
          <w:rFonts w:eastAsiaTheme="minorEastAsia"/>
          <w:b/>
          <w:bCs/>
          <w:lang w:val="en-NZ"/>
        </w:rPr>
      </w:pPr>
      <w:r w:rsidRPr="008145E5">
        <w:rPr>
          <w:lang w:val="en-NZ"/>
        </w:rPr>
        <w:t xml:space="preserve">It is </w:t>
      </w:r>
      <w:r w:rsidR="00B356A1" w:rsidRPr="00F82DDE">
        <w:rPr>
          <w:lang w:val="en-NZ"/>
        </w:rPr>
        <w:t>summarized</w:t>
      </w:r>
      <w:r w:rsidR="00D267B4" w:rsidRPr="00F82DDE">
        <w:rPr>
          <w:lang w:val="en-NZ"/>
        </w:rPr>
        <w:t xml:space="preserve"> that the </w:t>
      </w:r>
      <w:r w:rsidR="00B356A1" w:rsidRPr="00F82DDE">
        <w:rPr>
          <w:lang w:val="en-NZ"/>
        </w:rPr>
        <w:t xml:space="preserve">primary services (either through allocation by </w:t>
      </w:r>
      <w:r w:rsidR="003E0048" w:rsidRPr="00F82DDE">
        <w:rPr>
          <w:lang w:val="en-NZ"/>
        </w:rPr>
        <w:t xml:space="preserve">frequency allocation </w:t>
      </w:r>
      <w:r w:rsidR="00EE2874" w:rsidRPr="00F82DDE">
        <w:rPr>
          <w:lang w:val="en-NZ"/>
        </w:rPr>
        <w:t xml:space="preserve">table or by </w:t>
      </w:r>
      <w:r w:rsidR="00B356A1" w:rsidRPr="00F82DDE">
        <w:rPr>
          <w:lang w:val="en-NZ"/>
        </w:rPr>
        <w:t>footnote No</w:t>
      </w:r>
      <w:r w:rsidR="008145E5" w:rsidRPr="00F82DDE">
        <w:rPr>
          <w:lang w:val="en-NZ" w:eastAsia="ko-KR"/>
        </w:rPr>
        <w:t>s</w:t>
      </w:r>
      <w:r w:rsidR="00B356A1" w:rsidRPr="00F82DDE">
        <w:rPr>
          <w:lang w:val="en-NZ"/>
        </w:rPr>
        <w:t xml:space="preserve">. </w:t>
      </w:r>
      <w:r w:rsidR="008D5479">
        <w:rPr>
          <w:b/>
          <w:bCs/>
          <w:lang w:val="en-NZ"/>
        </w:rPr>
        <w:t xml:space="preserve">5.384, </w:t>
      </w:r>
      <w:r w:rsidR="008145E5" w:rsidRPr="00F82DDE">
        <w:rPr>
          <w:b/>
          <w:bCs/>
          <w:lang w:val="en-NZ"/>
        </w:rPr>
        <w:t>5.388, 5.429, 5.429E and 5.429F</w:t>
      </w:r>
      <w:r w:rsidR="00B356A1" w:rsidRPr="00F82DDE">
        <w:rPr>
          <w:lang w:val="en-NZ"/>
        </w:rPr>
        <w:t xml:space="preserve">) including </w:t>
      </w:r>
      <w:r w:rsidR="00D267B4" w:rsidRPr="00F82DDE">
        <w:rPr>
          <w:lang w:val="en-NZ"/>
        </w:rPr>
        <w:t xml:space="preserve">IMT systems </w:t>
      </w:r>
      <w:r w:rsidR="00281526" w:rsidRPr="00F82DDE">
        <w:rPr>
          <w:lang w:val="en-NZ"/>
        </w:rPr>
        <w:t>in Region 3</w:t>
      </w:r>
      <w:r w:rsidR="00D267B4" w:rsidRPr="00F82DDE">
        <w:rPr>
          <w:lang w:val="en-NZ"/>
        </w:rPr>
        <w:t xml:space="preserve"> in the frequency bands which are considered under the agenda item 1.18 of WRC-23 </w:t>
      </w:r>
      <w:r w:rsidR="00281526" w:rsidRPr="00F82DDE">
        <w:rPr>
          <w:lang w:val="en-NZ"/>
        </w:rPr>
        <w:t xml:space="preserve">should be protected from any </w:t>
      </w:r>
      <w:r w:rsidR="00403C3D" w:rsidRPr="00F82DDE">
        <w:rPr>
          <w:lang w:val="en-NZ"/>
        </w:rPr>
        <w:t>impact</w:t>
      </w:r>
      <w:r w:rsidR="00281526" w:rsidRPr="00F82DDE">
        <w:rPr>
          <w:lang w:val="en-NZ"/>
        </w:rPr>
        <w:t xml:space="preserve"> of the study</w:t>
      </w:r>
      <w:r w:rsidR="00403C3D" w:rsidRPr="00F82DDE">
        <w:rPr>
          <w:lang w:val="en-NZ"/>
        </w:rPr>
        <w:t xml:space="preserve"> results</w:t>
      </w:r>
      <w:r w:rsidR="00281526" w:rsidRPr="00F82DDE">
        <w:rPr>
          <w:lang w:val="en-NZ"/>
        </w:rPr>
        <w:t xml:space="preserve"> for this agenda item.</w:t>
      </w:r>
    </w:p>
    <w:p w14:paraId="4401769B" w14:textId="77777777" w:rsidR="002A0111" w:rsidRPr="00441526" w:rsidRDefault="002A0111" w:rsidP="0097586A">
      <w:pPr>
        <w:snapToGrid w:val="0"/>
        <w:spacing w:after="100" w:line="264" w:lineRule="auto"/>
        <w:jc w:val="both"/>
        <w:rPr>
          <w:lang w:val="en-NZ"/>
        </w:rPr>
      </w:pPr>
    </w:p>
    <w:p w14:paraId="072FF872" w14:textId="77777777" w:rsidR="002A0111" w:rsidRPr="00441526" w:rsidRDefault="002A0111" w:rsidP="0097586A">
      <w:pPr>
        <w:snapToGrid w:val="0"/>
        <w:spacing w:after="100" w:line="264" w:lineRule="auto"/>
        <w:jc w:val="both"/>
        <w:rPr>
          <w:b/>
          <w:lang w:val="en-NZ" w:eastAsia="ko-KR"/>
        </w:rPr>
      </w:pPr>
      <w:r w:rsidRPr="00441526">
        <w:rPr>
          <w:b/>
          <w:lang w:val="en-NZ" w:eastAsia="ko-KR"/>
        </w:rPr>
        <w:t xml:space="preserve">4. </w:t>
      </w:r>
      <w:r w:rsidRPr="00441526">
        <w:rPr>
          <w:b/>
          <w:lang w:val="en-NZ" w:eastAsia="ko-KR"/>
        </w:rPr>
        <w:tab/>
        <w:t>APT Preliminary View(s)</w:t>
      </w:r>
    </w:p>
    <w:p w14:paraId="565AE29D" w14:textId="4685A304" w:rsidR="0097586A" w:rsidRPr="0097586A" w:rsidRDefault="00D267B4" w:rsidP="00D43B27">
      <w:pPr>
        <w:snapToGrid w:val="0"/>
        <w:spacing w:after="100" w:line="264" w:lineRule="auto"/>
        <w:jc w:val="both"/>
      </w:pPr>
      <w:r>
        <w:rPr>
          <w:lang w:val="en-NZ"/>
        </w:rPr>
        <w:t xml:space="preserve">APT </w:t>
      </w:r>
      <w:r w:rsidR="005D1348">
        <w:rPr>
          <w:lang w:val="en-NZ"/>
        </w:rPr>
        <w:t>M</w:t>
      </w:r>
      <w:r w:rsidR="00765D38">
        <w:rPr>
          <w:lang w:val="en-NZ"/>
        </w:rPr>
        <w:t xml:space="preserve">embers </w:t>
      </w:r>
      <w:r>
        <w:rPr>
          <w:lang w:val="en-NZ"/>
        </w:rPr>
        <w:t xml:space="preserve">support </w:t>
      </w:r>
      <w:r w:rsidR="00EE2874">
        <w:rPr>
          <w:lang w:val="en-NZ"/>
        </w:rPr>
        <w:t xml:space="preserve">the </w:t>
      </w:r>
      <w:r>
        <w:rPr>
          <w:lang w:val="en-NZ"/>
        </w:rPr>
        <w:t xml:space="preserve">studies at ITU-R for ensuring the protection of </w:t>
      </w:r>
      <w:r w:rsidRPr="00A53BCA">
        <w:rPr>
          <w:color w:val="201F1E"/>
          <w:shd w:val="clear" w:color="auto" w:fill="FFFFFF"/>
        </w:rPr>
        <w:t>primary services</w:t>
      </w:r>
      <w:r>
        <w:rPr>
          <w:color w:val="201F1E"/>
          <w:shd w:val="clear" w:color="auto" w:fill="FFFFFF"/>
        </w:rPr>
        <w:t xml:space="preserve"> including the </w:t>
      </w:r>
      <w:r>
        <w:rPr>
          <w:rFonts w:eastAsia="SimSun" w:hint="eastAsia"/>
          <w:lang w:eastAsia="zh-CN"/>
        </w:rPr>
        <w:t>protection for IMT systems deployed</w:t>
      </w:r>
      <w:r w:rsidRPr="00D267B4">
        <w:rPr>
          <w:color w:val="201F1E"/>
          <w:shd w:val="clear" w:color="auto" w:fill="FFFFFF"/>
        </w:rPr>
        <w:t xml:space="preserve"> </w:t>
      </w:r>
      <w:r>
        <w:rPr>
          <w:color w:val="201F1E"/>
          <w:shd w:val="clear" w:color="auto" w:fill="FFFFFF"/>
        </w:rPr>
        <w:t>in the same and adjacent frequency bands for Region 3</w:t>
      </w:r>
      <w:r w:rsidR="00EE2874">
        <w:rPr>
          <w:color w:val="201F1E"/>
          <w:shd w:val="clear" w:color="auto" w:fill="FFFFFF"/>
        </w:rPr>
        <w:t>, noting that they are Regions 1 &amp; 2 issues</w:t>
      </w:r>
      <w:r w:rsidR="00ED6619">
        <w:rPr>
          <w:color w:val="201F1E"/>
          <w:shd w:val="clear" w:color="auto" w:fill="FFFFFF"/>
        </w:rPr>
        <w:t>.</w:t>
      </w:r>
      <w:r>
        <w:rPr>
          <w:color w:val="201F1E"/>
          <w:shd w:val="clear" w:color="auto" w:fill="FFFFFF"/>
        </w:rPr>
        <w:t xml:space="preserve"> In addition, these existing primary services </w:t>
      </w:r>
      <w:r w:rsidRPr="00A53BCA">
        <w:rPr>
          <w:color w:val="201F1E"/>
          <w:shd w:val="clear" w:color="auto" w:fill="FFFFFF"/>
        </w:rPr>
        <w:t>can continue operations without additional regulatory or technical constraints imposed on these services</w:t>
      </w:r>
      <w:r>
        <w:rPr>
          <w:color w:val="201F1E"/>
          <w:shd w:val="clear" w:color="auto" w:fill="FFFFFF"/>
        </w:rPr>
        <w:t xml:space="preserve">, </w:t>
      </w:r>
      <w:r w:rsidRPr="00CC7DEC">
        <w:rPr>
          <w:color w:val="000000"/>
        </w:rPr>
        <w:t>in any potential decisions made at WRC-23</w:t>
      </w:r>
      <w:r w:rsidR="00EE2874">
        <w:rPr>
          <w:color w:val="000000"/>
        </w:rPr>
        <w:t xml:space="preserve"> regarding agenda item 1.18</w:t>
      </w:r>
      <w:r w:rsidRPr="003F617C">
        <w:t>.</w:t>
      </w:r>
    </w:p>
    <w:p w14:paraId="61A6F75F" w14:textId="77777777" w:rsidR="00262A7E" w:rsidRPr="00262A7E" w:rsidRDefault="00262A7E" w:rsidP="0097586A">
      <w:pPr>
        <w:snapToGrid w:val="0"/>
        <w:spacing w:after="100" w:line="264" w:lineRule="auto"/>
        <w:rPr>
          <w:lang w:val="en-NZ"/>
        </w:rPr>
      </w:pPr>
    </w:p>
    <w:p w14:paraId="5D6CF4B7" w14:textId="77777777" w:rsidR="002A0111" w:rsidRPr="00441526" w:rsidRDefault="002A0111" w:rsidP="0097586A">
      <w:pPr>
        <w:snapToGrid w:val="0"/>
        <w:spacing w:after="100" w:line="264" w:lineRule="auto"/>
        <w:jc w:val="both"/>
        <w:rPr>
          <w:b/>
          <w:lang w:val="en-NZ" w:eastAsia="ko-KR"/>
        </w:rPr>
      </w:pPr>
      <w:r w:rsidRPr="00441526">
        <w:rPr>
          <w:b/>
          <w:lang w:val="en-NZ" w:eastAsia="ko-KR"/>
        </w:rPr>
        <w:t xml:space="preserve">5. </w:t>
      </w:r>
      <w:r w:rsidRPr="00441526">
        <w:rPr>
          <w:b/>
          <w:lang w:val="en-NZ" w:eastAsia="ko-KR"/>
        </w:rPr>
        <w:tab/>
        <w:t>Other View(s)</w:t>
      </w:r>
      <w:r>
        <w:rPr>
          <w:b/>
          <w:lang w:val="en-NZ" w:eastAsia="ko-KR"/>
        </w:rPr>
        <w:t xml:space="preserve"> from APT Members</w:t>
      </w:r>
    </w:p>
    <w:p w14:paraId="37F4FE53" w14:textId="77777777" w:rsidR="002A0111" w:rsidRDefault="00D267B4" w:rsidP="0097586A">
      <w:pPr>
        <w:snapToGrid w:val="0"/>
        <w:spacing w:after="100" w:line="264" w:lineRule="auto"/>
        <w:jc w:val="both"/>
        <w:rPr>
          <w:lang w:val="en-NZ"/>
        </w:rPr>
      </w:pPr>
      <w:r w:rsidRPr="0097586A">
        <w:rPr>
          <w:lang w:val="en-NZ"/>
        </w:rPr>
        <w:t>None</w:t>
      </w:r>
    </w:p>
    <w:p w14:paraId="4CCD9AEE" w14:textId="77777777" w:rsidR="00262A7E" w:rsidRPr="0097586A" w:rsidRDefault="00262A7E" w:rsidP="0097586A">
      <w:pPr>
        <w:snapToGrid w:val="0"/>
        <w:spacing w:after="100" w:line="264" w:lineRule="auto"/>
        <w:jc w:val="both"/>
        <w:rPr>
          <w:lang w:val="en-NZ"/>
        </w:rPr>
      </w:pPr>
    </w:p>
    <w:p w14:paraId="06BD8211" w14:textId="77777777" w:rsidR="002A0111" w:rsidRPr="00441526" w:rsidRDefault="002A0111" w:rsidP="0097586A">
      <w:pPr>
        <w:snapToGrid w:val="0"/>
        <w:spacing w:after="100" w:line="264" w:lineRule="auto"/>
        <w:jc w:val="both"/>
        <w:rPr>
          <w:b/>
          <w:lang w:val="en-NZ" w:eastAsia="ko-KR"/>
        </w:rPr>
      </w:pPr>
      <w:r>
        <w:rPr>
          <w:b/>
          <w:lang w:val="en-NZ" w:eastAsia="ko-KR"/>
        </w:rPr>
        <w:lastRenderedPageBreak/>
        <w:t>6</w:t>
      </w:r>
      <w:r w:rsidRPr="00441526">
        <w:rPr>
          <w:b/>
          <w:lang w:val="en-NZ" w:eastAsia="ko-KR"/>
        </w:rPr>
        <w:t xml:space="preserve">. </w:t>
      </w:r>
      <w:r w:rsidRPr="00441526">
        <w:rPr>
          <w:b/>
          <w:lang w:val="en-NZ" w:eastAsia="ko-KR"/>
        </w:rPr>
        <w:tab/>
        <w:t>Issues for Consideration at Next APG Meeting</w:t>
      </w:r>
    </w:p>
    <w:p w14:paraId="2F338557" w14:textId="0E57AF1C" w:rsidR="0097586A" w:rsidRPr="00441526" w:rsidRDefault="00EE2874" w:rsidP="002F325A">
      <w:pPr>
        <w:snapToGrid w:val="0"/>
        <w:spacing w:after="100" w:line="264" w:lineRule="auto"/>
        <w:jc w:val="both"/>
        <w:rPr>
          <w:lang w:val="en-NZ" w:eastAsia="ko-KR"/>
        </w:rPr>
      </w:pPr>
      <w:r>
        <w:rPr>
          <w:lang w:val="en-NZ" w:eastAsia="ko-KR"/>
        </w:rPr>
        <w:t xml:space="preserve">APT </w:t>
      </w:r>
      <w:r w:rsidR="00D43B27">
        <w:rPr>
          <w:lang w:val="en-NZ" w:eastAsia="ko-KR"/>
        </w:rPr>
        <w:t>M</w:t>
      </w:r>
      <w:r>
        <w:rPr>
          <w:lang w:val="en-NZ" w:eastAsia="ko-KR"/>
        </w:rPr>
        <w:t xml:space="preserve">embers are invited to consider </w:t>
      </w:r>
      <w:r w:rsidR="0097586A">
        <w:rPr>
          <w:lang w:val="en-NZ" w:eastAsia="ko-KR"/>
        </w:rPr>
        <w:t xml:space="preserve">the </w:t>
      </w:r>
      <w:r w:rsidR="002C0684">
        <w:rPr>
          <w:lang w:val="en-NZ" w:eastAsia="ko-KR"/>
        </w:rPr>
        <w:t xml:space="preserve">frequency sharing and </w:t>
      </w:r>
      <w:r w:rsidR="00D77D7A">
        <w:rPr>
          <w:lang w:val="en-NZ" w:eastAsia="ko-KR"/>
        </w:rPr>
        <w:t xml:space="preserve">regulatory and/or technical </w:t>
      </w:r>
      <w:r w:rsidR="0097586A">
        <w:rPr>
          <w:lang w:val="en-NZ" w:eastAsia="ko-KR"/>
        </w:rPr>
        <w:t>measures to protect existing primary services allocated in relevant frequency bands in Region 3.</w:t>
      </w:r>
    </w:p>
    <w:p w14:paraId="668F392A" w14:textId="77777777" w:rsidR="002A0111" w:rsidRPr="00441526" w:rsidRDefault="002A0111" w:rsidP="0097586A">
      <w:pPr>
        <w:snapToGrid w:val="0"/>
        <w:spacing w:after="100" w:line="264" w:lineRule="auto"/>
        <w:jc w:val="both"/>
        <w:rPr>
          <w:lang w:val="en-NZ"/>
        </w:rPr>
      </w:pPr>
    </w:p>
    <w:p w14:paraId="1F90E2F1" w14:textId="77777777" w:rsidR="002A0111" w:rsidRPr="006F518F" w:rsidRDefault="002A0111" w:rsidP="0097586A">
      <w:pPr>
        <w:snapToGrid w:val="0"/>
        <w:spacing w:after="100" w:line="264" w:lineRule="auto"/>
        <w:jc w:val="both"/>
        <w:rPr>
          <w:lang w:val="en-NZ"/>
        </w:rPr>
      </w:pPr>
      <w:r>
        <w:rPr>
          <w:b/>
          <w:lang w:val="en-NZ"/>
        </w:rPr>
        <w:t>7</w:t>
      </w:r>
      <w:r w:rsidRPr="00441526">
        <w:rPr>
          <w:b/>
          <w:lang w:val="en-NZ"/>
        </w:rPr>
        <w:t xml:space="preserve">. </w:t>
      </w:r>
      <w:r w:rsidRPr="00441526">
        <w:rPr>
          <w:b/>
          <w:lang w:val="en-NZ"/>
        </w:rPr>
        <w:tab/>
        <w:t>Views from Other Orga</w:t>
      </w:r>
      <w:r w:rsidR="0056230B">
        <w:rPr>
          <w:b/>
          <w:lang w:val="en-NZ"/>
        </w:rPr>
        <w:t>i</w:t>
      </w:r>
      <w:r w:rsidRPr="00441526">
        <w:rPr>
          <w:b/>
          <w:lang w:val="en-NZ"/>
        </w:rPr>
        <w:t>nisations</w:t>
      </w:r>
      <w:r>
        <w:rPr>
          <w:b/>
          <w:lang w:val="en-NZ"/>
        </w:rPr>
        <w:t xml:space="preserve"> </w:t>
      </w:r>
    </w:p>
    <w:p w14:paraId="145EF37F" w14:textId="77777777" w:rsidR="002A0111" w:rsidRPr="00441526" w:rsidRDefault="005206E9" w:rsidP="0097586A">
      <w:pPr>
        <w:snapToGrid w:val="0"/>
        <w:spacing w:after="100" w:line="264" w:lineRule="auto"/>
        <w:jc w:val="both"/>
        <w:rPr>
          <w:b/>
          <w:lang w:val="en-NZ" w:eastAsia="ko-KR"/>
        </w:rPr>
      </w:pPr>
      <w:r>
        <w:rPr>
          <w:b/>
          <w:lang w:val="en-NZ" w:eastAsia="ko-KR"/>
        </w:rPr>
        <w:t>7</w:t>
      </w:r>
      <w:r w:rsidR="002A0111" w:rsidRPr="00441526">
        <w:rPr>
          <w:b/>
          <w:lang w:val="en-NZ" w:eastAsia="ko-KR"/>
        </w:rPr>
        <w:t xml:space="preserve">.1 </w:t>
      </w:r>
      <w:r w:rsidR="002A0111" w:rsidRPr="00441526">
        <w:rPr>
          <w:b/>
          <w:lang w:val="en-NZ" w:eastAsia="ko-KR"/>
        </w:rPr>
        <w:tab/>
        <w:t>Regional Groups</w:t>
      </w:r>
    </w:p>
    <w:p w14:paraId="19B00E9B" w14:textId="77777777" w:rsidR="006016B6" w:rsidRPr="006016B6" w:rsidRDefault="005206E9" w:rsidP="0097586A">
      <w:pPr>
        <w:snapToGrid w:val="0"/>
        <w:spacing w:after="100" w:line="264" w:lineRule="auto"/>
        <w:jc w:val="both"/>
        <w:rPr>
          <w:b/>
          <w:lang w:val="en-NZ" w:eastAsia="ko-KR"/>
        </w:rPr>
      </w:pPr>
      <w:r>
        <w:rPr>
          <w:b/>
          <w:lang w:val="en-NZ" w:eastAsia="ko-KR"/>
        </w:rPr>
        <w:t>7</w:t>
      </w:r>
      <w:r w:rsidR="002A0111" w:rsidRPr="00441526">
        <w:rPr>
          <w:b/>
          <w:lang w:val="en-NZ" w:eastAsia="ko-KR"/>
        </w:rPr>
        <w:t xml:space="preserve">.1.1 </w:t>
      </w:r>
      <w:r w:rsidR="002A0111" w:rsidRPr="00441526">
        <w:rPr>
          <w:b/>
          <w:lang w:val="en-NZ" w:eastAsia="ko-KR"/>
        </w:rPr>
        <w:tab/>
        <w:t>ASMG</w:t>
      </w:r>
      <w:r w:rsidR="002A0111" w:rsidRPr="00441526">
        <w:t xml:space="preserve"> - </w:t>
      </w:r>
      <w:r w:rsidR="002A0111" w:rsidRPr="00441526">
        <w:rPr>
          <w:b/>
          <w:lang w:val="en-NZ" w:eastAsia="ko-KR"/>
        </w:rPr>
        <w:t>Document APG</w:t>
      </w:r>
      <w:r w:rsidR="006B09DB">
        <w:rPr>
          <w:b/>
          <w:lang w:val="en-NZ" w:eastAsia="ko-KR"/>
        </w:rPr>
        <w:t>23-2</w:t>
      </w:r>
      <w:r w:rsidR="002A0111" w:rsidRPr="00441526">
        <w:rPr>
          <w:b/>
          <w:lang w:val="en-NZ" w:eastAsia="ko-KR"/>
        </w:rPr>
        <w:t>/INF-</w:t>
      </w:r>
      <w:r w:rsidR="006016B6">
        <w:rPr>
          <w:b/>
          <w:lang w:val="en-NZ" w:eastAsia="ko-KR"/>
        </w:rPr>
        <w:t>25</w:t>
      </w:r>
    </w:p>
    <w:p w14:paraId="122CFE05" w14:textId="77777777" w:rsidR="006016B6" w:rsidRPr="006016B6" w:rsidRDefault="006016B6" w:rsidP="00D43B27">
      <w:pPr>
        <w:numPr>
          <w:ilvl w:val="0"/>
          <w:numId w:val="18"/>
        </w:numPr>
        <w:snapToGrid w:val="0"/>
        <w:spacing w:after="100" w:line="264" w:lineRule="auto"/>
        <w:ind w:leftChars="145" w:left="708"/>
        <w:jc w:val="both"/>
        <w:rPr>
          <w:lang w:val="en-NZ"/>
        </w:rPr>
      </w:pPr>
      <w:r w:rsidRPr="006016B6">
        <w:rPr>
          <w:lang w:val="en-NZ"/>
        </w:rPr>
        <w:t>Support the studies in the frequency range 2010 to 2025 MHz for narrow band mobile-satellite systems in accordance to resolution 248 (WRC-19), taking into account the protection of the existing services in the bands and adjacent bands.</w:t>
      </w:r>
    </w:p>
    <w:p w14:paraId="6319B1A6" w14:textId="77777777" w:rsidR="006016B6" w:rsidRPr="006016B6" w:rsidRDefault="006016B6" w:rsidP="00D43B27">
      <w:pPr>
        <w:numPr>
          <w:ilvl w:val="0"/>
          <w:numId w:val="18"/>
        </w:numPr>
        <w:snapToGrid w:val="0"/>
        <w:spacing w:after="100" w:line="264" w:lineRule="auto"/>
        <w:ind w:leftChars="145" w:left="708"/>
        <w:jc w:val="both"/>
        <w:rPr>
          <w:lang w:val="en-NZ"/>
        </w:rPr>
      </w:pPr>
      <w:r w:rsidRPr="006016B6">
        <w:rPr>
          <w:lang w:val="en-NZ"/>
        </w:rPr>
        <w:t>Inviting ASMG administrations to study and define the required bandwidth for narrow band mobile-satellite systems, and determine wither this service define as primary or secondary in this band.</w:t>
      </w:r>
    </w:p>
    <w:p w14:paraId="6BC1111B" w14:textId="77777777" w:rsidR="005206E9" w:rsidRDefault="005206E9" w:rsidP="0097586A">
      <w:pPr>
        <w:snapToGrid w:val="0"/>
        <w:spacing w:after="100" w:line="264" w:lineRule="auto"/>
        <w:jc w:val="both"/>
        <w:rPr>
          <w:b/>
          <w:lang w:val="en-NZ" w:eastAsia="ko-KR"/>
        </w:rPr>
      </w:pPr>
    </w:p>
    <w:p w14:paraId="68BA36E9" w14:textId="77777777" w:rsidR="002A0111" w:rsidRPr="00441526" w:rsidRDefault="005206E9" w:rsidP="0097586A">
      <w:pPr>
        <w:snapToGrid w:val="0"/>
        <w:spacing w:after="100" w:line="264" w:lineRule="auto"/>
        <w:jc w:val="both"/>
        <w:rPr>
          <w:b/>
          <w:lang w:val="en-NZ" w:eastAsia="ko-KR"/>
        </w:rPr>
      </w:pPr>
      <w:r>
        <w:rPr>
          <w:b/>
          <w:lang w:val="en-NZ" w:eastAsia="ko-KR"/>
        </w:rPr>
        <w:t>7</w:t>
      </w:r>
      <w:r w:rsidR="002A0111" w:rsidRPr="00441526">
        <w:rPr>
          <w:b/>
          <w:lang w:val="en-NZ" w:eastAsia="ko-KR"/>
        </w:rPr>
        <w:t>.1.</w:t>
      </w:r>
      <w:r w:rsidR="0097586A">
        <w:rPr>
          <w:b/>
          <w:lang w:val="en-NZ" w:eastAsia="ko-KR"/>
        </w:rPr>
        <w:t>2</w:t>
      </w:r>
      <w:r w:rsidR="002A0111" w:rsidRPr="00441526">
        <w:rPr>
          <w:b/>
          <w:lang w:val="en-NZ" w:eastAsia="ko-KR"/>
        </w:rPr>
        <w:t xml:space="preserve"> </w:t>
      </w:r>
      <w:r w:rsidR="002A0111" w:rsidRPr="00441526">
        <w:rPr>
          <w:b/>
          <w:lang w:val="en-NZ" w:eastAsia="ko-KR"/>
        </w:rPr>
        <w:tab/>
        <w:t xml:space="preserve">CEPT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6B09DB">
        <w:rPr>
          <w:b/>
          <w:lang w:val="en-NZ" w:eastAsia="ko-KR"/>
        </w:rPr>
        <w:t>2</w:t>
      </w:r>
      <w:r w:rsidR="002A0111" w:rsidRPr="00441526">
        <w:rPr>
          <w:b/>
          <w:lang w:val="en-NZ" w:eastAsia="ko-KR"/>
        </w:rPr>
        <w:t>/INF-</w:t>
      </w:r>
      <w:r w:rsidR="006016B6">
        <w:rPr>
          <w:b/>
          <w:lang w:val="en-NZ" w:eastAsia="ko-KR"/>
        </w:rPr>
        <w:t>35</w:t>
      </w:r>
    </w:p>
    <w:p w14:paraId="4AD97D75" w14:textId="77777777" w:rsidR="002A0111" w:rsidRPr="006016B6" w:rsidRDefault="002A0111" w:rsidP="00D43B27">
      <w:pPr>
        <w:numPr>
          <w:ilvl w:val="0"/>
          <w:numId w:val="18"/>
        </w:numPr>
        <w:snapToGrid w:val="0"/>
        <w:spacing w:after="100" w:line="264" w:lineRule="auto"/>
        <w:ind w:leftChars="145" w:left="708"/>
        <w:jc w:val="both"/>
        <w:rPr>
          <w:lang w:val="en-NZ"/>
        </w:rPr>
      </w:pPr>
      <w:r w:rsidRPr="006016B6">
        <w:rPr>
          <w:lang w:val="en-NZ"/>
        </w:rPr>
        <w:t>CEPT views/positions based on direct extract from the relevant information document</w:t>
      </w:r>
      <w:r w:rsidR="006016B6" w:rsidRPr="006016B6">
        <w:t>Based on the results of spectrum needs and sharing and compatibility studies conducted respectively under the</w:t>
      </w:r>
      <w:r w:rsidR="006016B6">
        <w:t xml:space="preserve"> </w:t>
      </w:r>
      <w:r w:rsidR="006016B6" w:rsidRPr="006016B6">
        <w:rPr>
          <w:i/>
          <w:iCs/>
        </w:rPr>
        <w:t xml:space="preserve">resolves to invite the ITU‐R </w:t>
      </w:r>
      <w:r w:rsidR="006016B6" w:rsidRPr="006016B6">
        <w:t xml:space="preserve">1) and 2) of Resolution </w:t>
      </w:r>
      <w:r w:rsidR="006016B6" w:rsidRPr="006016B6">
        <w:rPr>
          <w:b/>
          <w:bCs/>
        </w:rPr>
        <w:t>248 (WRC‐19)</w:t>
      </w:r>
      <w:r w:rsidR="006016B6" w:rsidRPr="006016B6">
        <w:t>, CEPT will consider possible new primary or secondary</w:t>
      </w:r>
      <w:r w:rsidR="006016B6">
        <w:t xml:space="preserve"> </w:t>
      </w:r>
      <w:r w:rsidR="006016B6" w:rsidRPr="006016B6">
        <w:t xml:space="preserve">allocations, with the necessary technical limitations, taking into account the characteristics </w:t>
      </w:r>
      <w:r w:rsidR="006016B6">
        <w:t>d</w:t>
      </w:r>
      <w:r w:rsidR="006016B6" w:rsidRPr="006016B6">
        <w:t xml:space="preserve">escribed in </w:t>
      </w:r>
      <w:r w:rsidR="006016B6" w:rsidRPr="006016B6">
        <w:rPr>
          <w:i/>
          <w:iCs/>
        </w:rPr>
        <w:t xml:space="preserve">recognizing </w:t>
      </w:r>
      <w:r w:rsidR="006016B6" w:rsidRPr="006016B6">
        <w:t>c),</w:t>
      </w:r>
      <w:r w:rsidR="006016B6">
        <w:t xml:space="preserve"> </w:t>
      </w:r>
      <w:r w:rsidR="006016B6" w:rsidRPr="006016B6">
        <w:t>to the MSS for non‐GSO satellites operating low‐data rate systems for the collection of data from, and management of,</w:t>
      </w:r>
      <w:r w:rsidR="006016B6">
        <w:t xml:space="preserve"> </w:t>
      </w:r>
      <w:r w:rsidR="006016B6" w:rsidRPr="006016B6">
        <w:t>terrestrial devices, while ensuring the protection of existing primary services in those frequency bands, and adjacent</w:t>
      </w:r>
      <w:r w:rsidR="006016B6">
        <w:t xml:space="preserve"> </w:t>
      </w:r>
      <w:r w:rsidR="006016B6" w:rsidRPr="006016B6">
        <w:t>bands, without causing undue constraints on their further development.</w:t>
      </w:r>
    </w:p>
    <w:p w14:paraId="14AED22A" w14:textId="77777777" w:rsidR="002A0111" w:rsidRPr="00441526" w:rsidRDefault="002A0111" w:rsidP="0097586A">
      <w:pPr>
        <w:snapToGrid w:val="0"/>
        <w:spacing w:after="100" w:line="264" w:lineRule="auto"/>
        <w:rPr>
          <w:lang w:val="en-NZ"/>
        </w:rPr>
      </w:pPr>
    </w:p>
    <w:p w14:paraId="11C154E0" w14:textId="77777777" w:rsidR="002A0111" w:rsidRPr="00441526" w:rsidRDefault="005206E9" w:rsidP="0097586A">
      <w:pPr>
        <w:snapToGrid w:val="0"/>
        <w:spacing w:after="100" w:line="264" w:lineRule="auto"/>
        <w:jc w:val="both"/>
        <w:rPr>
          <w:b/>
          <w:lang w:val="en-NZ" w:eastAsia="ko-KR"/>
        </w:rPr>
      </w:pPr>
      <w:r>
        <w:rPr>
          <w:b/>
          <w:lang w:val="en-NZ" w:eastAsia="ko-KR"/>
        </w:rPr>
        <w:t>7</w:t>
      </w:r>
      <w:r w:rsidR="002A0111" w:rsidRPr="00441526">
        <w:rPr>
          <w:b/>
          <w:lang w:val="en-NZ" w:eastAsia="ko-KR"/>
        </w:rPr>
        <w:t>.1</w:t>
      </w:r>
      <w:r w:rsidR="0097586A">
        <w:rPr>
          <w:b/>
          <w:lang w:val="en-NZ" w:eastAsia="ko-KR"/>
        </w:rPr>
        <w:t>.3</w:t>
      </w:r>
      <w:r w:rsidR="002A0111" w:rsidRPr="00441526">
        <w:rPr>
          <w:b/>
          <w:lang w:val="en-NZ" w:eastAsia="ko-KR"/>
        </w:rPr>
        <w:tab/>
        <w:t xml:space="preserve">CITEL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6B09DB">
        <w:rPr>
          <w:b/>
          <w:lang w:val="en-NZ" w:eastAsia="ko-KR"/>
        </w:rPr>
        <w:t>2</w:t>
      </w:r>
      <w:r w:rsidR="002A0111" w:rsidRPr="00441526">
        <w:rPr>
          <w:b/>
          <w:lang w:val="en-NZ" w:eastAsia="ko-KR"/>
        </w:rPr>
        <w:t>/INF-</w:t>
      </w:r>
      <w:r w:rsidR="006016B6">
        <w:rPr>
          <w:b/>
          <w:lang w:val="en-NZ" w:eastAsia="ko-KR"/>
        </w:rPr>
        <w:t>34</w:t>
      </w:r>
    </w:p>
    <w:p w14:paraId="40E1D105" w14:textId="77777777" w:rsidR="006F21A4" w:rsidRPr="006016B6" w:rsidRDefault="00964951" w:rsidP="00D43B27">
      <w:pPr>
        <w:numPr>
          <w:ilvl w:val="0"/>
          <w:numId w:val="18"/>
        </w:numPr>
        <w:snapToGrid w:val="0"/>
        <w:spacing w:after="100" w:line="264" w:lineRule="auto"/>
        <w:ind w:leftChars="145" w:left="708"/>
        <w:jc w:val="both"/>
      </w:pPr>
      <w:r w:rsidRPr="006016B6">
        <w:t>An administration supports studies to consider appropriate regulatory measures for the allocation of additional MSS spectrum in the following frequency bands or portions thereof:  1 695 - 1 710 MHz, 3 300 - 3 315 MHz, 3 385 - 3 400 MHz in Region 2, while providing protection to primary incumbent services in these frequency ranges and in adjacent frequency bands.</w:t>
      </w:r>
    </w:p>
    <w:p w14:paraId="321C76C6" w14:textId="77777777" w:rsidR="006F21A4" w:rsidRPr="006016B6" w:rsidRDefault="00964951" w:rsidP="00D43B27">
      <w:pPr>
        <w:numPr>
          <w:ilvl w:val="0"/>
          <w:numId w:val="18"/>
        </w:numPr>
        <w:tabs>
          <w:tab w:val="num" w:pos="720"/>
        </w:tabs>
        <w:snapToGrid w:val="0"/>
        <w:spacing w:after="100" w:line="264" w:lineRule="auto"/>
        <w:ind w:leftChars="145" w:left="708"/>
        <w:jc w:val="both"/>
      </w:pPr>
      <w:r w:rsidRPr="006016B6">
        <w:t>An administration supports conducting studies to consider appropriate regulatory measures, if applicable, for the allocation of additional spectrum in the MSS in the frequency bands under consideration, while ensuring the protection of existing primary services in these frequency bands and adjacent frequency bands.</w:t>
      </w:r>
    </w:p>
    <w:p w14:paraId="09054820" w14:textId="77777777" w:rsidR="006F21A4" w:rsidRPr="006016B6" w:rsidRDefault="00964951" w:rsidP="00D43B27">
      <w:pPr>
        <w:numPr>
          <w:ilvl w:val="0"/>
          <w:numId w:val="18"/>
        </w:numPr>
        <w:tabs>
          <w:tab w:val="num" w:pos="720"/>
        </w:tabs>
        <w:snapToGrid w:val="0"/>
        <w:spacing w:after="100" w:line="264" w:lineRule="auto"/>
        <w:ind w:leftChars="145" w:left="708"/>
        <w:jc w:val="both"/>
      </w:pPr>
      <w:r w:rsidRPr="006016B6">
        <w:t xml:space="preserve">An administration supports the sharing and compatibility studies to determine the suitability of new primary or secondary allocations for NGSO MSS in the frequency bands, or portions thereof, 1695 – 1710 MHz, 3 300 - 3 315 MHz, and 3 385 - 3 400 MHz in Region 2, as well as 2 010 - 2 025 MHz in Region 1, taking into account the need to ensure protection and to not impose any additional constraints on the current use and </w:t>
      </w:r>
      <w:r w:rsidRPr="006016B6">
        <w:lastRenderedPageBreak/>
        <w:t>future development of existing primary services in these frequency ranges and adjacent frequency bands.</w:t>
      </w:r>
    </w:p>
    <w:p w14:paraId="2AAC9DF6" w14:textId="77777777" w:rsidR="002A0111" w:rsidRDefault="002A0111" w:rsidP="0097586A">
      <w:pPr>
        <w:snapToGrid w:val="0"/>
        <w:spacing w:after="100" w:line="264" w:lineRule="auto"/>
        <w:jc w:val="both"/>
        <w:rPr>
          <w:b/>
          <w:lang w:val="en-NZ" w:eastAsia="ko-KR"/>
        </w:rPr>
      </w:pPr>
    </w:p>
    <w:p w14:paraId="3B34B1E5" w14:textId="77777777" w:rsidR="002A0111" w:rsidRPr="00441526" w:rsidRDefault="005206E9" w:rsidP="0097586A">
      <w:pPr>
        <w:snapToGrid w:val="0"/>
        <w:spacing w:after="100" w:line="264" w:lineRule="auto"/>
        <w:jc w:val="both"/>
        <w:rPr>
          <w:b/>
          <w:lang w:val="en-NZ" w:eastAsia="ko-KR"/>
        </w:rPr>
      </w:pPr>
      <w:r>
        <w:rPr>
          <w:b/>
          <w:lang w:val="en-NZ" w:eastAsia="ko-KR"/>
        </w:rPr>
        <w:t>7</w:t>
      </w:r>
      <w:r w:rsidR="002A0111" w:rsidRPr="00441526">
        <w:rPr>
          <w:b/>
          <w:lang w:val="en-NZ" w:eastAsia="ko-KR"/>
        </w:rPr>
        <w:t>.1.</w:t>
      </w:r>
      <w:r w:rsidR="0097586A">
        <w:rPr>
          <w:b/>
          <w:lang w:val="en-NZ" w:eastAsia="ko-KR"/>
        </w:rPr>
        <w:t>4</w:t>
      </w:r>
      <w:r w:rsidR="002A0111" w:rsidRPr="00441526">
        <w:rPr>
          <w:b/>
          <w:lang w:val="en-NZ" w:eastAsia="ko-KR"/>
        </w:rPr>
        <w:t xml:space="preserve"> </w:t>
      </w:r>
      <w:r w:rsidR="002A0111" w:rsidRPr="00441526">
        <w:rPr>
          <w:b/>
          <w:lang w:val="en-NZ" w:eastAsia="ko-KR"/>
        </w:rPr>
        <w:tab/>
        <w:t xml:space="preserve">RCC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6B09DB">
        <w:rPr>
          <w:b/>
          <w:lang w:val="en-NZ" w:eastAsia="ko-KR"/>
        </w:rPr>
        <w:t>2</w:t>
      </w:r>
      <w:r w:rsidR="002A0111" w:rsidRPr="00441526">
        <w:rPr>
          <w:b/>
          <w:lang w:val="en-NZ" w:eastAsia="ko-KR"/>
        </w:rPr>
        <w:t>/INF-</w:t>
      </w:r>
      <w:r w:rsidR="0097586A">
        <w:rPr>
          <w:b/>
          <w:lang w:val="en-NZ" w:eastAsia="ko-KR"/>
        </w:rPr>
        <w:t>36</w:t>
      </w:r>
    </w:p>
    <w:p w14:paraId="6F997BA0" w14:textId="77777777" w:rsidR="002A0111" w:rsidRPr="00441526" w:rsidRDefault="006016B6" w:rsidP="00D43B27">
      <w:pPr>
        <w:numPr>
          <w:ilvl w:val="0"/>
          <w:numId w:val="18"/>
        </w:numPr>
        <w:snapToGrid w:val="0"/>
        <w:spacing w:after="100" w:line="264" w:lineRule="auto"/>
        <w:ind w:leftChars="145" w:left="708"/>
        <w:jc w:val="both"/>
        <w:rPr>
          <w:lang w:val="en-NZ"/>
        </w:rPr>
      </w:pPr>
      <w:r w:rsidRPr="006016B6">
        <w:t>The</w:t>
      </w:r>
      <w:r>
        <w:t xml:space="preserve"> </w:t>
      </w:r>
      <w:r w:rsidRPr="006016B6">
        <w:t>RCC</w:t>
      </w:r>
      <w:r>
        <w:t xml:space="preserve"> </w:t>
      </w:r>
      <w:r w:rsidRPr="006016B6">
        <w:t>Administrations</w:t>
      </w:r>
      <w:r>
        <w:t xml:space="preserve"> </w:t>
      </w:r>
      <w:r w:rsidRPr="006016B6">
        <w:t>consider</w:t>
      </w:r>
      <w:r>
        <w:t xml:space="preserve"> </w:t>
      </w:r>
      <w:r w:rsidRPr="006016B6">
        <w:t>that</w:t>
      </w:r>
      <w:r>
        <w:t xml:space="preserve"> </w:t>
      </w:r>
      <w:r w:rsidRPr="006016B6">
        <w:t>additional</w:t>
      </w:r>
      <w:r>
        <w:t xml:space="preserve"> </w:t>
      </w:r>
      <w:r w:rsidRPr="006016B6">
        <w:t>MSS</w:t>
      </w:r>
      <w:r>
        <w:t xml:space="preserve"> </w:t>
      </w:r>
      <w:r w:rsidRPr="006016B6">
        <w:t>allocation</w:t>
      </w:r>
      <w:r>
        <w:t xml:space="preserve"> </w:t>
      </w:r>
      <w:r w:rsidRPr="006016B6">
        <w:t>is</w:t>
      </w:r>
      <w:r>
        <w:t xml:space="preserve"> </w:t>
      </w:r>
      <w:r w:rsidRPr="006016B6">
        <w:t>permissible</w:t>
      </w:r>
      <w:r>
        <w:t xml:space="preserve"> </w:t>
      </w:r>
      <w:r w:rsidRPr="006016B6">
        <w:t>only</w:t>
      </w:r>
      <w:r>
        <w:t xml:space="preserve"> </w:t>
      </w:r>
      <w:r w:rsidRPr="006016B6">
        <w:t>if</w:t>
      </w:r>
      <w:r>
        <w:t xml:space="preserve"> </w:t>
      </w:r>
      <w:r w:rsidRPr="006016B6">
        <w:t>technical</w:t>
      </w:r>
      <w:r>
        <w:t xml:space="preserve"> </w:t>
      </w:r>
      <w:r w:rsidRPr="006016B6">
        <w:t>and</w:t>
      </w:r>
      <w:r>
        <w:t xml:space="preserve"> </w:t>
      </w:r>
      <w:r w:rsidRPr="006016B6">
        <w:t>operational</w:t>
      </w:r>
      <w:r>
        <w:t xml:space="preserve"> </w:t>
      </w:r>
      <w:r w:rsidRPr="006016B6">
        <w:t>characteristics</w:t>
      </w:r>
      <w:r>
        <w:t xml:space="preserve"> </w:t>
      </w:r>
      <w:r w:rsidRPr="006016B6">
        <w:t>of</w:t>
      </w:r>
      <w:r>
        <w:t xml:space="preserve"> </w:t>
      </w:r>
      <w:r w:rsidRPr="006016B6">
        <w:t>narrow</w:t>
      </w:r>
      <w:r>
        <w:t xml:space="preserve"> </w:t>
      </w:r>
      <w:r w:rsidRPr="006016B6">
        <w:t>band</w:t>
      </w:r>
      <w:r>
        <w:t xml:space="preserve"> </w:t>
      </w:r>
      <w:r w:rsidRPr="006016B6">
        <w:t>mobile</w:t>
      </w:r>
      <w:r>
        <w:t xml:space="preserve"> </w:t>
      </w:r>
      <w:r w:rsidRPr="006016B6">
        <w:t>satellite</w:t>
      </w:r>
      <w:r>
        <w:t xml:space="preserve"> </w:t>
      </w:r>
      <w:r w:rsidRPr="006016B6">
        <w:t>systems</w:t>
      </w:r>
      <w:r>
        <w:t xml:space="preserve"> </w:t>
      </w:r>
      <w:r w:rsidRPr="006016B6">
        <w:t>are</w:t>
      </w:r>
      <w:r>
        <w:t xml:space="preserve"> </w:t>
      </w:r>
      <w:r w:rsidRPr="006016B6">
        <w:t>justified,</w:t>
      </w:r>
      <w:r>
        <w:t xml:space="preserve"> </w:t>
      </w:r>
      <w:r w:rsidRPr="006016B6">
        <w:t>аs</w:t>
      </w:r>
      <w:r>
        <w:t xml:space="preserve"> </w:t>
      </w:r>
      <w:r w:rsidRPr="006016B6">
        <w:t>well</w:t>
      </w:r>
      <w:r>
        <w:t xml:space="preserve"> </w:t>
      </w:r>
      <w:r w:rsidRPr="006016B6">
        <w:t>as</w:t>
      </w:r>
      <w:r>
        <w:t xml:space="preserve"> </w:t>
      </w:r>
      <w:r w:rsidRPr="006016B6">
        <w:t>regulatory</w:t>
      </w:r>
      <w:r>
        <w:t xml:space="preserve"> </w:t>
      </w:r>
      <w:r w:rsidRPr="006016B6">
        <w:t>conditions</w:t>
      </w:r>
      <w:r>
        <w:t xml:space="preserve"> </w:t>
      </w:r>
      <w:r w:rsidRPr="006016B6">
        <w:t>of</w:t>
      </w:r>
      <w:r>
        <w:t xml:space="preserve"> </w:t>
      </w:r>
      <w:r w:rsidRPr="006016B6">
        <w:t>their</w:t>
      </w:r>
      <w:r>
        <w:t xml:space="preserve"> </w:t>
      </w:r>
      <w:r w:rsidRPr="006016B6">
        <w:t>use,</w:t>
      </w:r>
      <w:r>
        <w:t xml:space="preserve"> </w:t>
      </w:r>
      <w:r w:rsidRPr="006016B6">
        <w:t>and</w:t>
      </w:r>
      <w:r>
        <w:t xml:space="preserve"> </w:t>
      </w:r>
      <w:r w:rsidRPr="006016B6">
        <w:t>allowing</w:t>
      </w:r>
      <w:r>
        <w:t xml:space="preserve"> </w:t>
      </w:r>
      <w:r w:rsidRPr="006016B6">
        <w:t>the</w:t>
      </w:r>
      <w:r>
        <w:t xml:space="preserve"> </w:t>
      </w:r>
      <w:r w:rsidRPr="006016B6">
        <w:t>exclusion</w:t>
      </w:r>
      <w:r>
        <w:t xml:space="preserve"> </w:t>
      </w:r>
      <w:r w:rsidRPr="006016B6">
        <w:t>of</w:t>
      </w:r>
      <w:r>
        <w:t xml:space="preserve"> </w:t>
      </w:r>
      <w:r w:rsidRPr="006016B6">
        <w:t>unacceptable</w:t>
      </w:r>
      <w:r>
        <w:t xml:space="preserve"> </w:t>
      </w:r>
      <w:r w:rsidRPr="006016B6">
        <w:t>interference</w:t>
      </w:r>
      <w:r>
        <w:t xml:space="preserve"> </w:t>
      </w:r>
      <w:r w:rsidRPr="006016B6">
        <w:t>towards</w:t>
      </w:r>
      <w:r>
        <w:t xml:space="preserve"> </w:t>
      </w:r>
      <w:r w:rsidRPr="006016B6">
        <w:t>existing</w:t>
      </w:r>
      <w:r>
        <w:t xml:space="preserve"> </w:t>
      </w:r>
      <w:r w:rsidRPr="006016B6">
        <w:t>and</w:t>
      </w:r>
      <w:r>
        <w:t xml:space="preserve"> </w:t>
      </w:r>
      <w:r w:rsidRPr="006016B6">
        <w:t>planned</w:t>
      </w:r>
      <w:r>
        <w:t xml:space="preserve"> </w:t>
      </w:r>
      <w:r w:rsidRPr="006016B6">
        <w:t>systems</w:t>
      </w:r>
      <w:r>
        <w:t xml:space="preserve"> </w:t>
      </w:r>
      <w:r w:rsidRPr="006016B6">
        <w:t>operated</w:t>
      </w:r>
      <w:r>
        <w:t xml:space="preserve"> </w:t>
      </w:r>
      <w:r w:rsidRPr="006016B6">
        <w:t>in</w:t>
      </w:r>
      <w:r>
        <w:t xml:space="preserve"> </w:t>
      </w:r>
      <w:r w:rsidRPr="006016B6">
        <w:t>the</w:t>
      </w:r>
      <w:r>
        <w:t xml:space="preserve"> </w:t>
      </w:r>
      <w:r w:rsidRPr="006016B6">
        <w:t>same</w:t>
      </w:r>
      <w:r>
        <w:t xml:space="preserve"> </w:t>
      </w:r>
      <w:r w:rsidRPr="006016B6">
        <w:t>and</w:t>
      </w:r>
      <w:r>
        <w:t xml:space="preserve"> </w:t>
      </w:r>
      <w:r w:rsidRPr="006016B6">
        <w:t>adjacent</w:t>
      </w:r>
      <w:r>
        <w:t xml:space="preserve"> </w:t>
      </w:r>
      <w:r w:rsidRPr="006016B6">
        <w:t>frequency</w:t>
      </w:r>
      <w:r>
        <w:t xml:space="preserve"> </w:t>
      </w:r>
      <w:r w:rsidRPr="006016B6">
        <w:t>bands</w:t>
      </w:r>
      <w:r>
        <w:t xml:space="preserve"> </w:t>
      </w:r>
      <w:r w:rsidRPr="006016B6">
        <w:t>in</w:t>
      </w:r>
      <w:r>
        <w:t xml:space="preserve"> </w:t>
      </w:r>
      <w:r w:rsidRPr="006016B6">
        <w:t>accordance</w:t>
      </w:r>
      <w:r>
        <w:t xml:space="preserve"> </w:t>
      </w:r>
      <w:r w:rsidRPr="006016B6">
        <w:t>with</w:t>
      </w:r>
      <w:r>
        <w:t xml:space="preserve"> </w:t>
      </w:r>
      <w:r w:rsidRPr="006016B6">
        <w:t>Article</w:t>
      </w:r>
      <w:r>
        <w:t xml:space="preserve"> </w:t>
      </w:r>
      <w:r w:rsidRPr="006016B6">
        <w:t>5</w:t>
      </w:r>
      <w:r>
        <w:t xml:space="preserve"> </w:t>
      </w:r>
      <w:r w:rsidRPr="006016B6">
        <w:t>RR.</w:t>
      </w:r>
    </w:p>
    <w:p w14:paraId="6E28965E" w14:textId="77777777" w:rsidR="002A0111" w:rsidRPr="00441526" w:rsidRDefault="002A0111" w:rsidP="0097586A">
      <w:pPr>
        <w:snapToGrid w:val="0"/>
        <w:spacing w:after="100" w:line="264" w:lineRule="auto"/>
        <w:rPr>
          <w:lang w:val="en-NZ"/>
        </w:rPr>
      </w:pPr>
    </w:p>
    <w:p w14:paraId="261D8E0F" w14:textId="77777777" w:rsidR="002A0111" w:rsidRPr="00441526" w:rsidRDefault="005206E9" w:rsidP="0097586A">
      <w:pPr>
        <w:snapToGrid w:val="0"/>
        <w:spacing w:after="100" w:line="264" w:lineRule="auto"/>
        <w:jc w:val="both"/>
        <w:rPr>
          <w:b/>
          <w:lang w:val="en-NZ" w:eastAsia="ko-KR"/>
        </w:rPr>
      </w:pPr>
      <w:r>
        <w:rPr>
          <w:b/>
          <w:lang w:val="en-NZ" w:eastAsia="ko-KR"/>
        </w:rPr>
        <w:t>7</w:t>
      </w:r>
      <w:r w:rsidR="002A0111" w:rsidRPr="00441526">
        <w:rPr>
          <w:b/>
          <w:lang w:val="en-NZ" w:eastAsia="ko-KR"/>
        </w:rPr>
        <w:t xml:space="preserve">.2 </w:t>
      </w:r>
      <w:r w:rsidR="002A0111" w:rsidRPr="00441526">
        <w:rPr>
          <w:b/>
          <w:lang w:val="en-NZ" w:eastAsia="ko-KR"/>
        </w:rPr>
        <w:tab/>
        <w:t>International Organisations</w:t>
      </w:r>
    </w:p>
    <w:p w14:paraId="56DF9D4E" w14:textId="77777777" w:rsidR="002A0111" w:rsidRPr="00441526" w:rsidRDefault="005206E9" w:rsidP="0097586A">
      <w:pPr>
        <w:snapToGrid w:val="0"/>
        <w:spacing w:after="100" w:line="264" w:lineRule="auto"/>
        <w:jc w:val="both"/>
        <w:rPr>
          <w:b/>
          <w:lang w:val="en-NZ" w:eastAsia="ko-KR"/>
        </w:rPr>
      </w:pPr>
      <w:r>
        <w:rPr>
          <w:b/>
          <w:lang w:val="en-NZ" w:eastAsia="ko-KR"/>
        </w:rPr>
        <w:t>7</w:t>
      </w:r>
      <w:r w:rsidR="002A0111" w:rsidRPr="00441526">
        <w:rPr>
          <w:b/>
          <w:lang w:val="en-NZ" w:eastAsia="ko-KR"/>
        </w:rPr>
        <w:t xml:space="preserve">.2.1 </w:t>
      </w:r>
      <w:r w:rsidR="002A0111" w:rsidRPr="00441526">
        <w:rPr>
          <w:b/>
          <w:lang w:val="en-NZ" w:eastAsia="ko-KR"/>
        </w:rPr>
        <w:tab/>
        <w:t xml:space="preserve">IARU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6B09DB">
        <w:rPr>
          <w:b/>
          <w:lang w:val="en-NZ" w:eastAsia="ko-KR"/>
        </w:rPr>
        <w:t>2</w:t>
      </w:r>
      <w:r w:rsidR="002A0111" w:rsidRPr="00441526">
        <w:rPr>
          <w:b/>
          <w:lang w:val="en-NZ" w:eastAsia="ko-KR"/>
        </w:rPr>
        <w:t>/INF-</w:t>
      </w:r>
      <w:r w:rsidR="0097586A">
        <w:rPr>
          <w:b/>
          <w:lang w:val="en-NZ" w:eastAsia="ko-KR"/>
        </w:rPr>
        <w:t>23</w:t>
      </w:r>
    </w:p>
    <w:p w14:paraId="5BA29A97" w14:textId="77777777" w:rsidR="0097586A" w:rsidRPr="0097586A" w:rsidRDefault="0097586A" w:rsidP="0097586A">
      <w:pPr>
        <w:numPr>
          <w:ilvl w:val="0"/>
          <w:numId w:val="18"/>
        </w:numPr>
        <w:snapToGrid w:val="0"/>
        <w:spacing w:after="100" w:line="264" w:lineRule="auto"/>
        <w:ind w:leftChars="145" w:left="708"/>
        <w:rPr>
          <w:lang w:val="en-NZ"/>
        </w:rPr>
      </w:pPr>
      <w:r w:rsidRPr="0097586A">
        <w:rPr>
          <w:lang w:val="en-NZ"/>
        </w:rPr>
        <w:t>The IARU supports retention of the amateur secondary allocation of 3 300-3 400 MHz in Regions 2 and 3.</w:t>
      </w:r>
    </w:p>
    <w:p w14:paraId="08118A38" w14:textId="77777777" w:rsidR="002A0111" w:rsidRPr="00441526" w:rsidRDefault="002A0111" w:rsidP="0097586A">
      <w:pPr>
        <w:snapToGrid w:val="0"/>
        <w:spacing w:after="100" w:line="264" w:lineRule="auto"/>
        <w:rPr>
          <w:lang w:val="en-NZ"/>
        </w:rPr>
      </w:pPr>
    </w:p>
    <w:p w14:paraId="1D98DAF8" w14:textId="77777777" w:rsidR="002A0111" w:rsidRPr="00710333" w:rsidRDefault="002A0111" w:rsidP="0097586A">
      <w:pPr>
        <w:snapToGrid w:val="0"/>
        <w:spacing w:after="100" w:line="264" w:lineRule="auto"/>
        <w:jc w:val="center"/>
        <w:rPr>
          <w:snapToGrid w:val="0"/>
          <w:lang w:val="en-NZ"/>
        </w:rPr>
      </w:pPr>
      <w:r w:rsidRPr="00441526">
        <w:rPr>
          <w:lang w:val="en-NZ"/>
        </w:rPr>
        <w:t>____________</w:t>
      </w:r>
    </w:p>
    <w:p w14:paraId="0C152168" w14:textId="77777777" w:rsidR="002A0111" w:rsidRPr="007673CA" w:rsidRDefault="002A0111" w:rsidP="0097586A">
      <w:pPr>
        <w:snapToGrid w:val="0"/>
        <w:spacing w:after="100" w:line="264" w:lineRule="auto"/>
        <w:jc w:val="both"/>
        <w:rPr>
          <w:lang w:val="en-NZ"/>
        </w:rPr>
      </w:pPr>
    </w:p>
    <w:p w14:paraId="21AF46EF" w14:textId="77777777" w:rsidR="002A0111" w:rsidRDefault="002A0111" w:rsidP="0097586A">
      <w:pPr>
        <w:snapToGrid w:val="0"/>
        <w:spacing w:after="100" w:line="264" w:lineRule="auto"/>
        <w:rPr>
          <w:b/>
          <w:lang w:val="en-NZ"/>
        </w:rPr>
      </w:pPr>
    </w:p>
    <w:p w14:paraId="5C41027C" w14:textId="77777777" w:rsidR="002A0111" w:rsidRPr="002A0111" w:rsidRDefault="002A0111" w:rsidP="0097586A">
      <w:pPr>
        <w:snapToGrid w:val="0"/>
        <w:spacing w:after="100" w:line="264" w:lineRule="auto"/>
        <w:rPr>
          <w:lang w:val="en-NZ"/>
        </w:rPr>
      </w:pPr>
    </w:p>
    <w:p w14:paraId="450929B6" w14:textId="77777777" w:rsidR="002A0111" w:rsidRPr="002A0111" w:rsidRDefault="002A0111" w:rsidP="0097586A">
      <w:pPr>
        <w:snapToGrid w:val="0"/>
        <w:spacing w:after="100" w:line="264" w:lineRule="auto"/>
        <w:rPr>
          <w:lang w:val="en-NZ"/>
        </w:rPr>
      </w:pPr>
    </w:p>
    <w:p w14:paraId="0B91FCB8" w14:textId="77777777" w:rsidR="002A0111" w:rsidRPr="002A0111" w:rsidRDefault="002A0111" w:rsidP="0097586A">
      <w:pPr>
        <w:snapToGrid w:val="0"/>
        <w:spacing w:after="100" w:line="264" w:lineRule="auto"/>
        <w:rPr>
          <w:lang w:val="en-NZ"/>
        </w:rPr>
      </w:pPr>
    </w:p>
    <w:p w14:paraId="7A98CAE6" w14:textId="77777777" w:rsidR="002A0111" w:rsidRPr="002A0111" w:rsidRDefault="002A0111" w:rsidP="0097586A">
      <w:pPr>
        <w:snapToGrid w:val="0"/>
        <w:spacing w:after="100" w:line="264" w:lineRule="auto"/>
        <w:rPr>
          <w:lang w:val="en-NZ"/>
        </w:rPr>
      </w:pPr>
    </w:p>
    <w:p w14:paraId="52ACD243" w14:textId="77777777" w:rsidR="002A0111" w:rsidRPr="002A0111" w:rsidRDefault="002A0111" w:rsidP="0097586A">
      <w:pPr>
        <w:snapToGrid w:val="0"/>
        <w:spacing w:after="100" w:line="264" w:lineRule="auto"/>
        <w:rPr>
          <w:lang w:val="en-NZ"/>
        </w:rPr>
      </w:pPr>
    </w:p>
    <w:p w14:paraId="4B0B4628" w14:textId="77777777" w:rsidR="002A0111" w:rsidRPr="002A0111" w:rsidRDefault="002A0111" w:rsidP="0097586A">
      <w:pPr>
        <w:snapToGrid w:val="0"/>
        <w:spacing w:after="100" w:line="264" w:lineRule="auto"/>
        <w:rPr>
          <w:lang w:val="en-NZ"/>
        </w:rPr>
      </w:pPr>
    </w:p>
    <w:p w14:paraId="0A8F4301" w14:textId="77777777" w:rsidR="002A0111" w:rsidRPr="002A0111" w:rsidRDefault="002A0111" w:rsidP="0097586A">
      <w:pPr>
        <w:snapToGrid w:val="0"/>
        <w:spacing w:after="100" w:line="264" w:lineRule="auto"/>
        <w:rPr>
          <w:lang w:val="en-NZ"/>
        </w:rPr>
      </w:pPr>
    </w:p>
    <w:p w14:paraId="5EA0B1F9" w14:textId="77777777" w:rsidR="002A0111" w:rsidRPr="002A0111" w:rsidRDefault="002A0111" w:rsidP="0097586A">
      <w:pPr>
        <w:snapToGrid w:val="0"/>
        <w:spacing w:after="100" w:line="264" w:lineRule="auto"/>
        <w:rPr>
          <w:lang w:val="en-NZ"/>
        </w:rPr>
      </w:pPr>
    </w:p>
    <w:p w14:paraId="55D87BCB" w14:textId="77777777" w:rsidR="002A0111" w:rsidRPr="002A0111" w:rsidRDefault="002A0111" w:rsidP="0097586A">
      <w:pPr>
        <w:snapToGrid w:val="0"/>
        <w:spacing w:after="100" w:line="264" w:lineRule="auto"/>
        <w:rPr>
          <w:lang w:val="en-NZ"/>
        </w:rPr>
      </w:pPr>
    </w:p>
    <w:p w14:paraId="6D11F3FC" w14:textId="77777777" w:rsidR="002A0111" w:rsidRPr="002A0111" w:rsidRDefault="002A0111" w:rsidP="0097586A">
      <w:pPr>
        <w:snapToGrid w:val="0"/>
        <w:spacing w:after="100" w:line="264" w:lineRule="auto"/>
        <w:rPr>
          <w:lang w:val="en-NZ"/>
        </w:rPr>
      </w:pPr>
    </w:p>
    <w:p w14:paraId="64C9F132" w14:textId="77777777" w:rsidR="00654896" w:rsidRPr="002A0111" w:rsidRDefault="002A0111" w:rsidP="0097586A">
      <w:pPr>
        <w:tabs>
          <w:tab w:val="left" w:pos="1410"/>
        </w:tabs>
        <w:snapToGrid w:val="0"/>
        <w:spacing w:after="100" w:line="264" w:lineRule="auto"/>
        <w:rPr>
          <w:lang w:val="en-NZ"/>
        </w:rPr>
      </w:pPr>
      <w:r>
        <w:rPr>
          <w:lang w:val="en-NZ"/>
        </w:rPr>
        <w:tab/>
      </w:r>
    </w:p>
    <w:sectPr w:rsidR="00654896" w:rsidRPr="002A0111" w:rsidSect="00C516C7">
      <w:headerReference w:type="default" r:id="rId9"/>
      <w:footerReference w:type="even" r:id="rId10"/>
      <w:footerReference w:type="default" r:id="rId11"/>
      <w:headerReference w:type="first" r:id="rId12"/>
      <w:footerReference w:type="first" r:id="rId13"/>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050B0" w14:textId="77777777" w:rsidR="00D76F90" w:rsidRDefault="00D76F90">
      <w:r>
        <w:separator/>
      </w:r>
    </w:p>
  </w:endnote>
  <w:endnote w:type="continuationSeparator" w:id="0">
    <w:p w14:paraId="075D5CD0" w14:textId="77777777" w:rsidR="00D76F90" w:rsidRDefault="00D76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ulimChe">
    <w:altName w:val="굴림체"/>
    <w:charset w:val="81"/>
    <w:family w:val="modern"/>
    <w:pitch w:val="fixed"/>
    <w:sig w:usb0="B00002AF" w:usb1="69D77CFB" w:usb2="00000030" w:usb3="00000000" w:csb0="0008009F" w:csb1="00000000"/>
  </w:font>
  <w:font w:name="BatangChe">
    <w:altName w:val="Batang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E073"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9E4ECE"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C4891" w14:textId="4240E7DE" w:rsidR="0097693B" w:rsidRDefault="0092727B" w:rsidP="0092727B">
    <w:pPr>
      <w:pStyle w:val="Footer"/>
      <w:tabs>
        <w:tab w:val="clear" w:pos="4320"/>
        <w:tab w:val="clear" w:pos="8640"/>
        <w:tab w:val="right" w:pos="9180"/>
      </w:tabs>
      <w:ind w:right="-7"/>
    </w:pPr>
    <w:r>
      <w:rPr>
        <w:rFonts w:hint="eastAsia"/>
        <w:lang w:eastAsia="ko-KR"/>
      </w:rPr>
      <w:t>A</w:t>
    </w:r>
    <w:r w:rsidR="009C7235">
      <w:rPr>
        <w:lang w:eastAsia="ko-KR"/>
      </w:rPr>
      <w:t>PG</w:t>
    </w:r>
    <w:r w:rsidR="006B09DB">
      <w:rPr>
        <w:lang w:eastAsia="ko-KR"/>
      </w:rPr>
      <w:t>23</w:t>
    </w:r>
    <w:r w:rsidR="009C7235">
      <w:rPr>
        <w:lang w:eastAsia="ko-KR"/>
      </w:rPr>
      <w:t>-</w:t>
    </w:r>
    <w:r w:rsidR="006B09DB">
      <w:rPr>
        <w:lang w:eastAsia="ko-KR"/>
      </w:rPr>
      <w:t>2</w:t>
    </w:r>
    <w:r w:rsidR="002A0111">
      <w:rPr>
        <w:lang w:eastAsia="ko-KR"/>
      </w:rPr>
      <w:t>/</w:t>
    </w:r>
    <w:r w:rsidR="00F5464A">
      <w:rPr>
        <w:lang w:eastAsia="ko-KR"/>
      </w:rPr>
      <w:t>OUT</w:t>
    </w:r>
    <w:r>
      <w:rPr>
        <w:lang w:eastAsia="ko-KR"/>
      </w:rPr>
      <w:t>-</w:t>
    </w:r>
    <w:r w:rsidR="00F5464A">
      <w:rPr>
        <w:lang w:eastAsia="ko-KR"/>
      </w:rPr>
      <w:t>31</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2F325A">
      <w:rPr>
        <w:rStyle w:val="PageNumber"/>
        <w:noProof/>
      </w:rPr>
      <w:t>4</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2F325A">
      <w:rPr>
        <w:rStyle w:val="PageNumber"/>
        <w:noProof/>
      </w:rPr>
      <w:t>4</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5184"/>
      <w:gridCol w:w="2880"/>
    </w:tblGrid>
    <w:tr w:rsidR="0092727B" w14:paraId="2ABD3D3E" w14:textId="77777777" w:rsidTr="00BB0EA4">
      <w:trPr>
        <w:trHeight w:val="432"/>
      </w:trPr>
      <w:tc>
        <w:tcPr>
          <w:tcW w:w="1296" w:type="dxa"/>
          <w:tcBorders>
            <w:top w:val="single" w:sz="8" w:space="0" w:color="auto"/>
            <w:bottom w:val="nil"/>
            <w:right w:val="nil"/>
          </w:tcBorders>
        </w:tcPr>
        <w:p w14:paraId="72F614AA" w14:textId="77777777" w:rsidR="0092727B" w:rsidRDefault="0092727B" w:rsidP="0092727B">
          <w:pPr>
            <w:pStyle w:val="Footer"/>
            <w:tabs>
              <w:tab w:val="clear" w:pos="4320"/>
              <w:tab w:val="clear" w:pos="8640"/>
            </w:tabs>
            <w:rPr>
              <w:sz w:val="16"/>
              <w:szCs w:val="16"/>
            </w:rPr>
          </w:pPr>
          <w:r>
            <w:rPr>
              <w:b/>
              <w:bCs/>
            </w:rPr>
            <w:t>Contact:</w:t>
          </w:r>
        </w:p>
      </w:tc>
      <w:tc>
        <w:tcPr>
          <w:tcW w:w="5184" w:type="dxa"/>
          <w:tcBorders>
            <w:top w:val="single" w:sz="8" w:space="0" w:color="auto"/>
            <w:left w:val="nil"/>
            <w:bottom w:val="nil"/>
            <w:right w:val="nil"/>
          </w:tcBorders>
        </w:tcPr>
        <w:p w14:paraId="6583AF33" w14:textId="77777777" w:rsidR="0092727B" w:rsidRDefault="002C0684" w:rsidP="0092727B">
          <w:pPr>
            <w:pStyle w:val="Footer"/>
            <w:tabs>
              <w:tab w:val="clear" w:pos="4320"/>
              <w:tab w:val="clear" w:pos="8640"/>
            </w:tabs>
          </w:pPr>
          <w:r>
            <w:t>Dr. Daesub Oh</w:t>
          </w:r>
        </w:p>
        <w:p w14:paraId="07E511AB" w14:textId="77777777" w:rsidR="002A0111" w:rsidRPr="002A0111" w:rsidRDefault="002A0111" w:rsidP="0092727B">
          <w:pPr>
            <w:pStyle w:val="Footer"/>
            <w:tabs>
              <w:tab w:val="clear" w:pos="4320"/>
              <w:tab w:val="clear" w:pos="8640"/>
            </w:tabs>
          </w:pPr>
          <w:r>
            <w:t>Chairman, DG AI</w:t>
          </w:r>
          <w:r w:rsidR="002C0684">
            <w:t xml:space="preserve"> </w:t>
          </w:r>
          <w:r>
            <w:t>1.</w:t>
          </w:r>
          <w:r w:rsidR="002C0684">
            <w:t>18</w:t>
          </w:r>
        </w:p>
      </w:tc>
      <w:tc>
        <w:tcPr>
          <w:tcW w:w="2880" w:type="dxa"/>
          <w:tcBorders>
            <w:top w:val="single" w:sz="8" w:space="0" w:color="auto"/>
            <w:left w:val="nil"/>
            <w:bottom w:val="nil"/>
          </w:tcBorders>
        </w:tcPr>
        <w:p w14:paraId="79E3944D" w14:textId="77777777" w:rsidR="0092727B" w:rsidRPr="0092727B" w:rsidRDefault="0092727B" w:rsidP="0092727B">
          <w:pPr>
            <w:pStyle w:val="Footer"/>
            <w:tabs>
              <w:tab w:val="clear" w:pos="4320"/>
              <w:tab w:val="clear" w:pos="8640"/>
            </w:tabs>
          </w:pPr>
          <w:r>
            <w:t>E-mail:</w:t>
          </w:r>
          <w:r w:rsidR="002C0684">
            <w:t xml:space="preserve"> trap@etri.re.kr</w:t>
          </w:r>
        </w:p>
      </w:tc>
    </w:tr>
  </w:tbl>
  <w:p w14:paraId="38E34353" w14:textId="77777777" w:rsidR="0097693B" w:rsidRDefault="0097693B"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AA23F" w14:textId="77777777" w:rsidR="00D76F90" w:rsidRDefault="00D76F90">
      <w:r>
        <w:separator/>
      </w:r>
    </w:p>
  </w:footnote>
  <w:footnote w:type="continuationSeparator" w:id="0">
    <w:p w14:paraId="0947E552" w14:textId="77777777" w:rsidR="00D76F90" w:rsidRDefault="00D76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2C1EE" w14:textId="77777777" w:rsidR="0097693B" w:rsidRDefault="0097693B" w:rsidP="0092727B">
    <w:pPr>
      <w:pStyle w:val="Header"/>
      <w:tabs>
        <w:tab w:val="clear" w:pos="4320"/>
        <w:tab w:val="clear" w:pos="8640"/>
      </w:tabs>
      <w:rPr>
        <w:lang w:eastAsia="ko-KR"/>
      </w:rPr>
    </w:pPr>
  </w:p>
  <w:p w14:paraId="30266DD3" w14:textId="77777777" w:rsidR="0097693B" w:rsidRDefault="0097693B"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11D8D"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9" w15:restartNumberingAfterBreak="0">
    <w:nsid w:val="30FA2D74"/>
    <w:multiLevelType w:val="hybridMultilevel"/>
    <w:tmpl w:val="05641AE4"/>
    <w:lvl w:ilvl="0" w:tplc="FEAE1C72">
      <w:start w:val="1"/>
      <w:numFmt w:val="bullet"/>
      <w:lvlText w:val="•"/>
      <w:lvlJc w:val="left"/>
      <w:pPr>
        <w:tabs>
          <w:tab w:val="num" w:pos="720"/>
        </w:tabs>
        <w:ind w:left="720" w:hanging="360"/>
      </w:pPr>
      <w:rPr>
        <w:rFonts w:ascii="Arial" w:hAnsi="Arial" w:hint="default"/>
      </w:rPr>
    </w:lvl>
    <w:lvl w:ilvl="1" w:tplc="9A58C92A" w:tentative="1">
      <w:start w:val="1"/>
      <w:numFmt w:val="bullet"/>
      <w:lvlText w:val="•"/>
      <w:lvlJc w:val="left"/>
      <w:pPr>
        <w:tabs>
          <w:tab w:val="num" w:pos="1440"/>
        </w:tabs>
        <w:ind w:left="1440" w:hanging="360"/>
      </w:pPr>
      <w:rPr>
        <w:rFonts w:ascii="Arial" w:hAnsi="Arial" w:hint="default"/>
      </w:rPr>
    </w:lvl>
    <w:lvl w:ilvl="2" w:tplc="C6264C66" w:tentative="1">
      <w:start w:val="1"/>
      <w:numFmt w:val="bullet"/>
      <w:lvlText w:val="•"/>
      <w:lvlJc w:val="left"/>
      <w:pPr>
        <w:tabs>
          <w:tab w:val="num" w:pos="2160"/>
        </w:tabs>
        <w:ind w:left="2160" w:hanging="360"/>
      </w:pPr>
      <w:rPr>
        <w:rFonts w:ascii="Arial" w:hAnsi="Arial" w:hint="default"/>
      </w:rPr>
    </w:lvl>
    <w:lvl w:ilvl="3" w:tplc="76DEA5C0" w:tentative="1">
      <w:start w:val="1"/>
      <w:numFmt w:val="bullet"/>
      <w:lvlText w:val="•"/>
      <w:lvlJc w:val="left"/>
      <w:pPr>
        <w:tabs>
          <w:tab w:val="num" w:pos="2880"/>
        </w:tabs>
        <w:ind w:left="2880" w:hanging="360"/>
      </w:pPr>
      <w:rPr>
        <w:rFonts w:ascii="Arial" w:hAnsi="Arial" w:hint="default"/>
      </w:rPr>
    </w:lvl>
    <w:lvl w:ilvl="4" w:tplc="46BCFB0C" w:tentative="1">
      <w:start w:val="1"/>
      <w:numFmt w:val="bullet"/>
      <w:lvlText w:val="•"/>
      <w:lvlJc w:val="left"/>
      <w:pPr>
        <w:tabs>
          <w:tab w:val="num" w:pos="3600"/>
        </w:tabs>
        <w:ind w:left="3600" w:hanging="360"/>
      </w:pPr>
      <w:rPr>
        <w:rFonts w:ascii="Arial" w:hAnsi="Arial" w:hint="default"/>
      </w:rPr>
    </w:lvl>
    <w:lvl w:ilvl="5" w:tplc="AA76E4E8" w:tentative="1">
      <w:start w:val="1"/>
      <w:numFmt w:val="bullet"/>
      <w:lvlText w:val="•"/>
      <w:lvlJc w:val="left"/>
      <w:pPr>
        <w:tabs>
          <w:tab w:val="num" w:pos="4320"/>
        </w:tabs>
        <w:ind w:left="4320" w:hanging="360"/>
      </w:pPr>
      <w:rPr>
        <w:rFonts w:ascii="Arial" w:hAnsi="Arial" w:hint="default"/>
      </w:rPr>
    </w:lvl>
    <w:lvl w:ilvl="6" w:tplc="2E9C73B0" w:tentative="1">
      <w:start w:val="1"/>
      <w:numFmt w:val="bullet"/>
      <w:lvlText w:val="•"/>
      <w:lvlJc w:val="left"/>
      <w:pPr>
        <w:tabs>
          <w:tab w:val="num" w:pos="5040"/>
        </w:tabs>
        <w:ind w:left="5040" w:hanging="360"/>
      </w:pPr>
      <w:rPr>
        <w:rFonts w:ascii="Arial" w:hAnsi="Arial" w:hint="default"/>
      </w:rPr>
    </w:lvl>
    <w:lvl w:ilvl="7" w:tplc="ABE87210" w:tentative="1">
      <w:start w:val="1"/>
      <w:numFmt w:val="bullet"/>
      <w:lvlText w:val="•"/>
      <w:lvlJc w:val="left"/>
      <w:pPr>
        <w:tabs>
          <w:tab w:val="num" w:pos="5760"/>
        </w:tabs>
        <w:ind w:left="5760" w:hanging="360"/>
      </w:pPr>
      <w:rPr>
        <w:rFonts w:ascii="Arial" w:hAnsi="Arial" w:hint="default"/>
      </w:rPr>
    </w:lvl>
    <w:lvl w:ilvl="8" w:tplc="44D62F9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390F2E16"/>
    <w:multiLevelType w:val="multilevel"/>
    <w:tmpl w:val="390F2E16"/>
    <w:lvl w:ilvl="0">
      <w:start w:val="1"/>
      <w:numFmt w:val="bullet"/>
      <w:lvlText w:val="–"/>
      <w:lvlJc w:val="left"/>
      <w:pPr>
        <w:ind w:left="142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3"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4"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8"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19"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1"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2"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abstractNumId w:val="10"/>
  </w:num>
  <w:num w:numId="2">
    <w:abstractNumId w:val="5"/>
  </w:num>
  <w:num w:numId="3">
    <w:abstractNumId w:val="4"/>
  </w:num>
  <w:num w:numId="4">
    <w:abstractNumId w:val="17"/>
  </w:num>
  <w:num w:numId="5">
    <w:abstractNumId w:val="8"/>
  </w:num>
  <w:num w:numId="6">
    <w:abstractNumId w:val="11"/>
  </w:num>
  <w:num w:numId="7">
    <w:abstractNumId w:val="2"/>
  </w:num>
  <w:num w:numId="8">
    <w:abstractNumId w:val="1"/>
  </w:num>
  <w:num w:numId="9">
    <w:abstractNumId w:val="20"/>
  </w:num>
  <w:num w:numId="10">
    <w:abstractNumId w:val="16"/>
  </w:num>
  <w:num w:numId="11">
    <w:abstractNumId w:val="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0"/>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1"/>
  </w:num>
  <w:num w:numId="17">
    <w:abstractNumId w:val="15"/>
  </w:num>
  <w:num w:numId="18">
    <w:abstractNumId w:val="13"/>
  </w:num>
  <w:num w:numId="19">
    <w:abstractNumId w:val="19"/>
  </w:num>
  <w:num w:numId="20">
    <w:abstractNumId w:val="7"/>
  </w:num>
  <w:num w:numId="21">
    <w:abstractNumId w:val="18"/>
  </w:num>
  <w:num w:numId="22">
    <w:abstractNumId w:val="22"/>
  </w:num>
  <w:num w:numId="23">
    <w:abstractNumId w:val="1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10C8E"/>
    <w:rsid w:val="00033E3E"/>
    <w:rsid w:val="0003595B"/>
    <w:rsid w:val="00036517"/>
    <w:rsid w:val="00036CC9"/>
    <w:rsid w:val="00037EB3"/>
    <w:rsid w:val="00040149"/>
    <w:rsid w:val="00070642"/>
    <w:rsid w:val="000713CF"/>
    <w:rsid w:val="00075C14"/>
    <w:rsid w:val="000822B5"/>
    <w:rsid w:val="00094B87"/>
    <w:rsid w:val="000A012B"/>
    <w:rsid w:val="000A5418"/>
    <w:rsid w:val="000D47FB"/>
    <w:rsid w:val="000F345F"/>
    <w:rsid w:val="000F517C"/>
    <w:rsid w:val="000F5540"/>
    <w:rsid w:val="00105F1A"/>
    <w:rsid w:val="00125FBD"/>
    <w:rsid w:val="001409B2"/>
    <w:rsid w:val="001464F7"/>
    <w:rsid w:val="00152636"/>
    <w:rsid w:val="001539DD"/>
    <w:rsid w:val="00156782"/>
    <w:rsid w:val="00157A25"/>
    <w:rsid w:val="00165F01"/>
    <w:rsid w:val="001731F4"/>
    <w:rsid w:val="001916F2"/>
    <w:rsid w:val="001930A7"/>
    <w:rsid w:val="00196568"/>
    <w:rsid w:val="00197C18"/>
    <w:rsid w:val="001A2F16"/>
    <w:rsid w:val="001B1804"/>
    <w:rsid w:val="001B18C2"/>
    <w:rsid w:val="001C443F"/>
    <w:rsid w:val="001C61A5"/>
    <w:rsid w:val="001C6707"/>
    <w:rsid w:val="001D5D7E"/>
    <w:rsid w:val="001F5947"/>
    <w:rsid w:val="00202410"/>
    <w:rsid w:val="00214A0C"/>
    <w:rsid w:val="0021588B"/>
    <w:rsid w:val="002161B6"/>
    <w:rsid w:val="002216AC"/>
    <w:rsid w:val="0023212E"/>
    <w:rsid w:val="002475E2"/>
    <w:rsid w:val="002506D2"/>
    <w:rsid w:val="00250DE2"/>
    <w:rsid w:val="00254A1B"/>
    <w:rsid w:val="0026064A"/>
    <w:rsid w:val="00262A7E"/>
    <w:rsid w:val="00264566"/>
    <w:rsid w:val="0027321F"/>
    <w:rsid w:val="00281526"/>
    <w:rsid w:val="0028454D"/>
    <w:rsid w:val="00291C9E"/>
    <w:rsid w:val="002926D4"/>
    <w:rsid w:val="0029734E"/>
    <w:rsid w:val="002A0111"/>
    <w:rsid w:val="002A3CF5"/>
    <w:rsid w:val="002B06A3"/>
    <w:rsid w:val="002B435C"/>
    <w:rsid w:val="002B447F"/>
    <w:rsid w:val="002C0684"/>
    <w:rsid w:val="002C07DA"/>
    <w:rsid w:val="002C2A49"/>
    <w:rsid w:val="002C5D85"/>
    <w:rsid w:val="002C7EA9"/>
    <w:rsid w:val="002F3054"/>
    <w:rsid w:val="002F325A"/>
    <w:rsid w:val="002F575D"/>
    <w:rsid w:val="003113D7"/>
    <w:rsid w:val="00311E8A"/>
    <w:rsid w:val="00322752"/>
    <w:rsid w:val="00342F20"/>
    <w:rsid w:val="003526B6"/>
    <w:rsid w:val="00360377"/>
    <w:rsid w:val="00366548"/>
    <w:rsid w:val="0038005B"/>
    <w:rsid w:val="003809C7"/>
    <w:rsid w:val="0038236C"/>
    <w:rsid w:val="00384919"/>
    <w:rsid w:val="00393DCD"/>
    <w:rsid w:val="00395B40"/>
    <w:rsid w:val="003A2006"/>
    <w:rsid w:val="003A6568"/>
    <w:rsid w:val="003B4FD1"/>
    <w:rsid w:val="003B6263"/>
    <w:rsid w:val="003C29E6"/>
    <w:rsid w:val="003C64A7"/>
    <w:rsid w:val="003D1128"/>
    <w:rsid w:val="003D1671"/>
    <w:rsid w:val="003D3D47"/>
    <w:rsid w:val="003D3FDA"/>
    <w:rsid w:val="003D59E4"/>
    <w:rsid w:val="003D6D00"/>
    <w:rsid w:val="003E0048"/>
    <w:rsid w:val="003E166F"/>
    <w:rsid w:val="003F307E"/>
    <w:rsid w:val="004001E5"/>
    <w:rsid w:val="00403C3D"/>
    <w:rsid w:val="0041313C"/>
    <w:rsid w:val="00420822"/>
    <w:rsid w:val="00420C74"/>
    <w:rsid w:val="00441526"/>
    <w:rsid w:val="004465AA"/>
    <w:rsid w:val="00446A5E"/>
    <w:rsid w:val="0045458F"/>
    <w:rsid w:val="004633B4"/>
    <w:rsid w:val="00495CED"/>
    <w:rsid w:val="004A2F96"/>
    <w:rsid w:val="004A4BDF"/>
    <w:rsid w:val="004B1C2F"/>
    <w:rsid w:val="004B3553"/>
    <w:rsid w:val="004B3F4B"/>
    <w:rsid w:val="004E1FCA"/>
    <w:rsid w:val="004E47D6"/>
    <w:rsid w:val="004F7861"/>
    <w:rsid w:val="00503189"/>
    <w:rsid w:val="00516BD1"/>
    <w:rsid w:val="005206E9"/>
    <w:rsid w:val="00526D01"/>
    <w:rsid w:val="00530E8C"/>
    <w:rsid w:val="00535D34"/>
    <w:rsid w:val="00545933"/>
    <w:rsid w:val="00552105"/>
    <w:rsid w:val="005562F2"/>
    <w:rsid w:val="00557544"/>
    <w:rsid w:val="00557F79"/>
    <w:rsid w:val="0056230B"/>
    <w:rsid w:val="00565BBB"/>
    <w:rsid w:val="00571B26"/>
    <w:rsid w:val="00585F3C"/>
    <w:rsid w:val="00586CA0"/>
    <w:rsid w:val="00587875"/>
    <w:rsid w:val="00590CF6"/>
    <w:rsid w:val="005A404C"/>
    <w:rsid w:val="005A63EB"/>
    <w:rsid w:val="005B0876"/>
    <w:rsid w:val="005C33B6"/>
    <w:rsid w:val="005D1348"/>
    <w:rsid w:val="005D6202"/>
    <w:rsid w:val="005D6E98"/>
    <w:rsid w:val="006016B6"/>
    <w:rsid w:val="00607E2B"/>
    <w:rsid w:val="006139D6"/>
    <w:rsid w:val="00616D1B"/>
    <w:rsid w:val="00623CE1"/>
    <w:rsid w:val="00627880"/>
    <w:rsid w:val="0063062B"/>
    <w:rsid w:val="00634A82"/>
    <w:rsid w:val="00637351"/>
    <w:rsid w:val="00646166"/>
    <w:rsid w:val="00652BDD"/>
    <w:rsid w:val="00654896"/>
    <w:rsid w:val="006621F0"/>
    <w:rsid w:val="006647BA"/>
    <w:rsid w:val="00667229"/>
    <w:rsid w:val="006761EE"/>
    <w:rsid w:val="00682BE5"/>
    <w:rsid w:val="00683846"/>
    <w:rsid w:val="00690FED"/>
    <w:rsid w:val="006939A5"/>
    <w:rsid w:val="006B09DB"/>
    <w:rsid w:val="006D5223"/>
    <w:rsid w:val="006D5970"/>
    <w:rsid w:val="006E12FC"/>
    <w:rsid w:val="006F0F24"/>
    <w:rsid w:val="006F21A4"/>
    <w:rsid w:val="006F2B2E"/>
    <w:rsid w:val="006F6A5C"/>
    <w:rsid w:val="00703F6F"/>
    <w:rsid w:val="007052B3"/>
    <w:rsid w:val="00705962"/>
    <w:rsid w:val="00707C21"/>
    <w:rsid w:val="00712451"/>
    <w:rsid w:val="00717DE9"/>
    <w:rsid w:val="0072518B"/>
    <w:rsid w:val="00731041"/>
    <w:rsid w:val="00732835"/>
    <w:rsid w:val="007329E4"/>
    <w:rsid w:val="00732F08"/>
    <w:rsid w:val="007342F0"/>
    <w:rsid w:val="0074190C"/>
    <w:rsid w:val="0075493D"/>
    <w:rsid w:val="00762576"/>
    <w:rsid w:val="00765D38"/>
    <w:rsid w:val="007673CA"/>
    <w:rsid w:val="00772EF5"/>
    <w:rsid w:val="00791060"/>
    <w:rsid w:val="007926EA"/>
    <w:rsid w:val="007B5626"/>
    <w:rsid w:val="007B6124"/>
    <w:rsid w:val="007D3C53"/>
    <w:rsid w:val="007D6D0A"/>
    <w:rsid w:val="007D6E5E"/>
    <w:rsid w:val="007E3A0F"/>
    <w:rsid w:val="007F0AE6"/>
    <w:rsid w:val="007F2628"/>
    <w:rsid w:val="007F2FBA"/>
    <w:rsid w:val="00800C3A"/>
    <w:rsid w:val="0080570B"/>
    <w:rsid w:val="008145E5"/>
    <w:rsid w:val="008148E1"/>
    <w:rsid w:val="00822B33"/>
    <w:rsid w:val="008319BF"/>
    <w:rsid w:val="008415F0"/>
    <w:rsid w:val="008433C2"/>
    <w:rsid w:val="00844457"/>
    <w:rsid w:val="008454C8"/>
    <w:rsid w:val="00851D78"/>
    <w:rsid w:val="00865B48"/>
    <w:rsid w:val="0087122A"/>
    <w:rsid w:val="00895239"/>
    <w:rsid w:val="008A016F"/>
    <w:rsid w:val="008A1A0D"/>
    <w:rsid w:val="008A22F3"/>
    <w:rsid w:val="008A72E1"/>
    <w:rsid w:val="008A76ED"/>
    <w:rsid w:val="008B3C72"/>
    <w:rsid w:val="008C5FED"/>
    <w:rsid w:val="008D0E09"/>
    <w:rsid w:val="008D5479"/>
    <w:rsid w:val="00903007"/>
    <w:rsid w:val="00923816"/>
    <w:rsid w:val="0092727B"/>
    <w:rsid w:val="0093074B"/>
    <w:rsid w:val="00930E64"/>
    <w:rsid w:val="00943CF9"/>
    <w:rsid w:val="00956F8C"/>
    <w:rsid w:val="00961D57"/>
    <w:rsid w:val="00964951"/>
    <w:rsid w:val="0097586A"/>
    <w:rsid w:val="00976716"/>
    <w:rsid w:val="0097693B"/>
    <w:rsid w:val="00993355"/>
    <w:rsid w:val="009963F7"/>
    <w:rsid w:val="009A11CB"/>
    <w:rsid w:val="009A4A6D"/>
    <w:rsid w:val="009B44DD"/>
    <w:rsid w:val="009B7E42"/>
    <w:rsid w:val="009C7235"/>
    <w:rsid w:val="009D46CE"/>
    <w:rsid w:val="009D4ADA"/>
    <w:rsid w:val="009E13DD"/>
    <w:rsid w:val="009F547A"/>
    <w:rsid w:val="00A03D78"/>
    <w:rsid w:val="00A0503B"/>
    <w:rsid w:val="00A059CD"/>
    <w:rsid w:val="00A13265"/>
    <w:rsid w:val="00A14900"/>
    <w:rsid w:val="00A2159F"/>
    <w:rsid w:val="00A23C16"/>
    <w:rsid w:val="00A30768"/>
    <w:rsid w:val="00A324FF"/>
    <w:rsid w:val="00A529BC"/>
    <w:rsid w:val="00A5346C"/>
    <w:rsid w:val="00A53F51"/>
    <w:rsid w:val="00A562F0"/>
    <w:rsid w:val="00A564FB"/>
    <w:rsid w:val="00A614C1"/>
    <w:rsid w:val="00A61EA6"/>
    <w:rsid w:val="00A657BF"/>
    <w:rsid w:val="00A71136"/>
    <w:rsid w:val="00A92578"/>
    <w:rsid w:val="00AA474C"/>
    <w:rsid w:val="00AB1BDF"/>
    <w:rsid w:val="00AC35EF"/>
    <w:rsid w:val="00AC4D5B"/>
    <w:rsid w:val="00AD1DDB"/>
    <w:rsid w:val="00AD2697"/>
    <w:rsid w:val="00AD5C77"/>
    <w:rsid w:val="00AD7E5F"/>
    <w:rsid w:val="00AE3066"/>
    <w:rsid w:val="00AF0331"/>
    <w:rsid w:val="00AF68E4"/>
    <w:rsid w:val="00B00A87"/>
    <w:rsid w:val="00B01AA1"/>
    <w:rsid w:val="00B06025"/>
    <w:rsid w:val="00B30C81"/>
    <w:rsid w:val="00B30DA1"/>
    <w:rsid w:val="00B32D76"/>
    <w:rsid w:val="00B356A1"/>
    <w:rsid w:val="00B4793B"/>
    <w:rsid w:val="00B56099"/>
    <w:rsid w:val="00B64A60"/>
    <w:rsid w:val="00B661AC"/>
    <w:rsid w:val="00B8468D"/>
    <w:rsid w:val="00B937D7"/>
    <w:rsid w:val="00B96B67"/>
    <w:rsid w:val="00BB0EA4"/>
    <w:rsid w:val="00BC57EF"/>
    <w:rsid w:val="00BC69DB"/>
    <w:rsid w:val="00BE6B6B"/>
    <w:rsid w:val="00BF25F9"/>
    <w:rsid w:val="00C00B04"/>
    <w:rsid w:val="00C13FD5"/>
    <w:rsid w:val="00C15633"/>
    <w:rsid w:val="00C15799"/>
    <w:rsid w:val="00C21743"/>
    <w:rsid w:val="00C32E84"/>
    <w:rsid w:val="00C35415"/>
    <w:rsid w:val="00C357AD"/>
    <w:rsid w:val="00C516C7"/>
    <w:rsid w:val="00C51C5F"/>
    <w:rsid w:val="00C554CC"/>
    <w:rsid w:val="00C6069C"/>
    <w:rsid w:val="00C70477"/>
    <w:rsid w:val="00C72AD4"/>
    <w:rsid w:val="00C74745"/>
    <w:rsid w:val="00C85119"/>
    <w:rsid w:val="00C95C48"/>
    <w:rsid w:val="00CA41E7"/>
    <w:rsid w:val="00CD170C"/>
    <w:rsid w:val="00CD320B"/>
    <w:rsid w:val="00CD3F37"/>
    <w:rsid w:val="00CD5431"/>
    <w:rsid w:val="00CE4B93"/>
    <w:rsid w:val="00CF2491"/>
    <w:rsid w:val="00CF3963"/>
    <w:rsid w:val="00D1252E"/>
    <w:rsid w:val="00D13D9D"/>
    <w:rsid w:val="00D14AFE"/>
    <w:rsid w:val="00D214A3"/>
    <w:rsid w:val="00D25F4A"/>
    <w:rsid w:val="00D267B4"/>
    <w:rsid w:val="00D416A3"/>
    <w:rsid w:val="00D43B27"/>
    <w:rsid w:val="00D459A2"/>
    <w:rsid w:val="00D530FF"/>
    <w:rsid w:val="00D53688"/>
    <w:rsid w:val="00D5407A"/>
    <w:rsid w:val="00D57772"/>
    <w:rsid w:val="00D72AE3"/>
    <w:rsid w:val="00D75A4D"/>
    <w:rsid w:val="00D76F90"/>
    <w:rsid w:val="00D77D7A"/>
    <w:rsid w:val="00D8478B"/>
    <w:rsid w:val="00D86151"/>
    <w:rsid w:val="00D9172D"/>
    <w:rsid w:val="00D97E84"/>
    <w:rsid w:val="00DA5641"/>
    <w:rsid w:val="00DA7595"/>
    <w:rsid w:val="00DB0A68"/>
    <w:rsid w:val="00DC43A3"/>
    <w:rsid w:val="00DC4CF3"/>
    <w:rsid w:val="00DC5C01"/>
    <w:rsid w:val="00DD7C09"/>
    <w:rsid w:val="00DE6BC1"/>
    <w:rsid w:val="00DF0EB4"/>
    <w:rsid w:val="00DF111E"/>
    <w:rsid w:val="00E0124F"/>
    <w:rsid w:val="00E5762A"/>
    <w:rsid w:val="00E674D3"/>
    <w:rsid w:val="00E70FD0"/>
    <w:rsid w:val="00E72B2C"/>
    <w:rsid w:val="00E7309D"/>
    <w:rsid w:val="00E77C4B"/>
    <w:rsid w:val="00E9301F"/>
    <w:rsid w:val="00E9690A"/>
    <w:rsid w:val="00E97DC7"/>
    <w:rsid w:val="00EC6761"/>
    <w:rsid w:val="00ED6619"/>
    <w:rsid w:val="00EE2874"/>
    <w:rsid w:val="00F000EF"/>
    <w:rsid w:val="00F2504E"/>
    <w:rsid w:val="00F2585B"/>
    <w:rsid w:val="00F4053F"/>
    <w:rsid w:val="00F516E7"/>
    <w:rsid w:val="00F5464A"/>
    <w:rsid w:val="00F57BF7"/>
    <w:rsid w:val="00F6263E"/>
    <w:rsid w:val="00F627C2"/>
    <w:rsid w:val="00F736FD"/>
    <w:rsid w:val="00F82DDE"/>
    <w:rsid w:val="00F84067"/>
    <w:rsid w:val="00FA50B4"/>
    <w:rsid w:val="00FB6E83"/>
    <w:rsid w:val="00FC156A"/>
    <w:rsid w:val="00FC22EA"/>
    <w:rsid w:val="00FD6235"/>
    <w:rsid w:val="00FE0529"/>
    <w:rsid w:val="00FE13D1"/>
    <w:rsid w:val="00FE3DE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F632AF"/>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basedOn w:val="DefaultParagraphFont"/>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확인되지 않은 멘션1"/>
    <w:basedOn w:val="DefaultParagraphFont"/>
    <w:uiPriority w:val="99"/>
    <w:semiHidden/>
    <w:unhideWhenUsed/>
    <w:rsid w:val="00571B26"/>
    <w:rPr>
      <w:color w:val="605E5C"/>
      <w:shd w:val="clear" w:color="auto" w:fill="E1DFDD"/>
    </w:rPr>
  </w:style>
  <w:style w:type="paragraph" w:customStyle="1" w:styleId="ListParagraph1">
    <w:name w:val="List Paragraph1"/>
    <w:basedOn w:val="Normal"/>
    <w:uiPriority w:val="34"/>
    <w:qFormat/>
    <w:rsid w:val="007D6E5E"/>
    <w:pPr>
      <w:ind w:firstLineChars="200" w:firstLine="420"/>
    </w:pPr>
  </w:style>
  <w:style w:type="paragraph" w:customStyle="1" w:styleId="Default">
    <w:name w:val="Default"/>
    <w:rsid w:val="006016B6"/>
    <w:pPr>
      <w:widowControl w:val="0"/>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546016213">
      <w:bodyDiv w:val="1"/>
      <w:marLeft w:val="0"/>
      <w:marRight w:val="0"/>
      <w:marTop w:val="0"/>
      <w:marBottom w:val="0"/>
      <w:divBdr>
        <w:top w:val="none" w:sz="0" w:space="0" w:color="auto"/>
        <w:left w:val="none" w:sz="0" w:space="0" w:color="auto"/>
        <w:bottom w:val="none" w:sz="0" w:space="0" w:color="auto"/>
        <w:right w:val="none" w:sz="0" w:space="0" w:color="auto"/>
      </w:divBdr>
      <w:divsChild>
        <w:div w:id="1304583539">
          <w:marLeft w:val="446"/>
          <w:marRight w:val="0"/>
          <w:marTop w:val="0"/>
          <w:marBottom w:val="0"/>
          <w:divBdr>
            <w:top w:val="none" w:sz="0" w:space="0" w:color="auto"/>
            <w:left w:val="none" w:sz="0" w:space="0" w:color="auto"/>
            <w:bottom w:val="none" w:sz="0" w:space="0" w:color="auto"/>
            <w:right w:val="none" w:sz="0" w:space="0" w:color="auto"/>
          </w:divBdr>
        </w:div>
        <w:div w:id="1472791710">
          <w:marLeft w:val="446"/>
          <w:marRight w:val="0"/>
          <w:marTop w:val="0"/>
          <w:marBottom w:val="0"/>
          <w:divBdr>
            <w:top w:val="none" w:sz="0" w:space="0" w:color="auto"/>
            <w:left w:val="none" w:sz="0" w:space="0" w:color="auto"/>
            <w:bottom w:val="none" w:sz="0" w:space="0" w:color="auto"/>
            <w:right w:val="none" w:sz="0" w:space="0" w:color="auto"/>
          </w:divBdr>
        </w:div>
        <w:div w:id="904339250">
          <w:marLeft w:val="446"/>
          <w:marRight w:val="0"/>
          <w:marTop w:val="0"/>
          <w:marBottom w:val="0"/>
          <w:divBdr>
            <w:top w:val="none" w:sz="0" w:space="0" w:color="auto"/>
            <w:left w:val="none" w:sz="0" w:space="0" w:color="auto"/>
            <w:bottom w:val="none" w:sz="0" w:space="0" w:color="auto"/>
            <w:right w:val="none" w:sz="0" w:space="0" w:color="auto"/>
          </w:divBdr>
        </w:div>
      </w:divsChild>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4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FB055-B463-4CEB-8F8F-27B07BED5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1160</Words>
  <Characters>6617</Characters>
  <Application>Microsoft Office Word</Application>
  <DocSecurity>0</DocSecurity>
  <Lines>55</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Forhadul Parvez</cp:lastModifiedBy>
  <cp:revision>5</cp:revision>
  <cp:lastPrinted>2015-02-02T07:28:00Z</cp:lastPrinted>
  <dcterms:created xsi:type="dcterms:W3CDTF">2021-04-23T05:51:00Z</dcterms:created>
  <dcterms:modified xsi:type="dcterms:W3CDTF">2021-04-27T03:09:00Z</dcterms:modified>
</cp:coreProperties>
</file>