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5B9DA7A1" w14:textId="77777777" w:rsidTr="00194A2D">
        <w:trPr>
          <w:cantSplit/>
          <w:trHeight w:val="288"/>
        </w:trPr>
        <w:tc>
          <w:tcPr>
            <w:tcW w:w="1399" w:type="dxa"/>
            <w:vMerge w:val="restart"/>
          </w:tcPr>
          <w:p w14:paraId="22D484EB"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rPr>
              <w:drawing>
                <wp:inline distT="0" distB="0" distL="0" distR="0" wp14:anchorId="3B5A23EF" wp14:editId="0C214D96">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DFBE0A5" w14:textId="77777777" w:rsidR="00C516C7" w:rsidRPr="00E86131" w:rsidRDefault="00C516C7" w:rsidP="00194A2D">
            <w:r w:rsidRPr="00E86131">
              <w:t>ASIA-PACIFIC TELECOMMUNITY</w:t>
            </w:r>
          </w:p>
        </w:tc>
        <w:tc>
          <w:tcPr>
            <w:tcW w:w="2160" w:type="dxa"/>
          </w:tcPr>
          <w:p w14:paraId="52E5F966" w14:textId="77777777" w:rsidR="00C516C7" w:rsidRPr="00723BE9" w:rsidRDefault="00C516C7" w:rsidP="00194A2D">
            <w:pPr>
              <w:rPr>
                <w:b/>
                <w:sz w:val="22"/>
                <w:szCs w:val="22"/>
              </w:rPr>
            </w:pPr>
            <w:r w:rsidRPr="00723BE9">
              <w:rPr>
                <w:b/>
              </w:rPr>
              <w:t>Document No:</w:t>
            </w:r>
          </w:p>
        </w:tc>
      </w:tr>
      <w:tr w:rsidR="00C516C7" w:rsidRPr="00C15799" w14:paraId="069F8E0C" w14:textId="77777777" w:rsidTr="00194A2D">
        <w:trPr>
          <w:cantSplit/>
          <w:trHeight w:val="504"/>
        </w:trPr>
        <w:tc>
          <w:tcPr>
            <w:tcW w:w="1399" w:type="dxa"/>
            <w:vMerge/>
          </w:tcPr>
          <w:p w14:paraId="4A34A2B4" w14:textId="77777777" w:rsidR="00C516C7" w:rsidRPr="00891D0B" w:rsidRDefault="00C516C7" w:rsidP="00194A2D"/>
        </w:tc>
        <w:tc>
          <w:tcPr>
            <w:tcW w:w="5760" w:type="dxa"/>
          </w:tcPr>
          <w:p w14:paraId="6052BDB6" w14:textId="77777777"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6144E5A7" w14:textId="77777777"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2B2B1F25" w14:textId="4347EBF4" w:rsidR="00C516C7" w:rsidRPr="00186663" w:rsidRDefault="00C516C7" w:rsidP="00194A2D">
            <w:pPr>
              <w:rPr>
                <w:rFonts w:cstheme="minorBidi"/>
                <w:b/>
                <w:bCs/>
                <w:szCs w:val="30"/>
                <w:lang w:bidi="th-TH"/>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1D27BA">
              <w:rPr>
                <w:b/>
                <w:bCs/>
                <w:lang w:val="fr-FR"/>
              </w:rPr>
              <w:t>OUT</w:t>
            </w:r>
            <w:r>
              <w:rPr>
                <w:b/>
                <w:bCs/>
                <w:lang w:val="fr-FR"/>
              </w:rPr>
              <w:t>-</w:t>
            </w:r>
            <w:r w:rsidR="00186663">
              <w:rPr>
                <w:rFonts w:cstheme="minorBidi"/>
                <w:b/>
                <w:bCs/>
                <w:szCs w:val="30"/>
                <w:lang w:bidi="th-TH"/>
              </w:rPr>
              <w:t>37</w:t>
            </w:r>
          </w:p>
          <w:p w14:paraId="3056A25D" w14:textId="77777777" w:rsidR="00C516C7" w:rsidRDefault="00C516C7" w:rsidP="00194A2D">
            <w:pPr>
              <w:spacing w:line="0" w:lineRule="atLeast"/>
              <w:rPr>
                <w:b/>
              </w:rPr>
            </w:pPr>
          </w:p>
        </w:tc>
      </w:tr>
      <w:tr w:rsidR="00C516C7" w:rsidRPr="00891D0B" w14:paraId="128BFA0E" w14:textId="77777777" w:rsidTr="00194A2D">
        <w:trPr>
          <w:cantSplit/>
          <w:trHeight w:val="288"/>
        </w:trPr>
        <w:tc>
          <w:tcPr>
            <w:tcW w:w="1399" w:type="dxa"/>
            <w:vMerge/>
          </w:tcPr>
          <w:p w14:paraId="3219280B" w14:textId="77777777" w:rsidR="00C516C7" w:rsidRPr="007E1FDD" w:rsidRDefault="00C516C7" w:rsidP="00194A2D">
            <w:pPr>
              <w:rPr>
                <w:lang w:val="en-GB"/>
              </w:rPr>
            </w:pPr>
          </w:p>
        </w:tc>
        <w:tc>
          <w:tcPr>
            <w:tcW w:w="5760" w:type="dxa"/>
            <w:vAlign w:val="bottom"/>
          </w:tcPr>
          <w:p w14:paraId="0A2204FE" w14:textId="77777777"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56263354" w14:textId="2AFAD25C" w:rsidR="00C516C7" w:rsidRDefault="007F0AE6" w:rsidP="00BA0D27">
            <w:r>
              <w:rPr>
                <w:bCs/>
              </w:rPr>
              <w:t>2</w:t>
            </w:r>
            <w:r w:rsidR="00186663">
              <w:rPr>
                <w:bCs/>
              </w:rPr>
              <w:t>3</w:t>
            </w:r>
            <w:r w:rsidR="00C516C7" w:rsidRPr="007E1FDD">
              <w:rPr>
                <w:bCs/>
              </w:rPr>
              <w:t xml:space="preserve"> </w:t>
            </w:r>
            <w:r>
              <w:rPr>
                <w:bCs/>
              </w:rPr>
              <w:t xml:space="preserve">April </w:t>
            </w:r>
            <w:r w:rsidR="00C516C7" w:rsidRPr="007E1FDD">
              <w:rPr>
                <w:bCs/>
              </w:rPr>
              <w:t>20</w:t>
            </w:r>
            <w:r>
              <w:rPr>
                <w:bCs/>
              </w:rPr>
              <w:t>21</w:t>
            </w:r>
          </w:p>
        </w:tc>
      </w:tr>
    </w:tbl>
    <w:p w14:paraId="1F04AB14" w14:textId="77777777" w:rsidR="00311E8A" w:rsidRDefault="00311E8A" w:rsidP="0072518B">
      <w:pPr>
        <w:jc w:val="center"/>
        <w:rPr>
          <w:lang w:val="en-NZ"/>
        </w:rPr>
      </w:pPr>
    </w:p>
    <w:p w14:paraId="7B3B37EE" w14:textId="77777777" w:rsidR="00E5322F" w:rsidRDefault="00E5322F" w:rsidP="00B64A60">
      <w:pPr>
        <w:jc w:val="center"/>
        <w:rPr>
          <w:lang w:val="en-NZ" w:eastAsia="ko-KR"/>
        </w:rPr>
      </w:pPr>
    </w:p>
    <w:p w14:paraId="1123D664" w14:textId="79A610B2" w:rsidR="00B64A60" w:rsidRPr="002A0111" w:rsidRDefault="001D27BA" w:rsidP="00B64A60">
      <w:pPr>
        <w:jc w:val="center"/>
        <w:rPr>
          <w:lang w:val="en-NZ" w:eastAsia="ko-KR"/>
        </w:rPr>
      </w:pPr>
      <w:r>
        <w:rPr>
          <w:lang w:val="en-NZ" w:eastAsia="ko-KR"/>
        </w:rPr>
        <w:t>Working Party 5</w:t>
      </w:r>
    </w:p>
    <w:p w14:paraId="26E46FAE" w14:textId="77777777" w:rsidR="00B64A60" w:rsidRPr="002A0111" w:rsidRDefault="00B64A60" w:rsidP="00B64A60">
      <w:pPr>
        <w:jc w:val="center"/>
        <w:rPr>
          <w:bCs/>
          <w:caps/>
          <w:lang w:val="en-NZ"/>
        </w:rPr>
      </w:pPr>
    </w:p>
    <w:p w14:paraId="249D2647" w14:textId="15DB1923" w:rsidR="00B64A60" w:rsidRDefault="00B64A60" w:rsidP="00B64A60">
      <w:pPr>
        <w:jc w:val="center"/>
        <w:rPr>
          <w:b/>
          <w:bCs/>
          <w:caps/>
          <w:lang w:val="en-NZ"/>
        </w:rPr>
      </w:pPr>
      <w:r w:rsidRPr="00441526">
        <w:rPr>
          <w:b/>
          <w:bCs/>
          <w:caps/>
          <w:lang w:val="en-NZ"/>
        </w:rPr>
        <w:t>PRELIMINARY VIEWs on WRC-</w:t>
      </w:r>
      <w:r w:rsidR="007F0AE6">
        <w:rPr>
          <w:b/>
          <w:bCs/>
          <w:caps/>
          <w:lang w:val="en-NZ"/>
        </w:rPr>
        <w:t>23</w:t>
      </w:r>
      <w:r w:rsidR="00316F49">
        <w:rPr>
          <w:b/>
          <w:bCs/>
          <w:caps/>
          <w:lang w:val="en-NZ"/>
        </w:rPr>
        <w:t xml:space="preserve"> agenda item 9</w:t>
      </w:r>
      <w:r w:rsidRPr="00441526">
        <w:rPr>
          <w:b/>
          <w:bCs/>
          <w:caps/>
          <w:lang w:val="en-NZ"/>
        </w:rPr>
        <w:t>.</w:t>
      </w:r>
      <w:r w:rsidR="00316F49">
        <w:rPr>
          <w:b/>
          <w:bCs/>
          <w:caps/>
          <w:lang w:val="en-NZ"/>
        </w:rPr>
        <w:t>1</w:t>
      </w:r>
      <w:r w:rsidR="009D7A3F">
        <w:rPr>
          <w:rFonts w:cstheme="minorBidi" w:hint="cs"/>
          <w:b/>
          <w:bCs/>
          <w:caps/>
          <w:szCs w:val="30"/>
          <w:cs/>
          <w:lang w:val="en-NZ" w:bidi="th-TH"/>
        </w:rPr>
        <w:t>,</w:t>
      </w:r>
      <w:r w:rsidR="00EE33D2">
        <w:rPr>
          <w:rFonts w:cstheme="minorBidi" w:hint="cs"/>
          <w:b/>
          <w:bCs/>
          <w:caps/>
          <w:szCs w:val="30"/>
          <w:cs/>
          <w:lang w:val="en-NZ" w:bidi="th-TH"/>
        </w:rPr>
        <w:t xml:space="preserve"> </w:t>
      </w:r>
      <w:r w:rsidR="00316F49">
        <w:rPr>
          <w:b/>
          <w:bCs/>
          <w:caps/>
          <w:lang w:val="en-NZ"/>
        </w:rPr>
        <w:t>Topic b)</w:t>
      </w:r>
    </w:p>
    <w:p w14:paraId="3BD230E2" w14:textId="77777777" w:rsidR="00876FEF" w:rsidRPr="00441526" w:rsidRDefault="00876FEF" w:rsidP="00B64A60">
      <w:pPr>
        <w:jc w:val="center"/>
        <w:rPr>
          <w:b/>
          <w:bCs/>
          <w:caps/>
          <w:lang w:val="en-NZ"/>
        </w:rPr>
      </w:pPr>
    </w:p>
    <w:p w14:paraId="09AA25B2" w14:textId="77777777" w:rsidR="00B64A60" w:rsidRPr="00441526" w:rsidRDefault="00B64A60" w:rsidP="00264566">
      <w:pPr>
        <w:spacing w:after="120"/>
        <w:rPr>
          <w:lang w:val="en-NZ"/>
        </w:rPr>
      </w:pPr>
    </w:p>
    <w:p w14:paraId="5F74DE1A" w14:textId="61312669" w:rsidR="002A0111" w:rsidRPr="00441526" w:rsidRDefault="00316F49" w:rsidP="002A0111">
      <w:pPr>
        <w:spacing w:after="120"/>
        <w:jc w:val="both"/>
        <w:rPr>
          <w:lang w:val="en-NZ"/>
        </w:rPr>
      </w:pPr>
      <w:r>
        <w:rPr>
          <w:b/>
          <w:lang w:val="en-NZ"/>
        </w:rPr>
        <w:t>Agenda Item 9.1</w:t>
      </w:r>
      <w:r w:rsidR="00612348">
        <w:rPr>
          <w:b/>
          <w:lang w:val="en-NZ"/>
        </w:rPr>
        <w:t>,</w:t>
      </w:r>
      <w:r w:rsidR="00EE33D2">
        <w:rPr>
          <w:rFonts w:cstheme="minorBidi" w:hint="cs"/>
          <w:b/>
          <w:szCs w:val="30"/>
          <w:cs/>
          <w:lang w:val="en-NZ" w:bidi="th-TH"/>
        </w:rPr>
        <w:t xml:space="preserve"> </w:t>
      </w:r>
      <w:r w:rsidR="00612348">
        <w:rPr>
          <w:b/>
          <w:lang w:val="en-NZ"/>
        </w:rPr>
        <w:t>T</w:t>
      </w:r>
      <w:r>
        <w:rPr>
          <w:b/>
          <w:lang w:val="en-NZ"/>
        </w:rPr>
        <w:t>opic b)</w:t>
      </w:r>
      <w:r w:rsidR="002A0111" w:rsidRPr="00441526">
        <w:rPr>
          <w:b/>
          <w:lang w:val="en-NZ"/>
        </w:rPr>
        <w:t xml:space="preserve">: </w:t>
      </w:r>
    </w:p>
    <w:p w14:paraId="21796D61" w14:textId="3A8DE701" w:rsidR="00316F49" w:rsidRPr="00441526" w:rsidRDefault="00316F49" w:rsidP="00316F49">
      <w:pPr>
        <w:spacing w:after="120"/>
        <w:jc w:val="both"/>
        <w:rPr>
          <w:i/>
          <w:lang w:val="en-NZ"/>
        </w:rPr>
      </w:pPr>
      <w:r w:rsidRPr="00B4457D">
        <w:rPr>
          <w:i/>
          <w:lang w:val="en-NZ"/>
        </w:rPr>
        <w:t>Review of the amateur service and the amateur-satellite service allocations in the frequency band 1 240 1 300 MHz to determine if additional measures are required to ensure protection of the radionavigation-satellite (space-to-Earth) service operating in the same band in accordance with Resolution</w:t>
      </w:r>
      <w:r w:rsidRPr="00B4457D">
        <w:rPr>
          <w:b/>
          <w:bCs/>
          <w:i/>
          <w:lang w:val="en-NZ"/>
        </w:rPr>
        <w:t> 774 (WRC-19)</w:t>
      </w:r>
      <w:r>
        <w:rPr>
          <w:b/>
          <w:bCs/>
          <w:i/>
          <w:lang w:val="en-NZ"/>
        </w:rPr>
        <w:t xml:space="preserve"> </w:t>
      </w:r>
    </w:p>
    <w:p w14:paraId="4A65E539" w14:textId="77777777" w:rsidR="002A0111" w:rsidRPr="00441526" w:rsidRDefault="002A0111" w:rsidP="002A0111">
      <w:pPr>
        <w:jc w:val="both"/>
        <w:rPr>
          <w:lang w:val="en-NZ"/>
        </w:rPr>
      </w:pPr>
    </w:p>
    <w:p w14:paraId="4217A462" w14:textId="3085554D" w:rsidR="00A57360" w:rsidRDefault="002A0111" w:rsidP="00A57360">
      <w:pPr>
        <w:spacing w:after="120"/>
        <w:jc w:val="both"/>
        <w:rPr>
          <w:b/>
          <w:lang w:val="en-NZ" w:eastAsia="ko-KR"/>
        </w:rPr>
      </w:pPr>
      <w:r w:rsidRPr="00441526">
        <w:rPr>
          <w:b/>
          <w:lang w:val="en-NZ" w:eastAsia="ko-KR"/>
        </w:rPr>
        <w:t>1.</w:t>
      </w:r>
      <w:r w:rsidRPr="00441526">
        <w:rPr>
          <w:b/>
          <w:lang w:val="en-NZ" w:eastAsia="ko-KR"/>
        </w:rPr>
        <w:tab/>
        <w:t>Background</w:t>
      </w:r>
    </w:p>
    <w:p w14:paraId="200A13ED" w14:textId="77777777" w:rsidR="00A57360" w:rsidRPr="00A57360" w:rsidRDefault="00A57360" w:rsidP="00A57360">
      <w:pPr>
        <w:spacing w:after="120"/>
        <w:jc w:val="both"/>
        <w:rPr>
          <w:b/>
          <w:lang w:val="en-NZ" w:eastAsia="ko-KR"/>
        </w:rPr>
      </w:pPr>
      <w:r>
        <w:rPr>
          <w:rFonts w:eastAsia="MS Mincho"/>
          <w:lang w:eastAsia="ja-JP"/>
        </w:rPr>
        <w:t xml:space="preserve">Resolution </w:t>
      </w:r>
      <w:r>
        <w:rPr>
          <w:rFonts w:eastAsia="MS Mincho"/>
          <w:b/>
          <w:lang w:eastAsia="ja-JP"/>
        </w:rPr>
        <w:t>774 (WRC-19)</w:t>
      </w:r>
      <w:r>
        <w:rPr>
          <w:rFonts w:eastAsia="MS Mincho"/>
          <w:lang w:eastAsia="ja-JP"/>
        </w:rPr>
        <w:t xml:space="preserve"> </w:t>
      </w:r>
      <w:r w:rsidRPr="00AB3891">
        <w:rPr>
          <w:rFonts w:eastAsia="Batang"/>
          <w:i/>
          <w:iCs/>
        </w:rPr>
        <w:t>resolves to invite ITU</w:t>
      </w:r>
      <w:r w:rsidRPr="00AB3891">
        <w:rPr>
          <w:rFonts w:eastAsia="Batang"/>
          <w:i/>
          <w:iCs/>
        </w:rPr>
        <w:noBreakHyphen/>
        <w:t>R</w:t>
      </w:r>
    </w:p>
    <w:p w14:paraId="3DAB3A26" w14:textId="77777777" w:rsidR="00A57360" w:rsidRPr="00AB3891" w:rsidRDefault="00A57360" w:rsidP="00B73C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rPr>
          <w:rFonts w:eastAsia="???"/>
          <w:lang w:eastAsia="nl-NL"/>
        </w:rPr>
      </w:pPr>
      <w:r w:rsidRPr="00AB3891">
        <w:rPr>
          <w:rFonts w:eastAsia="???"/>
          <w:lang w:eastAsia="nl-NL"/>
        </w:rPr>
        <w:t>1</w:t>
      </w:r>
      <w:r w:rsidRPr="00AB3891">
        <w:rPr>
          <w:rFonts w:eastAsia="???"/>
          <w:lang w:eastAsia="nl-NL"/>
        </w:rPr>
        <w:tab/>
        <w:t>to perform the detailed review of the different systems and applications used in the amateur service and amateur-satellite service allocations within the frequency band 1 240</w:t>
      </w:r>
      <w:r w:rsidRPr="00AB3891">
        <w:rPr>
          <w:rFonts w:eastAsia="???"/>
          <w:lang w:eastAsia="nl-NL"/>
        </w:rPr>
        <w:noBreakHyphen/>
        <w:t>1 300 MHz;</w:t>
      </w:r>
    </w:p>
    <w:p w14:paraId="6CE28F7B" w14:textId="77777777" w:rsidR="00A57360" w:rsidRPr="00AB3891" w:rsidRDefault="00A57360" w:rsidP="00B73C7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rPr>
          <w:rFonts w:eastAsia="Batang"/>
          <w:lang w:eastAsia="nl-NL"/>
        </w:rPr>
      </w:pPr>
      <w:r w:rsidRPr="00AB3891">
        <w:rPr>
          <w:rFonts w:eastAsia="???"/>
          <w:lang w:eastAsia="nl-NL"/>
        </w:rPr>
        <w:t>2</w:t>
      </w:r>
      <w:r w:rsidRPr="00AB3891">
        <w:rPr>
          <w:rFonts w:eastAsia="???"/>
          <w:lang w:eastAsia="nl-NL"/>
        </w:rPr>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amateur-satellite services allocations,</w:t>
      </w:r>
    </w:p>
    <w:p w14:paraId="4AA74D0E" w14:textId="77777777" w:rsidR="00A57360" w:rsidRPr="00A57360" w:rsidRDefault="00A57360" w:rsidP="002A0111">
      <w:pPr>
        <w:spacing w:after="120"/>
        <w:jc w:val="both"/>
        <w:rPr>
          <w:b/>
          <w:lang w:eastAsia="ko-KR"/>
        </w:rPr>
      </w:pPr>
    </w:p>
    <w:p w14:paraId="0F43F72B" w14:textId="77777777" w:rsidR="00600223" w:rsidRDefault="00600223" w:rsidP="00876FEF">
      <w:pPr>
        <w:jc w:val="both"/>
        <w:rPr>
          <w:color w:val="000000"/>
        </w:rPr>
      </w:pPr>
      <w:r w:rsidRPr="00876FEF">
        <w:t xml:space="preserve">ITU-R </w:t>
      </w:r>
      <w:r w:rsidR="007702EC" w:rsidRPr="00A93B8E">
        <w:t>Working Party (WP) 5A</w:t>
      </w:r>
      <w:r w:rsidR="007702EC" w:rsidRPr="00A93B8E">
        <w:rPr>
          <w:rFonts w:hint="eastAsia"/>
        </w:rPr>
        <w:t xml:space="preserve"> was identified as </w:t>
      </w:r>
      <w:r w:rsidR="007702EC" w:rsidRPr="00A93B8E">
        <w:t>the</w:t>
      </w:r>
      <w:r w:rsidR="007702EC" w:rsidRPr="00A93B8E">
        <w:rPr>
          <w:rFonts w:hint="eastAsia"/>
        </w:rPr>
        <w:t xml:space="preserve"> responsible group for this agenda item</w:t>
      </w:r>
      <w:r w:rsidR="007702EC" w:rsidRPr="00A93B8E">
        <w:t xml:space="preserve">, </w:t>
      </w:r>
      <w:r w:rsidR="007702EC" w:rsidRPr="00A93B8E">
        <w:rPr>
          <w:rFonts w:hint="eastAsia"/>
        </w:rPr>
        <w:t xml:space="preserve">together </w:t>
      </w:r>
      <w:r w:rsidR="007702EC" w:rsidRPr="00A93B8E">
        <w:t>with WP 4C</w:t>
      </w:r>
      <w:r w:rsidR="007702EC" w:rsidRPr="00A93B8E">
        <w:rPr>
          <w:rFonts w:hint="eastAsia"/>
        </w:rPr>
        <w:t xml:space="preserve"> </w:t>
      </w:r>
      <w:r w:rsidR="007702EC" w:rsidRPr="00A93B8E">
        <w:t>and</w:t>
      </w:r>
      <w:r w:rsidR="007702EC" w:rsidRPr="00A93B8E">
        <w:rPr>
          <w:rFonts w:hint="eastAsia"/>
        </w:rPr>
        <w:t xml:space="preserve"> WP 3M as </w:t>
      </w:r>
      <w:r w:rsidR="007702EC" w:rsidRPr="00A93B8E">
        <w:t xml:space="preserve">the </w:t>
      </w:r>
      <w:r w:rsidR="007702EC" w:rsidRPr="00A93B8E">
        <w:rPr>
          <w:rFonts w:hint="eastAsia"/>
        </w:rPr>
        <w:t>contributing groups.</w:t>
      </w:r>
      <w:r w:rsidR="009F2A58">
        <w:t xml:space="preserve"> </w:t>
      </w:r>
      <w:r w:rsidR="00876FEF" w:rsidRPr="00876FEF">
        <w:rPr>
          <w:color w:val="000000"/>
        </w:rPr>
        <w:t xml:space="preserve">WP 4C </w:t>
      </w:r>
      <w:r w:rsidR="00B7598A">
        <w:rPr>
          <w:color w:val="000000"/>
        </w:rPr>
        <w:t>is</w:t>
      </w:r>
      <w:r w:rsidR="00876FEF" w:rsidRPr="00876FEF">
        <w:rPr>
          <w:color w:val="000000"/>
        </w:rPr>
        <w:t xml:space="preserve"> responsible for the detailed interference analysis between stations of the amateur service and receivers of the radionavigation-satellite service. WP 5A </w:t>
      </w:r>
      <w:r w:rsidR="00B7598A">
        <w:rPr>
          <w:color w:val="000000"/>
        </w:rPr>
        <w:t>is</w:t>
      </w:r>
      <w:r w:rsidR="00876FEF" w:rsidRPr="00876FEF">
        <w:rPr>
          <w:color w:val="000000"/>
        </w:rPr>
        <w:t xml:space="preserve"> also responsible for the review amateur service applications and development of appropriate and relevant parameters of amateur service stations for the studies undertaken by WP 4C. </w:t>
      </w:r>
    </w:p>
    <w:p w14:paraId="3D6DE15F" w14:textId="77777777" w:rsidR="00BA0D27" w:rsidRDefault="00BA0D27" w:rsidP="00876FEF">
      <w:pPr>
        <w:jc w:val="both"/>
        <w:rPr>
          <w:color w:val="000000"/>
        </w:rPr>
      </w:pPr>
    </w:p>
    <w:p w14:paraId="3B6BCE8E" w14:textId="77777777" w:rsidR="007F615C" w:rsidRPr="00DB50DF" w:rsidRDefault="00246247" w:rsidP="007F615C">
      <w:pPr>
        <w:jc w:val="both"/>
        <w:rPr>
          <w:rFonts w:eastAsia="MS Mincho"/>
          <w:b/>
          <w:bCs/>
          <w:i/>
          <w:iCs/>
          <w:szCs w:val="20"/>
        </w:rPr>
      </w:pPr>
      <w:hyperlink r:id="rId9" w:history="1">
        <w:r w:rsidR="00876FEF" w:rsidRPr="00876FEF">
          <w:rPr>
            <w:rStyle w:val="Hyperlink"/>
          </w:rPr>
          <w:t xml:space="preserve">A </w:t>
        </w:r>
        <w:r w:rsidR="00B7598A" w:rsidRPr="00B7598A">
          <w:rPr>
            <w:rStyle w:val="Hyperlink"/>
          </w:rPr>
          <w:t xml:space="preserve">working document towards </w:t>
        </w:r>
        <w:r w:rsidR="00B7598A">
          <w:rPr>
            <w:rStyle w:val="Hyperlink"/>
          </w:rPr>
          <w:t xml:space="preserve">a </w:t>
        </w:r>
        <w:r w:rsidR="00876FEF" w:rsidRPr="00876FEF">
          <w:rPr>
            <w:rStyle w:val="Hyperlink"/>
          </w:rPr>
          <w:t>preliminary draft new Report ITU-R M.[AMATEUR.CHARACTERISTICS]</w:t>
        </w:r>
      </w:hyperlink>
      <w:r w:rsidR="00876FEF" w:rsidRPr="00876FEF">
        <w:t xml:space="preserve"> is in preparation in WP 5A. </w:t>
      </w:r>
      <w:r w:rsidR="007F615C" w:rsidRPr="00876FEF">
        <w:rPr>
          <w:lang w:eastAsia="ja-JP"/>
        </w:rPr>
        <w:t>WP 4C</w:t>
      </w:r>
      <w:r w:rsidR="007F615C" w:rsidRPr="00876FEF">
        <w:t xml:space="preserve"> produced a</w:t>
      </w:r>
      <w:r w:rsidR="007F615C" w:rsidRPr="00876FEF">
        <w:rPr>
          <w:i/>
          <w:iCs/>
        </w:rPr>
        <w:t xml:space="preserve"> </w:t>
      </w:r>
      <w:hyperlink r:id="rId10" w:history="1">
        <w:r w:rsidR="007F615C" w:rsidRPr="00876FEF">
          <w:rPr>
            <w:rStyle w:val="Hyperlink"/>
          </w:rPr>
          <w:t>working document towards a preliminary draft new Report ITU-R M.[Amateur-RNSS]</w:t>
        </w:r>
      </w:hyperlink>
      <w:r w:rsidR="007F615C" w:rsidRPr="00876FEF">
        <w:t xml:space="preserve"> to document its </w:t>
      </w:r>
      <w:r w:rsidR="00B7598A">
        <w:t xml:space="preserve">ongoing </w:t>
      </w:r>
      <w:r w:rsidR="007F615C" w:rsidRPr="00876FEF">
        <w:t>work on the studies for this topic.</w:t>
      </w:r>
      <w:r w:rsidR="007F615C" w:rsidRPr="00876FEF">
        <w:rPr>
          <w:lang w:eastAsia="ja-JP"/>
        </w:rPr>
        <w:t xml:space="preserve"> </w:t>
      </w:r>
      <w:r w:rsidR="007F615C" w:rsidRPr="00876FEF">
        <w:rPr>
          <w:lang w:eastAsia="zh-CN"/>
        </w:rPr>
        <w:t>This document will eventually include complete relevant amateur/amateur-satellite transmitter parameters and interference scenarios agreed with WP 5A, relevant RNSS receiver parameters and protection criteria developed in WP 4C, analysis methodologies employing propagation models discussed with WP 3M, and the results of studies once completed.</w:t>
      </w:r>
      <w:r w:rsidR="007F615C" w:rsidRPr="00876FEF">
        <w:rPr>
          <w:lang w:eastAsia="ja-JP"/>
        </w:rPr>
        <w:t xml:space="preserve"> </w:t>
      </w:r>
      <w:r w:rsidR="007F615C" w:rsidRPr="00876FEF">
        <w:rPr>
          <w:rFonts w:eastAsiaTheme="minorEastAsia" w:hint="eastAsia"/>
          <w:lang w:eastAsia="zh-CN"/>
        </w:rPr>
        <w:t xml:space="preserve">WP 4C also </w:t>
      </w:r>
      <w:r w:rsidR="007F615C" w:rsidRPr="00876FEF">
        <w:rPr>
          <w:rFonts w:eastAsiaTheme="minorEastAsia" w:hint="eastAsia"/>
          <w:shd w:val="clear" w:color="auto" w:fill="FFFFFF"/>
          <w:lang w:eastAsia="zh-CN"/>
        </w:rPr>
        <w:t xml:space="preserve">revised the </w:t>
      </w:r>
      <w:r w:rsidR="007F615C" w:rsidRPr="00876FEF">
        <w:rPr>
          <w:rFonts w:eastAsiaTheme="minorEastAsia"/>
          <w:shd w:val="clear" w:color="auto" w:fill="FFFFFF"/>
          <w:lang w:eastAsia="zh-CN"/>
        </w:rPr>
        <w:t>Recommendation</w:t>
      </w:r>
      <w:r w:rsidR="007F615C" w:rsidRPr="00876FEF">
        <w:rPr>
          <w:rFonts w:eastAsiaTheme="minorEastAsia" w:hint="eastAsia"/>
          <w:shd w:val="clear" w:color="auto" w:fill="FFFFFF"/>
          <w:lang w:eastAsia="zh-CN"/>
        </w:rPr>
        <w:t>s ITU-R M.1902-1 and M.1787-3 to support the studies.</w:t>
      </w:r>
    </w:p>
    <w:p w14:paraId="31DFFDA5" w14:textId="77777777" w:rsidR="00876312" w:rsidRPr="00441526" w:rsidRDefault="00876312" w:rsidP="00C904C9">
      <w:pPr>
        <w:jc w:val="both"/>
        <w:rPr>
          <w:i/>
          <w:lang w:val="en-NZ"/>
        </w:rPr>
      </w:pPr>
    </w:p>
    <w:p w14:paraId="54809F61" w14:textId="4956B369" w:rsidR="002A0111" w:rsidRPr="00441526" w:rsidRDefault="002A0111" w:rsidP="002A0111">
      <w:pPr>
        <w:spacing w:after="120"/>
        <w:jc w:val="both"/>
        <w:rPr>
          <w:b/>
          <w:lang w:val="en-NZ" w:eastAsia="ko-KR"/>
        </w:rPr>
      </w:pPr>
      <w:r w:rsidRPr="00441526">
        <w:rPr>
          <w:b/>
          <w:lang w:val="en-NZ" w:eastAsia="ko-KR"/>
        </w:rPr>
        <w:t>2.</w:t>
      </w:r>
      <w:r w:rsidRPr="00441526">
        <w:rPr>
          <w:b/>
          <w:lang w:val="en-NZ" w:eastAsia="ko-KR"/>
        </w:rPr>
        <w:tab/>
        <w:t>Documents</w:t>
      </w:r>
    </w:p>
    <w:p w14:paraId="76FFFD4F" w14:textId="4D124E0A" w:rsidR="00FF5AF0" w:rsidRPr="00FF5AF0" w:rsidRDefault="00FF5AF0" w:rsidP="00F23A1A">
      <w:pPr>
        <w:spacing w:before="120" w:after="120"/>
        <w:jc w:val="both"/>
        <w:rPr>
          <w:lang w:val="en-NZ" w:eastAsia="ko-KR"/>
        </w:rPr>
      </w:pPr>
      <w:r w:rsidRPr="00FF5AF0">
        <w:rPr>
          <w:i/>
          <w:lang w:val="en-NZ" w:eastAsia="ko-KR"/>
        </w:rPr>
        <w:t xml:space="preserve">Input Documents: </w:t>
      </w:r>
      <w:r w:rsidR="00CF53A4">
        <w:t>APG23-2/</w:t>
      </w:r>
      <w:hyperlink r:id="rId11" w:history="1">
        <w:r w:rsidRPr="00FF5AF0">
          <w:rPr>
            <w:rStyle w:val="Hyperlink"/>
            <w:lang w:val="en-NZ"/>
          </w:rPr>
          <w:t>INP-14</w:t>
        </w:r>
      </w:hyperlink>
      <w:r w:rsidRPr="00FF5AF0">
        <w:rPr>
          <w:lang w:val="en-NZ"/>
        </w:rPr>
        <w:t xml:space="preserve"> (J) , </w:t>
      </w:r>
      <w:hyperlink r:id="rId12" w:history="1">
        <w:r w:rsidRPr="00FF5AF0">
          <w:rPr>
            <w:rStyle w:val="Hyperlink"/>
            <w:lang w:val="en-NZ"/>
          </w:rPr>
          <w:t>INP-28</w:t>
        </w:r>
      </w:hyperlink>
      <w:r w:rsidRPr="00FF5AF0">
        <w:rPr>
          <w:lang w:val="en-NZ"/>
        </w:rPr>
        <w:t xml:space="preserve"> (AUS), </w:t>
      </w:r>
      <w:hyperlink r:id="rId13" w:history="1">
        <w:r w:rsidRPr="00FF5AF0">
          <w:rPr>
            <w:rStyle w:val="Hyperlink"/>
            <w:lang w:val="en-NZ"/>
          </w:rPr>
          <w:t>INP-34</w:t>
        </w:r>
      </w:hyperlink>
      <w:r w:rsidRPr="00FF5AF0">
        <w:rPr>
          <w:lang w:val="en-NZ"/>
        </w:rPr>
        <w:t xml:space="preserve"> (KOR), </w:t>
      </w:r>
      <w:hyperlink r:id="rId14" w:history="1">
        <w:r w:rsidRPr="00FF5AF0">
          <w:rPr>
            <w:rStyle w:val="Hyperlink"/>
            <w:lang w:val="en-NZ"/>
          </w:rPr>
          <w:t>INP-43</w:t>
        </w:r>
      </w:hyperlink>
      <w:r w:rsidRPr="00FF5AF0">
        <w:rPr>
          <w:lang w:val="en-NZ"/>
        </w:rPr>
        <w:t xml:space="preserve"> (I</w:t>
      </w:r>
      <w:r w:rsidR="00612348">
        <w:rPr>
          <w:lang w:val="en-NZ"/>
        </w:rPr>
        <w:t>NS</w:t>
      </w:r>
      <w:r w:rsidRPr="00FF5AF0">
        <w:rPr>
          <w:lang w:val="en-NZ"/>
        </w:rPr>
        <w:t xml:space="preserve">), </w:t>
      </w:r>
      <w:hyperlink r:id="rId15" w:history="1">
        <w:r w:rsidRPr="00FF5AF0">
          <w:rPr>
            <w:rStyle w:val="Hyperlink"/>
            <w:lang w:val="en-NZ"/>
          </w:rPr>
          <w:t>INP-48</w:t>
        </w:r>
      </w:hyperlink>
      <w:r w:rsidRPr="00FF5AF0">
        <w:rPr>
          <w:lang w:val="en-NZ"/>
        </w:rPr>
        <w:t xml:space="preserve"> (CHN) </w:t>
      </w:r>
    </w:p>
    <w:p w14:paraId="53160EC9" w14:textId="7814F0A5" w:rsidR="00FF5AF0" w:rsidRPr="00F45758" w:rsidRDefault="00FF5AF0" w:rsidP="00F23A1A">
      <w:pPr>
        <w:spacing w:before="120" w:after="120"/>
        <w:jc w:val="both"/>
        <w:rPr>
          <w:b/>
          <w:lang w:val="en-NZ" w:eastAsia="ko-KR"/>
        </w:rPr>
      </w:pPr>
      <w:r w:rsidRPr="00FF5AF0">
        <w:rPr>
          <w:i/>
          <w:lang w:val="en-NZ" w:eastAsia="ko-KR"/>
        </w:rPr>
        <w:lastRenderedPageBreak/>
        <w:t xml:space="preserve">Information Documents: </w:t>
      </w:r>
      <w:r w:rsidRPr="00FF5AF0">
        <w:rPr>
          <w:lang w:val="en-NZ" w:eastAsia="ko-KR"/>
        </w:rPr>
        <w:t>APG23-2/</w:t>
      </w:r>
      <w:hyperlink r:id="rId16" w:history="1">
        <w:r w:rsidRPr="00FF5AF0">
          <w:rPr>
            <w:rStyle w:val="Hyperlink"/>
            <w:lang w:val="en-NZ"/>
          </w:rPr>
          <w:t>INF-23</w:t>
        </w:r>
      </w:hyperlink>
      <w:r w:rsidRPr="00FF5AF0">
        <w:rPr>
          <w:lang w:val="en-NZ" w:eastAsia="ko-KR"/>
        </w:rPr>
        <w:t xml:space="preserve"> (</w:t>
      </w:r>
      <w:r w:rsidRPr="00FF5AF0">
        <w:rPr>
          <w:lang w:val="en-NZ"/>
        </w:rPr>
        <w:t>IARU)</w:t>
      </w:r>
      <w:r w:rsidRPr="00FF5AF0">
        <w:rPr>
          <w:lang w:val="en-NZ" w:eastAsia="ko-KR"/>
        </w:rPr>
        <w:t xml:space="preserve">, </w:t>
      </w:r>
      <w:hyperlink r:id="rId17" w:history="1">
        <w:r w:rsidRPr="00FF5AF0">
          <w:rPr>
            <w:rStyle w:val="Hyperlink"/>
            <w:lang w:val="en-NZ"/>
          </w:rPr>
          <w:t>INF-24</w:t>
        </w:r>
      </w:hyperlink>
      <w:r w:rsidRPr="00FF5AF0">
        <w:rPr>
          <w:lang w:val="en-NZ" w:eastAsia="ko-KR"/>
        </w:rPr>
        <w:t xml:space="preserve"> (</w:t>
      </w:r>
      <w:r w:rsidRPr="00FF5AF0">
        <w:rPr>
          <w:lang w:val="en-NZ"/>
        </w:rPr>
        <w:t>DG chair</w:t>
      </w:r>
      <w:r w:rsidRPr="00FF5AF0">
        <w:rPr>
          <w:lang w:val="en-NZ" w:eastAsia="ko-KR"/>
        </w:rPr>
        <w:t xml:space="preserve">), </w:t>
      </w:r>
      <w:hyperlink r:id="rId18" w:history="1">
        <w:r w:rsidRPr="00FF5AF0">
          <w:rPr>
            <w:rStyle w:val="Hyperlink"/>
            <w:lang w:val="en-NZ"/>
          </w:rPr>
          <w:t>INF-25</w:t>
        </w:r>
      </w:hyperlink>
      <w:r w:rsidRPr="00FF5AF0">
        <w:rPr>
          <w:lang w:val="en-NZ" w:eastAsia="ko-KR"/>
        </w:rPr>
        <w:t xml:space="preserve"> (</w:t>
      </w:r>
      <w:r w:rsidRPr="00FF5AF0">
        <w:rPr>
          <w:lang w:val="en-NZ"/>
        </w:rPr>
        <w:t>ASMG</w:t>
      </w:r>
      <w:r w:rsidRPr="00FF5AF0">
        <w:rPr>
          <w:lang w:val="en-NZ" w:eastAsia="ko-KR"/>
        </w:rPr>
        <w:t xml:space="preserve">), </w:t>
      </w:r>
      <w:hyperlink r:id="rId19" w:history="1">
        <w:r w:rsidRPr="00FF5AF0">
          <w:rPr>
            <w:rStyle w:val="Hyperlink"/>
            <w:lang w:val="en-NZ"/>
          </w:rPr>
          <w:t>INF-34</w:t>
        </w:r>
      </w:hyperlink>
      <w:r w:rsidRPr="00FF5AF0">
        <w:rPr>
          <w:lang w:val="en-NZ"/>
        </w:rPr>
        <w:t xml:space="preserve"> (CITEL), </w:t>
      </w:r>
      <w:hyperlink r:id="rId20" w:history="1">
        <w:r w:rsidRPr="00FF5AF0">
          <w:rPr>
            <w:rStyle w:val="Hyperlink"/>
            <w:lang w:val="en-NZ"/>
          </w:rPr>
          <w:t>INF-35</w:t>
        </w:r>
      </w:hyperlink>
      <w:r w:rsidRPr="00FF5AF0">
        <w:rPr>
          <w:lang w:val="en-NZ"/>
        </w:rPr>
        <w:t xml:space="preserve"> (CEPT)</w:t>
      </w:r>
    </w:p>
    <w:p w14:paraId="50F34316" w14:textId="77777777" w:rsidR="002A0111" w:rsidRPr="00325E23" w:rsidRDefault="002A0111" w:rsidP="003D3D47">
      <w:pPr>
        <w:jc w:val="both"/>
        <w:rPr>
          <w:b/>
          <w:lang w:val="en-NZ" w:eastAsia="ko-KR"/>
        </w:rPr>
      </w:pPr>
    </w:p>
    <w:p w14:paraId="1F617890" w14:textId="1E2DABF9" w:rsidR="002A0111" w:rsidRPr="00441526" w:rsidRDefault="002A0111" w:rsidP="002A0111">
      <w:pPr>
        <w:rPr>
          <w:b/>
          <w:lang w:val="en-NZ" w:eastAsia="ko-KR"/>
        </w:rPr>
      </w:pPr>
      <w:r w:rsidRPr="00441526">
        <w:rPr>
          <w:b/>
          <w:lang w:val="en-NZ" w:eastAsia="ko-KR"/>
        </w:rPr>
        <w:t>3.</w:t>
      </w:r>
      <w:r w:rsidRPr="00441526">
        <w:rPr>
          <w:b/>
          <w:lang w:val="en-NZ" w:eastAsia="ko-KR"/>
        </w:rPr>
        <w:tab/>
        <w:t>Summary of discussions</w:t>
      </w:r>
    </w:p>
    <w:p w14:paraId="795AF06B"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402C3834" w14:textId="77777777" w:rsidR="002A0111" w:rsidRPr="00441526" w:rsidRDefault="002A0111" w:rsidP="003D3D47">
      <w:pPr>
        <w:spacing w:after="120"/>
        <w:jc w:val="both"/>
        <w:rPr>
          <w:b/>
          <w:lang w:val="en-NZ" w:eastAsia="ko-KR"/>
        </w:rPr>
      </w:pPr>
      <w:r w:rsidRPr="00441526">
        <w:rPr>
          <w:b/>
          <w:lang w:val="en-NZ" w:eastAsia="ko-KR"/>
        </w:rPr>
        <w:t xml:space="preserve">3.1.1 </w:t>
      </w:r>
      <w:r w:rsidRPr="00441526">
        <w:rPr>
          <w:b/>
          <w:lang w:val="en-NZ" w:eastAsia="ko-KR"/>
        </w:rPr>
        <w:tab/>
      </w:r>
      <w:r w:rsidR="00D3717D">
        <w:rPr>
          <w:b/>
          <w:lang w:val="en-NZ" w:eastAsia="ko-KR"/>
        </w:rPr>
        <w:t>Japan</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D3717D">
        <w:rPr>
          <w:b/>
          <w:lang w:val="en-NZ" w:eastAsia="ko-KR"/>
        </w:rPr>
        <w:t>14</w:t>
      </w:r>
    </w:p>
    <w:p w14:paraId="7B74F78E" w14:textId="77777777" w:rsidR="00D3717D" w:rsidRPr="00D3717D" w:rsidRDefault="00D3717D" w:rsidP="00612348">
      <w:pPr>
        <w:jc w:val="both"/>
        <w:rPr>
          <w:lang w:val="en-NZ"/>
        </w:rPr>
      </w:pPr>
      <w:r w:rsidRPr="000365CE">
        <w:t xml:space="preserve">Japan supports </w:t>
      </w:r>
      <w:r>
        <w:t xml:space="preserve">ongoing studies in ITU-R </w:t>
      </w:r>
      <w:r w:rsidRPr="000365CE">
        <w:t xml:space="preserve">to ensure the protection of RNSS (space-to-Earth) receivers from the amateur and amateur-satellite services in the frequency band 1 240-1 300 MHz in accordance with Resolution </w:t>
      </w:r>
      <w:r w:rsidRPr="000365CE">
        <w:rPr>
          <w:b/>
        </w:rPr>
        <w:t>774 (WRC-19)</w:t>
      </w:r>
      <w:r>
        <w:t>.</w:t>
      </w:r>
    </w:p>
    <w:p w14:paraId="514A0C87" w14:textId="77777777" w:rsidR="002A0111" w:rsidRPr="00441526" w:rsidRDefault="002A0111" w:rsidP="00612348">
      <w:pPr>
        <w:jc w:val="both"/>
        <w:rPr>
          <w:lang w:val="en-NZ"/>
        </w:rPr>
      </w:pPr>
    </w:p>
    <w:p w14:paraId="20CF8052" w14:textId="77777777" w:rsidR="002A0111" w:rsidRPr="00441526" w:rsidRDefault="002A0111" w:rsidP="003D3D47">
      <w:pPr>
        <w:spacing w:after="120"/>
        <w:jc w:val="both"/>
        <w:rPr>
          <w:b/>
          <w:lang w:val="en-NZ" w:eastAsia="ko-KR"/>
        </w:rPr>
      </w:pPr>
      <w:r w:rsidRPr="00441526">
        <w:rPr>
          <w:b/>
          <w:lang w:val="en-NZ" w:eastAsia="ko-KR"/>
        </w:rPr>
        <w:t xml:space="preserve">3.1.2 </w:t>
      </w:r>
      <w:r w:rsidRPr="00441526">
        <w:rPr>
          <w:b/>
          <w:lang w:val="en-NZ" w:eastAsia="ko-KR"/>
        </w:rPr>
        <w:tab/>
      </w:r>
      <w:r w:rsidR="00783C8D">
        <w:rPr>
          <w:b/>
          <w:lang w:val="en-NZ" w:eastAsia="ko-KR"/>
        </w:rPr>
        <w:t>Australia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783C8D">
        <w:rPr>
          <w:b/>
          <w:lang w:val="en-NZ" w:eastAsia="ko-KR"/>
        </w:rPr>
        <w:t>28</w:t>
      </w:r>
    </w:p>
    <w:p w14:paraId="537A8522" w14:textId="77777777" w:rsidR="00783C8D" w:rsidRPr="00783C8D" w:rsidRDefault="00783C8D" w:rsidP="00612348">
      <w:pPr>
        <w:jc w:val="both"/>
      </w:pPr>
      <w:r w:rsidRPr="00783C8D">
        <w:t xml:space="preserve">Australia supports studies in line with Resolution </w:t>
      </w:r>
      <w:r w:rsidRPr="00783C8D">
        <w:rPr>
          <w:b/>
        </w:rPr>
        <w:t>774 (WRC-19)</w:t>
      </w:r>
      <w:r w:rsidRPr="00783C8D">
        <w:t>, to protect RNSS receivers while supporting the continued use of these frequency bands by the amateur and amateur-satellite services.</w:t>
      </w:r>
    </w:p>
    <w:p w14:paraId="1E523DCC" w14:textId="77777777" w:rsidR="002A0111" w:rsidRPr="00441526" w:rsidRDefault="002A0111" w:rsidP="003D3D47">
      <w:pPr>
        <w:jc w:val="both"/>
        <w:rPr>
          <w:lang w:val="en-NZ"/>
        </w:rPr>
      </w:pPr>
    </w:p>
    <w:p w14:paraId="541989C8" w14:textId="77777777" w:rsidR="002A0111" w:rsidRPr="00441526" w:rsidRDefault="002A0111" w:rsidP="003D3D47">
      <w:pPr>
        <w:spacing w:after="120"/>
        <w:jc w:val="both"/>
        <w:rPr>
          <w:b/>
          <w:lang w:val="en-NZ" w:eastAsia="ko-KR"/>
        </w:rPr>
      </w:pPr>
      <w:r w:rsidRPr="00441526">
        <w:rPr>
          <w:b/>
          <w:lang w:val="en-NZ" w:eastAsia="ko-KR"/>
        </w:rPr>
        <w:t>3.1.</w:t>
      </w:r>
      <w:r w:rsidR="00783C8D">
        <w:rPr>
          <w:b/>
          <w:lang w:val="en-NZ" w:eastAsia="ko-KR"/>
        </w:rPr>
        <w:t>3</w:t>
      </w:r>
      <w:r w:rsidRPr="00441526">
        <w:rPr>
          <w:b/>
          <w:lang w:val="en-NZ" w:eastAsia="ko-KR"/>
        </w:rPr>
        <w:tab/>
      </w:r>
      <w:r w:rsidR="00783C8D">
        <w:rPr>
          <w:b/>
          <w:lang w:val="en-NZ" w:eastAsia="ko-KR"/>
        </w:rPr>
        <w:t>Korea</w:t>
      </w:r>
      <w:r w:rsidRPr="00441526">
        <w:rPr>
          <w:b/>
          <w:lang w:val="en-NZ" w:eastAsia="ko-KR"/>
        </w:rPr>
        <w:t xml:space="preserve"> </w:t>
      </w:r>
      <w:r w:rsidRPr="00441526">
        <w:t xml:space="preserve">- </w:t>
      </w:r>
      <w:r w:rsidRPr="00441526">
        <w:rPr>
          <w:b/>
          <w:lang w:val="en-NZ" w:eastAsia="ko-KR"/>
        </w:rPr>
        <w:t>Document APG</w:t>
      </w:r>
      <w:r w:rsidR="00822B33">
        <w:rPr>
          <w:b/>
          <w:lang w:val="en-NZ" w:eastAsia="ko-KR"/>
        </w:rPr>
        <w:t>23</w:t>
      </w:r>
      <w:r w:rsidRPr="00441526">
        <w:rPr>
          <w:b/>
          <w:lang w:val="en-NZ" w:eastAsia="ko-KR"/>
        </w:rPr>
        <w:t>-</w:t>
      </w:r>
      <w:r w:rsidR="00822B33">
        <w:rPr>
          <w:b/>
          <w:lang w:val="en-NZ" w:eastAsia="ko-KR"/>
        </w:rPr>
        <w:t>2</w:t>
      </w:r>
      <w:r w:rsidRPr="00441526">
        <w:rPr>
          <w:b/>
          <w:lang w:val="en-NZ" w:eastAsia="ko-KR"/>
        </w:rPr>
        <w:t>/INP-</w:t>
      </w:r>
      <w:r w:rsidR="00783C8D">
        <w:rPr>
          <w:b/>
          <w:lang w:val="en-NZ" w:eastAsia="ko-KR"/>
        </w:rPr>
        <w:t>34</w:t>
      </w:r>
    </w:p>
    <w:p w14:paraId="72C7B337" w14:textId="77777777" w:rsidR="00783C8D" w:rsidRPr="00AB4DCF" w:rsidRDefault="00783C8D" w:rsidP="00612348">
      <w:pPr>
        <w:jc w:val="both"/>
        <w:rPr>
          <w:rFonts w:eastAsia="Batang"/>
          <w:szCs w:val="20"/>
        </w:rPr>
      </w:pPr>
      <w:r w:rsidRPr="00F23396">
        <w:rPr>
          <w:rFonts w:eastAsia="Batang"/>
          <w:szCs w:val="20"/>
          <w:lang w:val="en-GB"/>
        </w:rPr>
        <w:t xml:space="preserve">The Republic of Korea </w:t>
      </w:r>
      <w:r>
        <w:rPr>
          <w:rFonts w:eastAsia="Batang"/>
          <w:szCs w:val="20"/>
          <w:lang w:val="en-GB"/>
        </w:rPr>
        <w:t xml:space="preserve">is of the view that </w:t>
      </w:r>
      <w:r w:rsidRPr="003D1650">
        <w:rPr>
          <w:rFonts w:eastAsia="Batang"/>
          <w:szCs w:val="20"/>
          <w:lang w:val="en-GB"/>
        </w:rPr>
        <w:t>protection of RNSS (space-to-Earth) receivers from the amateur and amateur-satellite services in the frequency band 1 240-1 300 MH</w:t>
      </w:r>
      <w:r>
        <w:rPr>
          <w:rFonts w:eastAsia="Batang"/>
          <w:szCs w:val="20"/>
          <w:lang w:val="en-GB"/>
        </w:rPr>
        <w:t xml:space="preserve">z should be ensured with appropriate </w:t>
      </w:r>
      <w:r w:rsidRPr="003D1650">
        <w:rPr>
          <w:rFonts w:eastAsia="Batang"/>
          <w:szCs w:val="20"/>
          <w:lang w:val="en-GB"/>
        </w:rPr>
        <w:t>technical and operational measures</w:t>
      </w:r>
      <w:r>
        <w:rPr>
          <w:rFonts w:eastAsia="Batang"/>
          <w:szCs w:val="20"/>
          <w:lang w:val="en-GB"/>
        </w:rPr>
        <w:t>.</w:t>
      </w:r>
    </w:p>
    <w:p w14:paraId="723344F5" w14:textId="77777777" w:rsidR="002A0111" w:rsidRDefault="002A0111" w:rsidP="003D3D47">
      <w:pPr>
        <w:jc w:val="both"/>
        <w:rPr>
          <w:lang w:val="en-NZ"/>
        </w:rPr>
      </w:pPr>
    </w:p>
    <w:p w14:paraId="33E94E23" w14:textId="77777777" w:rsidR="00783C8D" w:rsidRPr="00441526" w:rsidRDefault="00783C8D" w:rsidP="00783C8D">
      <w:pPr>
        <w:spacing w:after="120"/>
        <w:jc w:val="both"/>
        <w:rPr>
          <w:b/>
          <w:lang w:val="en-NZ" w:eastAsia="ko-KR"/>
        </w:rPr>
      </w:pPr>
      <w:r w:rsidRPr="00441526">
        <w:rPr>
          <w:b/>
          <w:lang w:val="en-NZ" w:eastAsia="ko-KR"/>
        </w:rPr>
        <w:t>3.1.</w:t>
      </w:r>
      <w:r>
        <w:rPr>
          <w:b/>
          <w:lang w:val="en-NZ" w:eastAsia="ko-KR"/>
        </w:rPr>
        <w:t>4</w:t>
      </w:r>
      <w:r w:rsidRPr="00441526">
        <w:rPr>
          <w:b/>
          <w:lang w:val="en-NZ" w:eastAsia="ko-KR"/>
        </w:rPr>
        <w:tab/>
      </w:r>
      <w:r w:rsidR="00470F7E">
        <w:rPr>
          <w:b/>
          <w:lang w:val="en-NZ" w:eastAsia="ko-KR"/>
        </w:rPr>
        <w:t>Indonesia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sidR="00470F7E">
        <w:rPr>
          <w:b/>
          <w:lang w:val="en-NZ" w:eastAsia="ko-KR"/>
        </w:rPr>
        <w:t>43</w:t>
      </w:r>
    </w:p>
    <w:p w14:paraId="1867542F" w14:textId="77777777" w:rsidR="00470F7E" w:rsidRPr="0088765E" w:rsidRDefault="00470F7E" w:rsidP="00612348">
      <w:pPr>
        <w:jc w:val="both"/>
        <w:rPr>
          <w:rFonts w:eastAsia="Times New Roman"/>
          <w:kern w:val="2"/>
          <w:lang w:eastAsia="ar-SA"/>
        </w:rPr>
      </w:pPr>
      <w:r>
        <w:rPr>
          <w:rFonts w:eastAsia="Times New Roman"/>
          <w:kern w:val="2"/>
          <w:lang w:eastAsia="ar-SA"/>
        </w:rPr>
        <w:t xml:space="preserve">Indonesia </w:t>
      </w:r>
      <w:r w:rsidRPr="008447FA">
        <w:rPr>
          <w:rFonts w:eastAsia="Times New Roman"/>
          <w:kern w:val="2"/>
          <w:lang w:eastAsia="ar-SA"/>
        </w:rPr>
        <w:t>support studies under Resolution 774 (WRC-19) toward possible harmonization of frequency bands in existing allocation</w:t>
      </w:r>
      <w:r>
        <w:rPr>
          <w:rFonts w:eastAsia="Times New Roman"/>
          <w:kern w:val="2"/>
          <w:lang w:eastAsia="ar-SA"/>
        </w:rPr>
        <w:t>.</w:t>
      </w:r>
    </w:p>
    <w:p w14:paraId="4F153CC8" w14:textId="77777777" w:rsidR="00783C8D" w:rsidRDefault="00783C8D" w:rsidP="003D3D47">
      <w:pPr>
        <w:jc w:val="both"/>
        <w:rPr>
          <w:lang w:val="en-NZ"/>
        </w:rPr>
      </w:pPr>
    </w:p>
    <w:p w14:paraId="7CC996D9" w14:textId="77777777" w:rsidR="00783C8D" w:rsidRPr="00441526" w:rsidRDefault="00783C8D" w:rsidP="00783C8D">
      <w:pPr>
        <w:spacing w:after="120"/>
        <w:jc w:val="both"/>
        <w:rPr>
          <w:b/>
          <w:lang w:val="en-NZ" w:eastAsia="ko-KR"/>
        </w:rPr>
      </w:pPr>
      <w:r w:rsidRPr="00441526">
        <w:rPr>
          <w:b/>
          <w:lang w:val="en-NZ" w:eastAsia="ko-KR"/>
        </w:rPr>
        <w:t>3.1.</w:t>
      </w:r>
      <w:r>
        <w:rPr>
          <w:b/>
          <w:lang w:val="en-NZ" w:eastAsia="ko-KR"/>
        </w:rPr>
        <w:t>5</w:t>
      </w:r>
      <w:r w:rsidRPr="00441526">
        <w:rPr>
          <w:b/>
          <w:lang w:val="en-NZ" w:eastAsia="ko-KR"/>
        </w:rPr>
        <w:tab/>
      </w:r>
      <w:r w:rsidR="00470F7E">
        <w:rPr>
          <w:b/>
          <w:lang w:val="en-NZ" w:eastAsia="ko-KR"/>
        </w:rPr>
        <w:t>China</w:t>
      </w:r>
      <w:r w:rsidRPr="00441526">
        <w:rPr>
          <w:b/>
          <w:lang w:val="en-NZ" w:eastAsia="ko-KR"/>
        </w:rPr>
        <w:t xml:space="preserve">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/INP-</w:t>
      </w:r>
      <w:r w:rsidR="00470F7E">
        <w:rPr>
          <w:b/>
          <w:lang w:val="en-NZ" w:eastAsia="ko-KR"/>
        </w:rPr>
        <w:t>48</w:t>
      </w:r>
    </w:p>
    <w:p w14:paraId="5CAD0D00" w14:textId="7B811EB5" w:rsidR="00783C8D" w:rsidRPr="00B26502" w:rsidRDefault="00470F7E" w:rsidP="00612348">
      <w:pPr>
        <w:jc w:val="both"/>
        <w:rPr>
          <w:lang w:val="en-NZ"/>
        </w:rPr>
      </w:pPr>
      <w:r w:rsidRPr="00470F7E">
        <w:rPr>
          <w:rFonts w:eastAsia="SimSun" w:hint="eastAsia"/>
          <w:lang w:eastAsia="zh-CN"/>
        </w:rPr>
        <w:t>China</w:t>
      </w:r>
      <w:r w:rsidRPr="00470F7E">
        <w:rPr>
          <w:rFonts w:eastAsiaTheme="minorEastAsia" w:hint="eastAsia"/>
          <w:lang w:eastAsia="zh-CN"/>
        </w:rPr>
        <w:t xml:space="preserve"> </w:t>
      </w:r>
      <w:r w:rsidRPr="00470F7E">
        <w:rPr>
          <w:lang w:val="en-NZ"/>
        </w:rPr>
        <w:t>supports</w:t>
      </w:r>
      <w:r w:rsidRPr="00470F7E">
        <w:rPr>
          <w:rFonts w:hint="eastAsia"/>
          <w:lang w:val="en-NZ"/>
        </w:rPr>
        <w:t xml:space="preserve"> </w:t>
      </w:r>
      <w:r w:rsidRPr="00470F7E">
        <w:rPr>
          <w:rFonts w:eastAsiaTheme="minorEastAsia" w:hint="eastAsia"/>
          <w:lang w:val="en-NZ" w:eastAsia="zh-CN"/>
        </w:rPr>
        <w:t xml:space="preserve">the </w:t>
      </w:r>
      <w:r w:rsidRPr="00470F7E">
        <w:rPr>
          <w:lang w:val="en-NZ"/>
        </w:rPr>
        <w:t>studies</w:t>
      </w:r>
      <w:r w:rsidRPr="00470F7E">
        <w:rPr>
          <w:rFonts w:hint="eastAsia"/>
          <w:lang w:val="en-NZ"/>
        </w:rPr>
        <w:t xml:space="preserve"> </w:t>
      </w:r>
      <w:r w:rsidRPr="00470F7E">
        <w:rPr>
          <w:lang w:val="en-NZ"/>
        </w:rPr>
        <w:t xml:space="preserve">in accordance with Resolution </w:t>
      </w:r>
      <w:r w:rsidRPr="00470F7E">
        <w:rPr>
          <w:b/>
          <w:lang w:val="en-NZ"/>
        </w:rPr>
        <w:t>774 (WRC</w:t>
      </w:r>
      <w:r w:rsidRPr="00470F7E">
        <w:rPr>
          <w:b/>
          <w:lang w:val="en-NZ"/>
        </w:rPr>
        <w:noBreakHyphen/>
        <w:t>19)</w:t>
      </w:r>
      <w:r w:rsidRPr="00470F7E">
        <w:rPr>
          <w:rFonts w:eastAsiaTheme="minorEastAsia" w:hint="eastAsia"/>
          <w:lang w:val="en-NZ" w:eastAsia="zh-CN"/>
        </w:rPr>
        <w:t xml:space="preserve"> </w:t>
      </w:r>
      <w:r w:rsidRPr="00470F7E">
        <w:rPr>
          <w:rFonts w:hint="eastAsia"/>
          <w:lang w:val="en-NZ"/>
        </w:rPr>
        <w:t xml:space="preserve">to </w:t>
      </w:r>
      <w:r w:rsidRPr="00470F7E">
        <w:rPr>
          <w:lang w:val="en-NZ"/>
        </w:rPr>
        <w:t>ensure the protection of RNSS (space-to-Earth) receivers from the amateur and amateur-satellite services within the frequency band 1 240-1 300</w:t>
      </w:r>
      <w:r w:rsidR="00612348">
        <w:rPr>
          <w:lang w:val="en-NZ"/>
        </w:rPr>
        <w:t xml:space="preserve"> </w:t>
      </w:r>
      <w:proofErr w:type="spellStart"/>
      <w:r w:rsidRPr="00470F7E">
        <w:rPr>
          <w:lang w:val="en-NZ"/>
        </w:rPr>
        <w:t>MHz</w:t>
      </w:r>
      <w:r w:rsidRPr="00470F7E">
        <w:rPr>
          <w:rFonts w:asciiTheme="minorEastAsia" w:eastAsiaTheme="minorEastAsia" w:hAnsiTheme="minorEastAsia" w:hint="eastAsia"/>
          <w:lang w:val="en-NZ" w:eastAsia="zh-CN"/>
        </w:rPr>
        <w:t>.</w:t>
      </w:r>
      <w:proofErr w:type="spellEnd"/>
    </w:p>
    <w:p w14:paraId="75D890BD" w14:textId="77777777" w:rsidR="00783C8D" w:rsidRPr="00783C8D" w:rsidRDefault="00783C8D" w:rsidP="003D3D47">
      <w:pPr>
        <w:jc w:val="both"/>
        <w:rPr>
          <w:lang w:val="en-NZ"/>
        </w:rPr>
      </w:pPr>
    </w:p>
    <w:p w14:paraId="72FDFDE4" w14:textId="77777777" w:rsidR="002A0111" w:rsidRPr="00BC707E" w:rsidRDefault="002A0111" w:rsidP="002A0111">
      <w:pPr>
        <w:spacing w:after="120"/>
        <w:jc w:val="both"/>
        <w:rPr>
          <w:b/>
          <w:lang w:val="en-NZ"/>
        </w:rPr>
      </w:pPr>
      <w:r w:rsidRPr="00BC707E">
        <w:rPr>
          <w:b/>
          <w:lang w:val="en-NZ"/>
        </w:rPr>
        <w:t xml:space="preserve">3.2 </w:t>
      </w:r>
      <w:r w:rsidRPr="00BC707E">
        <w:rPr>
          <w:b/>
          <w:lang w:val="en-NZ"/>
        </w:rPr>
        <w:tab/>
        <w:t>S</w:t>
      </w:r>
      <w:r w:rsidRPr="00BC707E">
        <w:rPr>
          <w:b/>
          <w:lang w:val="en-NZ" w:eastAsia="ko-KR"/>
        </w:rPr>
        <w:t>ummary of issues raised du</w:t>
      </w:r>
      <w:r w:rsidRPr="00BC707E">
        <w:rPr>
          <w:b/>
          <w:lang w:val="en-NZ"/>
        </w:rPr>
        <w:t>ring the meeting</w:t>
      </w:r>
    </w:p>
    <w:p w14:paraId="15020BDE" w14:textId="77777777" w:rsidR="002A0111" w:rsidRDefault="006E60C7" w:rsidP="00612348">
      <w:pPr>
        <w:jc w:val="both"/>
        <w:rPr>
          <w:lang w:val="en-NZ" w:eastAsia="ko-KR"/>
        </w:rPr>
      </w:pPr>
      <w:r>
        <w:rPr>
          <w:rFonts w:hint="eastAsia"/>
          <w:lang w:val="en-NZ" w:eastAsia="ko-KR"/>
        </w:rPr>
        <w:t>None</w:t>
      </w:r>
    </w:p>
    <w:p w14:paraId="0342D8D1" w14:textId="77777777" w:rsidR="00C9059F" w:rsidRDefault="00C9059F" w:rsidP="003D3D47">
      <w:pPr>
        <w:jc w:val="both"/>
        <w:rPr>
          <w:lang w:val="en-NZ"/>
        </w:rPr>
      </w:pPr>
    </w:p>
    <w:p w14:paraId="36848D70" w14:textId="77777777" w:rsidR="002A0111" w:rsidRPr="00BC707E" w:rsidRDefault="002A0111" w:rsidP="005C1BFD">
      <w:pPr>
        <w:rPr>
          <w:b/>
          <w:lang w:val="en-NZ" w:eastAsia="ko-KR"/>
        </w:rPr>
      </w:pPr>
      <w:r w:rsidRPr="00BC707E">
        <w:rPr>
          <w:b/>
          <w:lang w:val="en-NZ" w:eastAsia="ko-KR"/>
        </w:rPr>
        <w:t xml:space="preserve">4. </w:t>
      </w:r>
      <w:r w:rsidRPr="00BC707E">
        <w:rPr>
          <w:b/>
          <w:lang w:val="en-NZ" w:eastAsia="ko-KR"/>
        </w:rPr>
        <w:tab/>
        <w:t>APT Preliminary View(s)</w:t>
      </w:r>
    </w:p>
    <w:p w14:paraId="1632CE6B" w14:textId="5708D513" w:rsidR="008D77B6" w:rsidRPr="00DB509D" w:rsidRDefault="005E1CF1" w:rsidP="001D14F5">
      <w:pPr>
        <w:jc w:val="both"/>
      </w:pPr>
      <w:r w:rsidRPr="00DB509D">
        <w:rPr>
          <w:rFonts w:hint="eastAsia"/>
          <w:lang w:val="en-NZ" w:eastAsia="ko-KR"/>
        </w:rPr>
        <w:t xml:space="preserve">APT </w:t>
      </w:r>
      <w:r w:rsidR="006A0703">
        <w:rPr>
          <w:lang w:val="en-NZ" w:eastAsia="ko-KR"/>
        </w:rPr>
        <w:t>M</w:t>
      </w:r>
      <w:r w:rsidR="00237650">
        <w:rPr>
          <w:lang w:val="en-NZ" w:eastAsia="ko-KR"/>
        </w:rPr>
        <w:t xml:space="preserve">embers </w:t>
      </w:r>
      <w:r w:rsidR="00A03675" w:rsidRPr="00DB509D">
        <w:t xml:space="preserve">support </w:t>
      </w:r>
      <w:r w:rsidR="006A0703">
        <w:t xml:space="preserve">ITU-R </w:t>
      </w:r>
      <w:r w:rsidR="00A03675" w:rsidRPr="00DB509D">
        <w:t>studies</w:t>
      </w:r>
      <w:r w:rsidRPr="00DB509D">
        <w:t xml:space="preserve"> </w:t>
      </w:r>
      <w:r w:rsidR="00A03675" w:rsidRPr="00DB509D">
        <w:t xml:space="preserve">in </w:t>
      </w:r>
      <w:r w:rsidR="00EA2699" w:rsidRPr="00DB509D">
        <w:t>accordance</w:t>
      </w:r>
      <w:r w:rsidR="00A03675" w:rsidRPr="00DB509D">
        <w:t xml:space="preserve"> with Resolution </w:t>
      </w:r>
      <w:r w:rsidR="00A03675" w:rsidRPr="00DB509D">
        <w:rPr>
          <w:b/>
        </w:rPr>
        <w:t>774 (WRC-19)</w:t>
      </w:r>
      <w:r w:rsidR="00A03675" w:rsidRPr="00DB509D">
        <w:t>, to protect RNSS</w:t>
      </w:r>
      <w:r w:rsidR="00AB79F8">
        <w:t xml:space="preserve"> </w:t>
      </w:r>
      <w:r w:rsidRPr="00DB509D">
        <w:rPr>
          <w:rFonts w:eastAsia="Batang"/>
          <w:szCs w:val="20"/>
          <w:lang w:val="en-GB"/>
        </w:rPr>
        <w:t xml:space="preserve">(space-to-Earth) </w:t>
      </w:r>
      <w:r w:rsidR="00A03675" w:rsidRPr="00DB509D">
        <w:t xml:space="preserve">receivers </w:t>
      </w:r>
      <w:r w:rsidRPr="00DB509D">
        <w:t>from the amateur and amateur-satellite services in the frequency band 1 240-1 300 MHz</w:t>
      </w:r>
      <w:r w:rsidR="00B7598A">
        <w:t xml:space="preserve"> without considering the removal</w:t>
      </w:r>
      <w:r w:rsidR="006E60C7">
        <w:t xml:space="preserve"> of the</w:t>
      </w:r>
      <w:r w:rsidR="00B7598A">
        <w:t xml:space="preserve"> amateur and amateur-satellite service allocations. </w:t>
      </w:r>
    </w:p>
    <w:p w14:paraId="5DDEAA4D" w14:textId="77777777" w:rsidR="002A0111" w:rsidRPr="00441526" w:rsidRDefault="002A0111" w:rsidP="002A0111">
      <w:pPr>
        <w:rPr>
          <w:lang w:val="en-NZ"/>
        </w:rPr>
      </w:pPr>
    </w:p>
    <w:p w14:paraId="42382630" w14:textId="77777777" w:rsidR="002A0111" w:rsidRPr="00A25820" w:rsidRDefault="002A0111" w:rsidP="002A0111">
      <w:pPr>
        <w:spacing w:after="120"/>
        <w:jc w:val="both"/>
        <w:rPr>
          <w:b/>
          <w:lang w:val="en-NZ" w:eastAsia="ko-KR"/>
        </w:rPr>
      </w:pPr>
      <w:r w:rsidRPr="00A25820">
        <w:rPr>
          <w:b/>
          <w:lang w:val="en-NZ" w:eastAsia="ko-KR"/>
        </w:rPr>
        <w:t xml:space="preserve">5. </w:t>
      </w:r>
      <w:r w:rsidRPr="00A25820">
        <w:rPr>
          <w:b/>
          <w:lang w:val="en-NZ" w:eastAsia="ko-KR"/>
        </w:rPr>
        <w:tab/>
        <w:t>Other View(s) from APT Members</w:t>
      </w:r>
    </w:p>
    <w:p w14:paraId="7F1DCD96" w14:textId="77777777" w:rsidR="002A0111" w:rsidRDefault="006E60C7" w:rsidP="00AB79F8">
      <w:pPr>
        <w:jc w:val="both"/>
        <w:rPr>
          <w:lang w:val="en-NZ" w:eastAsia="ko-KR"/>
        </w:rPr>
      </w:pPr>
      <w:r>
        <w:rPr>
          <w:rFonts w:hint="eastAsia"/>
          <w:lang w:val="en-NZ" w:eastAsia="ko-KR"/>
        </w:rPr>
        <w:t>None</w:t>
      </w:r>
    </w:p>
    <w:p w14:paraId="79BE09D3" w14:textId="77777777" w:rsidR="00C9059F" w:rsidRPr="00441526" w:rsidRDefault="00C9059F" w:rsidP="002A0111">
      <w:pPr>
        <w:rPr>
          <w:lang w:val="en-NZ"/>
        </w:rPr>
      </w:pPr>
    </w:p>
    <w:p w14:paraId="0A8BD21A" w14:textId="77777777" w:rsidR="002A0111" w:rsidRPr="00BC707E" w:rsidRDefault="002A0111" w:rsidP="002A0111">
      <w:pPr>
        <w:spacing w:after="120"/>
        <w:jc w:val="both"/>
        <w:rPr>
          <w:b/>
          <w:lang w:val="en-NZ" w:eastAsia="ko-KR"/>
        </w:rPr>
      </w:pPr>
      <w:r w:rsidRPr="00BC707E">
        <w:rPr>
          <w:b/>
          <w:lang w:val="en-NZ" w:eastAsia="ko-KR"/>
        </w:rPr>
        <w:t xml:space="preserve">6. </w:t>
      </w:r>
      <w:r w:rsidRPr="00BC707E">
        <w:rPr>
          <w:b/>
          <w:lang w:val="en-NZ" w:eastAsia="ko-KR"/>
        </w:rPr>
        <w:tab/>
        <w:t>Issues for Consideration at Next APG Meeting</w:t>
      </w:r>
    </w:p>
    <w:p w14:paraId="3107D908" w14:textId="77777777" w:rsidR="00C9059F" w:rsidRDefault="00C9059F" w:rsidP="00AB79F8">
      <w:pPr>
        <w:jc w:val="both"/>
        <w:rPr>
          <w:lang w:val="en-NZ" w:eastAsia="ko-KR"/>
        </w:rPr>
      </w:pPr>
      <w:r>
        <w:rPr>
          <w:rFonts w:hint="eastAsia"/>
          <w:lang w:val="en-NZ" w:eastAsia="ko-KR"/>
        </w:rPr>
        <w:t>None</w:t>
      </w:r>
    </w:p>
    <w:p w14:paraId="35535A9B" w14:textId="77777777" w:rsidR="002A0111" w:rsidRPr="00441526" w:rsidRDefault="002A0111" w:rsidP="003D3D47">
      <w:pPr>
        <w:jc w:val="both"/>
        <w:rPr>
          <w:lang w:val="en-NZ"/>
        </w:rPr>
      </w:pPr>
    </w:p>
    <w:p w14:paraId="5CA278A9" w14:textId="27CFC72A" w:rsidR="002A0111" w:rsidRPr="006F518F" w:rsidRDefault="002A0111" w:rsidP="00AB79F8">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(as provided in the information documents</w:t>
      </w:r>
      <w:r w:rsidR="00AB79F8">
        <w:rPr>
          <w:lang w:val="en-NZ"/>
        </w:rPr>
        <w:t>)</w:t>
      </w:r>
    </w:p>
    <w:p w14:paraId="5BE0DCE7"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5C8774EA" w14:textId="77777777" w:rsidR="002A0111" w:rsidRPr="00441526" w:rsidRDefault="005206E9" w:rsidP="002A0111">
      <w:pPr>
        <w:spacing w:after="120"/>
        <w:jc w:val="both"/>
        <w:rPr>
          <w:b/>
          <w:lang w:val="en-NZ" w:eastAsia="ko-KR"/>
        </w:rPr>
      </w:pPr>
      <w:r>
        <w:rPr>
          <w:b/>
          <w:lang w:val="en-NZ" w:eastAsia="ko-KR"/>
        </w:rPr>
        <w:lastRenderedPageBreak/>
        <w:t>7</w:t>
      </w:r>
      <w:r w:rsidR="002A0111" w:rsidRPr="00441526">
        <w:rPr>
          <w:b/>
          <w:lang w:val="en-NZ" w:eastAsia="ko-KR"/>
        </w:rPr>
        <w:t xml:space="preserve">.1.1 </w:t>
      </w:r>
      <w:r w:rsidR="002A0111" w:rsidRPr="00441526">
        <w:rPr>
          <w:b/>
          <w:lang w:val="en-NZ" w:eastAsia="ko-KR"/>
        </w:rPr>
        <w:tab/>
        <w:t>ASMG</w:t>
      </w:r>
      <w:r w:rsidR="002A0111" w:rsidRPr="00441526">
        <w:t xml:space="preserve"> - </w:t>
      </w:r>
      <w:r w:rsidR="002A0111" w:rsidRPr="00441526">
        <w:rPr>
          <w:b/>
          <w:lang w:val="en-NZ" w:eastAsia="ko-KR"/>
        </w:rPr>
        <w:t>Document APG</w:t>
      </w:r>
      <w:r w:rsidR="006B09DB">
        <w:rPr>
          <w:b/>
          <w:lang w:val="en-NZ" w:eastAsia="ko-KR"/>
        </w:rPr>
        <w:t>23-2</w:t>
      </w:r>
      <w:r w:rsidR="002A0111" w:rsidRPr="00441526">
        <w:rPr>
          <w:b/>
          <w:lang w:val="en-NZ" w:eastAsia="ko-KR"/>
        </w:rPr>
        <w:t>/INF-</w:t>
      </w:r>
      <w:r w:rsidR="008B424B">
        <w:rPr>
          <w:b/>
          <w:lang w:val="en-NZ" w:eastAsia="ko-KR"/>
        </w:rPr>
        <w:t>25</w:t>
      </w:r>
    </w:p>
    <w:p w14:paraId="539D1D88" w14:textId="77777777" w:rsidR="002A0111" w:rsidRPr="008B424B" w:rsidRDefault="008B424B" w:rsidP="00AB79F8">
      <w:pPr>
        <w:jc w:val="both"/>
        <w:rPr>
          <w:lang w:val="en-NZ"/>
        </w:rPr>
      </w:pPr>
      <w:r w:rsidRPr="008B424B">
        <w:rPr>
          <w:lang w:val="en-NZ"/>
        </w:rPr>
        <w:t xml:space="preserve">Inviting ASMG administrations to contribute to the study of technical and operational measures to ensure the protection of the radionavigation-satellite service (space-to-Earth) from the amateur and amateur-satellite services in the frequency band 1 240 - 1 300 </w:t>
      </w:r>
      <w:proofErr w:type="spellStart"/>
      <w:r w:rsidRPr="008B424B">
        <w:rPr>
          <w:lang w:val="en-NZ"/>
        </w:rPr>
        <w:t>MHz.</w:t>
      </w:r>
      <w:proofErr w:type="spellEnd"/>
    </w:p>
    <w:p w14:paraId="4D82D328" w14:textId="77777777" w:rsidR="002A0111" w:rsidRPr="00441526" w:rsidRDefault="002A0111" w:rsidP="002A0111">
      <w:pPr>
        <w:rPr>
          <w:lang w:val="en-NZ"/>
        </w:rPr>
      </w:pPr>
    </w:p>
    <w:p w14:paraId="2EEB7CD3"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.1.2 </w:t>
      </w:r>
      <w:r w:rsidR="002A0111" w:rsidRPr="00441526">
        <w:rPr>
          <w:b/>
          <w:lang w:val="en-NZ" w:eastAsia="ko-KR"/>
        </w:rPr>
        <w:tab/>
        <w:t xml:space="preserve">ATU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A653A9">
        <w:rPr>
          <w:b/>
          <w:lang w:val="en-NZ" w:eastAsia="ko-KR"/>
        </w:rPr>
        <w:t>26</w:t>
      </w:r>
    </w:p>
    <w:p w14:paraId="1B207595" w14:textId="77777777" w:rsidR="002A0111" w:rsidRPr="00AB79F8" w:rsidRDefault="002A0111" w:rsidP="00AB79F8">
      <w:pPr>
        <w:rPr>
          <w:iCs/>
          <w:lang w:val="en-NZ"/>
        </w:rPr>
      </w:pPr>
      <w:r w:rsidRPr="00AB79F8">
        <w:rPr>
          <w:iCs/>
          <w:lang w:val="en-NZ"/>
        </w:rPr>
        <w:t>ATU views</w:t>
      </w:r>
      <w:r w:rsidR="00A653A9" w:rsidRPr="00AB79F8">
        <w:rPr>
          <w:iCs/>
          <w:lang w:val="en-NZ"/>
        </w:rPr>
        <w:t xml:space="preserve"> has not yet been released with only organizational status and meeting schedules</w:t>
      </w:r>
      <w:r w:rsidRPr="00AB79F8">
        <w:rPr>
          <w:iCs/>
          <w:lang w:val="en-NZ"/>
        </w:rPr>
        <w:t>.</w:t>
      </w:r>
    </w:p>
    <w:p w14:paraId="474BA12E" w14:textId="77777777" w:rsidR="00A25820" w:rsidRPr="00A653A9" w:rsidRDefault="00A25820" w:rsidP="00A25820">
      <w:pPr>
        <w:ind w:left="708"/>
        <w:rPr>
          <w:i/>
          <w:lang w:val="en-NZ"/>
        </w:rPr>
      </w:pPr>
    </w:p>
    <w:p w14:paraId="3B734990" w14:textId="77777777" w:rsidR="002A0111" w:rsidRPr="002F2CE3" w:rsidRDefault="005206E9" w:rsidP="002F2CE3">
      <w:pPr>
        <w:spacing w:after="120"/>
        <w:jc w:val="both"/>
        <w:rPr>
          <w:lang w:val="en-NZ"/>
        </w:rPr>
      </w:pPr>
      <w:r>
        <w:rPr>
          <w:b/>
          <w:lang w:val="en-NZ" w:eastAsia="ko-KR"/>
        </w:rPr>
        <w:t>7</w:t>
      </w:r>
      <w:r w:rsidR="002A0111" w:rsidRPr="00441526">
        <w:rPr>
          <w:b/>
          <w:lang w:val="en-NZ" w:eastAsia="ko-KR"/>
        </w:rPr>
        <w:t xml:space="preserve">.1.3 </w:t>
      </w:r>
      <w:r w:rsidR="002A0111" w:rsidRPr="00441526">
        <w:rPr>
          <w:b/>
          <w:lang w:val="en-NZ" w:eastAsia="ko-KR"/>
        </w:rPr>
        <w:tab/>
        <w:t xml:space="preserve">CEPT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5170FE">
        <w:rPr>
          <w:b/>
          <w:lang w:val="en-NZ" w:eastAsia="ko-KR"/>
        </w:rPr>
        <w:t>35</w:t>
      </w:r>
    </w:p>
    <w:p w14:paraId="50D9E9B6" w14:textId="77777777" w:rsidR="005170FE" w:rsidRPr="005170FE" w:rsidRDefault="005170FE" w:rsidP="005170FE">
      <w:pPr>
        <w:numPr>
          <w:ilvl w:val="0"/>
          <w:numId w:val="18"/>
        </w:numPr>
        <w:ind w:leftChars="145" w:left="708"/>
        <w:jc w:val="both"/>
        <w:rPr>
          <w:lang w:val="en-NZ"/>
        </w:rPr>
      </w:pPr>
      <w:r w:rsidRPr="005170FE">
        <w:rPr>
          <w:lang w:val="en-NZ"/>
        </w:rPr>
        <w:t>CEPT supports the protection of the RNSS.</w:t>
      </w:r>
    </w:p>
    <w:p w14:paraId="52E7C122" w14:textId="77777777" w:rsidR="002A0111" w:rsidRPr="005170FE" w:rsidRDefault="005170FE" w:rsidP="00F453D5">
      <w:pPr>
        <w:numPr>
          <w:ilvl w:val="0"/>
          <w:numId w:val="18"/>
        </w:numPr>
        <w:ind w:leftChars="145" w:left="708"/>
        <w:jc w:val="both"/>
        <w:rPr>
          <w:lang w:val="en-NZ"/>
        </w:rPr>
      </w:pPr>
      <w:r w:rsidRPr="005170FE">
        <w:rPr>
          <w:lang w:val="en-NZ"/>
        </w:rPr>
        <w:t>CEPT supports the development of a new ITU‐R Report or Recommendation to provide guidance towards the implementation of technical and operational measures for the use the frequency band 1 240‐1 300 MHz by the Amateur and Amateur‐satellite service in accordance with the RR in order to protect the RNSS.</w:t>
      </w:r>
    </w:p>
    <w:p w14:paraId="1FE92346" w14:textId="77777777" w:rsidR="005170FE" w:rsidRPr="00441526" w:rsidRDefault="005170FE" w:rsidP="002A0111">
      <w:pPr>
        <w:rPr>
          <w:lang w:val="en-NZ"/>
        </w:rPr>
      </w:pPr>
    </w:p>
    <w:p w14:paraId="4DFAF9D0" w14:textId="77777777" w:rsidR="002F2CE3" w:rsidRPr="00441526" w:rsidRDefault="005206E9" w:rsidP="002F2CE3">
      <w:pPr>
        <w:spacing w:after="120"/>
        <w:jc w:val="both"/>
        <w:rPr>
          <w:b/>
          <w:lang w:val="en-NZ" w:eastAsia="ko-KR"/>
        </w:rPr>
      </w:pPr>
      <w:r>
        <w:rPr>
          <w:b/>
          <w:lang w:val="en-NZ" w:eastAsia="ko-KR"/>
        </w:rPr>
        <w:t>7</w:t>
      </w:r>
      <w:r w:rsidR="002A0111" w:rsidRPr="00441526">
        <w:rPr>
          <w:b/>
          <w:lang w:val="en-NZ" w:eastAsia="ko-KR"/>
        </w:rPr>
        <w:t xml:space="preserve">.1.4 </w:t>
      </w:r>
      <w:r w:rsidR="002A0111" w:rsidRPr="00441526">
        <w:rPr>
          <w:b/>
          <w:lang w:val="en-NZ" w:eastAsia="ko-KR"/>
        </w:rPr>
        <w:tab/>
        <w:t xml:space="preserve">CITEL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2F2CE3">
        <w:rPr>
          <w:b/>
          <w:lang w:val="en-NZ" w:eastAsia="ko-KR"/>
        </w:rPr>
        <w:t>34</w:t>
      </w:r>
    </w:p>
    <w:p w14:paraId="304E820C" w14:textId="77777777" w:rsidR="002F2CE3" w:rsidRPr="002F2CE3" w:rsidRDefault="002F2CE3" w:rsidP="00AB79F8">
      <w:pPr>
        <w:spacing w:after="120"/>
        <w:jc w:val="both"/>
        <w:rPr>
          <w:lang w:val="en-NZ"/>
        </w:rPr>
      </w:pPr>
      <w:r w:rsidRPr="002F2CE3">
        <w:rPr>
          <w:lang w:val="en-NZ"/>
        </w:rPr>
        <w:t>One Administration is of the view that changes to the Radio Regulations are outside the scope of Agenda Item 9.1. For WRC-23 Agenda Item 9.1, Topic b), the United States supports studies to be carried out under Resolution 774 (WRC-19). The results of these studies should seek to identify possible technical and operational measures to ensure the protection of RNSS (space-to-Earth) receivers from the amateur and amateur</w:t>
      </w:r>
      <w:r w:rsidR="005F6FEE">
        <w:rPr>
          <w:lang w:val="en-NZ"/>
        </w:rPr>
        <w:t xml:space="preserve"> </w:t>
      </w:r>
      <w:r w:rsidRPr="002F2CE3">
        <w:rPr>
          <w:lang w:val="en-NZ"/>
        </w:rPr>
        <w:t>satellite services in the frequency band 1 240-1 300 MHz, without considering the removal of these amateur and amateur-satellite service.</w:t>
      </w:r>
    </w:p>
    <w:p w14:paraId="4EDFC5E6" w14:textId="77777777" w:rsidR="002F2CE3" w:rsidRPr="002F2CE3" w:rsidRDefault="002F2CE3" w:rsidP="00AB79F8">
      <w:pPr>
        <w:jc w:val="both"/>
        <w:rPr>
          <w:lang w:val="en-NZ"/>
        </w:rPr>
      </w:pPr>
      <w:r w:rsidRPr="002F2CE3">
        <w:rPr>
          <w:lang w:val="en-NZ"/>
        </w:rPr>
        <w:t>Another Administration supports studying the potential for interference to RNSS (space to-Earth) receivers from amateur and amateur-satellite services in the frequency band 1240 – 1300 MHz and, if warranted, providing possible technical and/or operational measures to prevent any future cases of such interference, without considering any regulatory measures under this topic.</w:t>
      </w:r>
    </w:p>
    <w:p w14:paraId="79B7E397" w14:textId="77777777" w:rsidR="002A0111" w:rsidRPr="002F2CE3" w:rsidRDefault="002A0111" w:rsidP="002F2CE3">
      <w:pPr>
        <w:spacing w:after="120"/>
        <w:jc w:val="both"/>
        <w:rPr>
          <w:b/>
          <w:lang w:val="en-NZ" w:eastAsia="ko-KR"/>
        </w:rPr>
      </w:pPr>
    </w:p>
    <w:p w14:paraId="1EA30C4C"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.1.5 </w:t>
      </w:r>
      <w:r w:rsidR="002A0111" w:rsidRPr="00441526">
        <w:rPr>
          <w:b/>
          <w:lang w:val="en-NZ" w:eastAsia="ko-KR"/>
        </w:rPr>
        <w:tab/>
        <w:t xml:space="preserve">RCC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A36703">
        <w:rPr>
          <w:b/>
          <w:lang w:val="en-NZ" w:eastAsia="ko-KR"/>
        </w:rPr>
        <w:t>/INF-36</w:t>
      </w:r>
    </w:p>
    <w:p w14:paraId="701B7D93" w14:textId="77777777" w:rsidR="002A0111" w:rsidRPr="00AB79F8" w:rsidRDefault="002A0111" w:rsidP="00AB79F8">
      <w:pPr>
        <w:rPr>
          <w:iCs/>
          <w:lang w:val="en-NZ"/>
        </w:rPr>
      </w:pPr>
      <w:r w:rsidRPr="00AB79F8">
        <w:rPr>
          <w:iCs/>
          <w:lang w:val="en-NZ"/>
        </w:rPr>
        <w:t xml:space="preserve">RCC </w:t>
      </w:r>
      <w:r w:rsidR="00A36703" w:rsidRPr="00AB79F8">
        <w:rPr>
          <w:iCs/>
          <w:lang w:val="en-NZ"/>
        </w:rPr>
        <w:t>views has not yet been released.</w:t>
      </w:r>
    </w:p>
    <w:p w14:paraId="69AD528E" w14:textId="77777777" w:rsidR="002A0111" w:rsidRPr="00441526" w:rsidRDefault="002A0111" w:rsidP="002A0111">
      <w:pPr>
        <w:rPr>
          <w:lang w:val="en-NZ"/>
        </w:rPr>
      </w:pPr>
    </w:p>
    <w:p w14:paraId="39450FFE" w14:textId="77777777" w:rsidR="002A0111" w:rsidRPr="00441526" w:rsidRDefault="002A0111" w:rsidP="002A0111">
      <w:pPr>
        <w:rPr>
          <w:lang w:val="en-NZ"/>
        </w:rPr>
      </w:pPr>
    </w:p>
    <w:p w14:paraId="29834729"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2C4DB91A"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.2.1 </w:t>
      </w:r>
      <w:r w:rsidR="002A0111" w:rsidRPr="00441526">
        <w:rPr>
          <w:b/>
          <w:lang w:val="en-NZ" w:eastAsia="ko-KR"/>
        </w:rPr>
        <w:tab/>
        <w:t xml:space="preserve">IARU </w:t>
      </w:r>
      <w:r w:rsidR="002A0111" w:rsidRPr="00441526">
        <w:t xml:space="preserve">- </w:t>
      </w:r>
      <w:r w:rsidR="002A0111" w:rsidRPr="00441526">
        <w:rPr>
          <w:b/>
          <w:lang w:val="en-NZ" w:eastAsia="ko-KR"/>
        </w:rPr>
        <w:t>Document APG</w:t>
      </w:r>
      <w:r w:rsidR="006B09DB">
        <w:rPr>
          <w:b/>
          <w:lang w:val="en-NZ" w:eastAsia="ko-KR"/>
        </w:rPr>
        <w:t>23</w:t>
      </w:r>
      <w:r w:rsidR="002A0111" w:rsidRPr="00441526">
        <w:rPr>
          <w:b/>
          <w:lang w:val="en-NZ" w:eastAsia="ko-KR"/>
        </w:rPr>
        <w:t>-</w:t>
      </w:r>
      <w:r w:rsidR="006B09DB">
        <w:rPr>
          <w:b/>
          <w:lang w:val="en-NZ" w:eastAsia="ko-KR"/>
        </w:rPr>
        <w:t>2</w:t>
      </w:r>
      <w:r w:rsidR="002A0111" w:rsidRPr="00441526">
        <w:rPr>
          <w:b/>
          <w:lang w:val="en-NZ" w:eastAsia="ko-KR"/>
        </w:rPr>
        <w:t>/INF-</w:t>
      </w:r>
      <w:r w:rsidR="00B26502">
        <w:rPr>
          <w:b/>
          <w:lang w:val="en-NZ" w:eastAsia="ko-KR"/>
        </w:rPr>
        <w:t>23</w:t>
      </w:r>
    </w:p>
    <w:p w14:paraId="3CC2DFAE" w14:textId="77777777" w:rsidR="00B26502" w:rsidRPr="008B424B" w:rsidRDefault="00B26502" w:rsidP="00AB79F8">
      <w:pPr>
        <w:jc w:val="both"/>
        <w:rPr>
          <w:lang w:val="en-NZ"/>
        </w:rPr>
      </w:pPr>
      <w:r w:rsidRPr="008B424B">
        <w:rPr>
          <w:lang w:val="en-NZ"/>
        </w:rPr>
        <w:t>During many years of operational experience, the secondary amateur and amateur satellite services have successfully co-existed with all the primary services in the range 1 240-1 300 MHz with very few issues. In cases where certain applications (in particular, wide bandwidth, high duty cycle applications) could increase the potential for interference, careful spectrum management and national licensing conditions have minimised any risk. Radio amateurs have successfully co-existed and innovated in this frequency range for many years and IARU believes that the regulatory status of the amateur and amateur satellite services in this range is already clear. Therefore, any additional regulatory, operational, or technical measures incorporated into the Radio Regulations are unnecessary. Any recommendations resulting from studies under Resolution 774 can be applied on a national basis and should be based on realistic assumptions, proportionate in scope, and carefully justified so as not to unnecessarily inhibit development of the amateur services.</w:t>
      </w:r>
    </w:p>
    <w:p w14:paraId="129FC2D3" w14:textId="77777777" w:rsidR="002A0111" w:rsidRPr="00441526" w:rsidRDefault="002A0111" w:rsidP="002A0111">
      <w:pPr>
        <w:rPr>
          <w:b/>
          <w:lang w:val="en-NZ"/>
        </w:rPr>
      </w:pPr>
    </w:p>
    <w:p w14:paraId="1601D951" w14:textId="77777777" w:rsidR="002A0111" w:rsidRPr="00710333" w:rsidRDefault="002A0111" w:rsidP="002A0111">
      <w:pPr>
        <w:jc w:val="center"/>
        <w:rPr>
          <w:snapToGrid w:val="0"/>
          <w:lang w:val="en-NZ"/>
        </w:rPr>
      </w:pPr>
      <w:r w:rsidRPr="00441526">
        <w:rPr>
          <w:lang w:val="en-NZ"/>
        </w:rPr>
        <w:t>____________</w:t>
      </w:r>
    </w:p>
    <w:sectPr w:rsidR="002A0111" w:rsidRPr="00710333" w:rsidSect="00C516C7">
      <w:headerReference w:type="default" r:id="rId21"/>
      <w:footerReference w:type="even" r:id="rId22"/>
      <w:footerReference w:type="default" r:id="rId23"/>
      <w:headerReference w:type="first" r:id="rId24"/>
      <w:footerReference w:type="first" r:id="rId25"/>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ED96" w14:textId="77777777" w:rsidR="00246247" w:rsidRDefault="00246247">
      <w:r>
        <w:separator/>
      </w:r>
    </w:p>
  </w:endnote>
  <w:endnote w:type="continuationSeparator" w:id="0">
    <w:p w14:paraId="29065012" w14:textId="77777777" w:rsidR="00246247" w:rsidRDefault="0024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altName w:val="굴림체"/>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2246"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B769"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9815" w14:textId="0F04C524"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F23A1A">
      <w:rPr>
        <w:lang w:eastAsia="ko-KR"/>
      </w:rPr>
      <w:t>OUT</w:t>
    </w:r>
    <w:r>
      <w:rPr>
        <w:lang w:eastAsia="ko-KR"/>
      </w:rPr>
      <w:t>-</w:t>
    </w:r>
    <w:r w:rsidR="00186663">
      <w:rPr>
        <w:lang w:eastAsia="ko-KR"/>
      </w:rPr>
      <w:t>37</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1D14F5">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1D14F5">
      <w:rPr>
        <w:rStyle w:val="PageNumber"/>
        <w:noProof/>
      </w:rPr>
      <w:t>4</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1FD34EAB" w14:textId="77777777" w:rsidTr="00BB0EA4">
      <w:trPr>
        <w:trHeight w:val="432"/>
      </w:trPr>
      <w:tc>
        <w:tcPr>
          <w:tcW w:w="1296" w:type="dxa"/>
          <w:tcBorders>
            <w:top w:val="single" w:sz="8" w:space="0" w:color="auto"/>
            <w:bottom w:val="nil"/>
            <w:right w:val="nil"/>
          </w:tcBorders>
        </w:tcPr>
        <w:p w14:paraId="253EAEBF"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70C28E54" w14:textId="29D76405" w:rsidR="0092727B" w:rsidRDefault="00F23A1A" w:rsidP="0092727B">
          <w:pPr>
            <w:pStyle w:val="Footer"/>
            <w:tabs>
              <w:tab w:val="clear" w:pos="4320"/>
              <w:tab w:val="clear" w:pos="8640"/>
            </w:tabs>
          </w:pPr>
          <w:r>
            <w:t>Mohammad Taghi Shafiee</w:t>
          </w:r>
        </w:p>
        <w:p w14:paraId="72DB2E83" w14:textId="59DD80AA" w:rsidR="002A0111" w:rsidRPr="002A0111" w:rsidRDefault="002A0111" w:rsidP="00A330E7">
          <w:pPr>
            <w:pStyle w:val="Footer"/>
            <w:tabs>
              <w:tab w:val="clear" w:pos="4320"/>
              <w:tab w:val="clear" w:pos="8640"/>
            </w:tabs>
          </w:pPr>
          <w:r>
            <w:t>Chairman, WP</w:t>
          </w:r>
          <w:r w:rsidR="00A330E7">
            <w:t>5</w:t>
          </w:r>
        </w:p>
      </w:tc>
      <w:tc>
        <w:tcPr>
          <w:tcW w:w="2880" w:type="dxa"/>
          <w:tcBorders>
            <w:top w:val="single" w:sz="8" w:space="0" w:color="auto"/>
            <w:left w:val="nil"/>
            <w:bottom w:val="nil"/>
          </w:tcBorders>
        </w:tcPr>
        <w:p w14:paraId="5D945D7C" w14:textId="56DEB327" w:rsidR="0092727B" w:rsidRPr="0092727B" w:rsidRDefault="0092727B" w:rsidP="0092727B">
          <w:pPr>
            <w:pStyle w:val="Footer"/>
            <w:tabs>
              <w:tab w:val="clear" w:pos="4320"/>
              <w:tab w:val="clear" w:pos="8640"/>
            </w:tabs>
          </w:pPr>
          <w:r>
            <w:t>E-mail:</w:t>
          </w:r>
          <w:r w:rsidR="00F23A1A">
            <w:rPr>
              <w:lang w:eastAsia="ko-KR"/>
            </w:rPr>
            <w:t xml:space="preserve"> </w:t>
          </w:r>
          <w:hyperlink r:id="rId1" w:history="1">
            <w:r w:rsidR="00F23A1A" w:rsidRPr="00673E9F">
              <w:rPr>
                <w:rStyle w:val="Hyperlink"/>
                <w:lang w:eastAsia="ko-KR"/>
              </w:rPr>
              <w:t>shafiee</w:t>
            </w:r>
            <w:r w:rsidR="00F23A1A" w:rsidRPr="00673E9F">
              <w:rPr>
                <w:rStyle w:val="Hyperlink"/>
                <w:rFonts w:hint="eastAsia"/>
                <w:lang w:eastAsia="ko-KR"/>
              </w:rPr>
              <w:t>@</w:t>
            </w:r>
            <w:r w:rsidR="00F23A1A" w:rsidRPr="00673E9F">
              <w:rPr>
                <w:rStyle w:val="Hyperlink"/>
                <w:lang w:eastAsia="ko-KR"/>
              </w:rPr>
              <w:t>cra.ir</w:t>
            </w:r>
          </w:hyperlink>
          <w:r w:rsidR="00F23A1A">
            <w:t xml:space="preserve"> </w:t>
          </w:r>
        </w:p>
      </w:tc>
    </w:tr>
  </w:tbl>
  <w:p w14:paraId="087DA9D3"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36D0" w14:textId="77777777" w:rsidR="00246247" w:rsidRDefault="00246247">
      <w:r>
        <w:separator/>
      </w:r>
    </w:p>
  </w:footnote>
  <w:footnote w:type="continuationSeparator" w:id="0">
    <w:p w14:paraId="03E333C1" w14:textId="77777777" w:rsidR="00246247" w:rsidRDefault="0024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F5A2" w14:textId="77777777" w:rsidR="0097693B" w:rsidRDefault="0097693B" w:rsidP="0092727B">
    <w:pPr>
      <w:pStyle w:val="Header"/>
      <w:tabs>
        <w:tab w:val="clear" w:pos="4320"/>
        <w:tab w:val="clear" w:pos="8640"/>
      </w:tabs>
      <w:rPr>
        <w:lang w:eastAsia="ko-KR"/>
      </w:rPr>
    </w:pPr>
  </w:p>
  <w:p w14:paraId="50E80E35"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73C"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0AF1BF3"/>
    <w:multiLevelType w:val="multilevel"/>
    <w:tmpl w:val="C8D4F338"/>
    <w:lvl w:ilvl="0">
      <w:start w:val="1"/>
      <w:numFmt w:val="bullet"/>
      <w:lvlText w:val=""/>
      <w:lvlJc w:val="left"/>
      <w:pPr>
        <w:tabs>
          <w:tab w:val="num" w:pos="1074"/>
        </w:tabs>
        <w:ind w:left="1074" w:hanging="360"/>
      </w:pPr>
      <w:rPr>
        <w:rFonts w:ascii="Symbol" w:hAnsi="Symbol" w:hint="default"/>
        <w:sz w:val="20"/>
      </w:rPr>
    </w:lvl>
    <w:lvl w:ilvl="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2497039"/>
    <w:multiLevelType w:val="hybridMultilevel"/>
    <w:tmpl w:val="B1D84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4F275DE5"/>
    <w:multiLevelType w:val="hybridMultilevel"/>
    <w:tmpl w:val="75F2685A"/>
    <w:lvl w:ilvl="0" w:tplc="2AD81D42">
      <w:start w:val="1"/>
      <w:numFmt w:val="bullet"/>
      <w:lvlText w:val=""/>
      <w:lvlJc w:val="left"/>
      <w:pPr>
        <w:ind w:left="720" w:hanging="360"/>
      </w:pPr>
      <w:rPr>
        <w:rFonts w:ascii="Wingdings" w:hAnsi="Wingdings" w:hint="default"/>
        <w:lang w:val="en-N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500E4"/>
    <w:multiLevelType w:val="hybridMultilevel"/>
    <w:tmpl w:val="9970F5A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1"/>
  </w:num>
  <w:num w:numId="2">
    <w:abstractNumId w:val="7"/>
  </w:num>
  <w:num w:numId="3">
    <w:abstractNumId w:val="5"/>
  </w:num>
  <w:num w:numId="4">
    <w:abstractNumId w:val="19"/>
  </w:num>
  <w:num w:numId="5">
    <w:abstractNumId w:val="10"/>
  </w:num>
  <w:num w:numId="6">
    <w:abstractNumId w:val="12"/>
  </w:num>
  <w:num w:numId="7">
    <w:abstractNumId w:val="2"/>
  </w:num>
  <w:num w:numId="8">
    <w:abstractNumId w:val="1"/>
  </w:num>
  <w:num w:numId="9">
    <w:abstractNumId w:val="22"/>
  </w:num>
  <w:num w:numId="10">
    <w:abstractNumId w:val="18"/>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3"/>
  </w:num>
  <w:num w:numId="17">
    <w:abstractNumId w:val="17"/>
  </w:num>
  <w:num w:numId="18">
    <w:abstractNumId w:val="13"/>
  </w:num>
  <w:num w:numId="19">
    <w:abstractNumId w:val="21"/>
  </w:num>
  <w:num w:numId="20">
    <w:abstractNumId w:val="9"/>
  </w:num>
  <w:num w:numId="21">
    <w:abstractNumId w:val="20"/>
  </w:num>
  <w:num w:numId="22">
    <w:abstractNumId w:val="24"/>
  </w:num>
  <w:num w:numId="23">
    <w:abstractNumId w:val="4"/>
  </w:num>
  <w:num w:numId="24">
    <w:abstractNumId w:val="6"/>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17581"/>
    <w:rsid w:val="00024C3A"/>
    <w:rsid w:val="0003595B"/>
    <w:rsid w:val="00036517"/>
    <w:rsid w:val="00036CC9"/>
    <w:rsid w:val="00040149"/>
    <w:rsid w:val="00070642"/>
    <w:rsid w:val="000713CF"/>
    <w:rsid w:val="00075C14"/>
    <w:rsid w:val="000822B5"/>
    <w:rsid w:val="00094B87"/>
    <w:rsid w:val="000A012B"/>
    <w:rsid w:val="000A2A2B"/>
    <w:rsid w:val="000A5418"/>
    <w:rsid w:val="000D47FB"/>
    <w:rsid w:val="000F345F"/>
    <w:rsid w:val="000F517C"/>
    <w:rsid w:val="000F5540"/>
    <w:rsid w:val="00105F1A"/>
    <w:rsid w:val="00125FBD"/>
    <w:rsid w:val="001409B2"/>
    <w:rsid w:val="00152636"/>
    <w:rsid w:val="001539DD"/>
    <w:rsid w:val="00155D0E"/>
    <w:rsid w:val="00156782"/>
    <w:rsid w:val="00165F01"/>
    <w:rsid w:val="001731F4"/>
    <w:rsid w:val="00186663"/>
    <w:rsid w:val="001916F2"/>
    <w:rsid w:val="001930A7"/>
    <w:rsid w:val="00196568"/>
    <w:rsid w:val="00197C18"/>
    <w:rsid w:val="001A2F16"/>
    <w:rsid w:val="001A43C6"/>
    <w:rsid w:val="001B1804"/>
    <w:rsid w:val="001B18C2"/>
    <w:rsid w:val="001C443F"/>
    <w:rsid w:val="001C61A5"/>
    <w:rsid w:val="001C6707"/>
    <w:rsid w:val="001D0C55"/>
    <w:rsid w:val="001D14F5"/>
    <w:rsid w:val="001D1D9A"/>
    <w:rsid w:val="001D27BA"/>
    <w:rsid w:val="001D5D7E"/>
    <w:rsid w:val="001E1171"/>
    <w:rsid w:val="001F5947"/>
    <w:rsid w:val="0020110F"/>
    <w:rsid w:val="00202410"/>
    <w:rsid w:val="00214A0C"/>
    <w:rsid w:val="0021588B"/>
    <w:rsid w:val="002161B6"/>
    <w:rsid w:val="002216AC"/>
    <w:rsid w:val="0023212E"/>
    <w:rsid w:val="00237650"/>
    <w:rsid w:val="00246247"/>
    <w:rsid w:val="002475E2"/>
    <w:rsid w:val="002506D2"/>
    <w:rsid w:val="00250DE2"/>
    <w:rsid w:val="00254A1B"/>
    <w:rsid w:val="0026064A"/>
    <w:rsid w:val="00264566"/>
    <w:rsid w:val="0028454D"/>
    <w:rsid w:val="00291C9E"/>
    <w:rsid w:val="002926D4"/>
    <w:rsid w:val="0029734E"/>
    <w:rsid w:val="002A0111"/>
    <w:rsid w:val="002A3CF5"/>
    <w:rsid w:val="002B06A3"/>
    <w:rsid w:val="002B435C"/>
    <w:rsid w:val="002B447F"/>
    <w:rsid w:val="002C07DA"/>
    <w:rsid w:val="002C2A49"/>
    <w:rsid w:val="002C7EA9"/>
    <w:rsid w:val="002F2CE3"/>
    <w:rsid w:val="002F575D"/>
    <w:rsid w:val="003113D7"/>
    <w:rsid w:val="00311E8A"/>
    <w:rsid w:val="00316F49"/>
    <w:rsid w:val="00325E23"/>
    <w:rsid w:val="00342F20"/>
    <w:rsid w:val="003565BD"/>
    <w:rsid w:val="00360377"/>
    <w:rsid w:val="00364591"/>
    <w:rsid w:val="00366548"/>
    <w:rsid w:val="0038005B"/>
    <w:rsid w:val="003809C7"/>
    <w:rsid w:val="00380CD1"/>
    <w:rsid w:val="0038236C"/>
    <w:rsid w:val="0039180D"/>
    <w:rsid w:val="00393DCD"/>
    <w:rsid w:val="00395B40"/>
    <w:rsid w:val="003A2006"/>
    <w:rsid w:val="003A6568"/>
    <w:rsid w:val="003B4FD1"/>
    <w:rsid w:val="003B6263"/>
    <w:rsid w:val="003C29E6"/>
    <w:rsid w:val="003C2E9C"/>
    <w:rsid w:val="003C64A7"/>
    <w:rsid w:val="003D1128"/>
    <w:rsid w:val="003D1671"/>
    <w:rsid w:val="003D3D47"/>
    <w:rsid w:val="003D3FDA"/>
    <w:rsid w:val="003D6D00"/>
    <w:rsid w:val="003E166F"/>
    <w:rsid w:val="003F307E"/>
    <w:rsid w:val="004001E5"/>
    <w:rsid w:val="0041313C"/>
    <w:rsid w:val="00420822"/>
    <w:rsid w:val="00420C74"/>
    <w:rsid w:val="00441526"/>
    <w:rsid w:val="004465AA"/>
    <w:rsid w:val="00446A5E"/>
    <w:rsid w:val="0045458F"/>
    <w:rsid w:val="004563F0"/>
    <w:rsid w:val="004633B4"/>
    <w:rsid w:val="00470F7E"/>
    <w:rsid w:val="004828C4"/>
    <w:rsid w:val="00495CED"/>
    <w:rsid w:val="004A2F96"/>
    <w:rsid w:val="004A4BDF"/>
    <w:rsid w:val="004B3553"/>
    <w:rsid w:val="004B3F4B"/>
    <w:rsid w:val="004E1FCA"/>
    <w:rsid w:val="004E47D6"/>
    <w:rsid w:val="004F4949"/>
    <w:rsid w:val="00503189"/>
    <w:rsid w:val="005118A9"/>
    <w:rsid w:val="0051572D"/>
    <w:rsid w:val="00516BD1"/>
    <w:rsid w:val="005170FE"/>
    <w:rsid w:val="005206E9"/>
    <w:rsid w:val="00526D01"/>
    <w:rsid w:val="00530E8C"/>
    <w:rsid w:val="00535D34"/>
    <w:rsid w:val="00545933"/>
    <w:rsid w:val="00552105"/>
    <w:rsid w:val="005562F2"/>
    <w:rsid w:val="00557544"/>
    <w:rsid w:val="00565BBB"/>
    <w:rsid w:val="0057096D"/>
    <w:rsid w:val="00571B26"/>
    <w:rsid w:val="00585F3C"/>
    <w:rsid w:val="00586CA0"/>
    <w:rsid w:val="00587875"/>
    <w:rsid w:val="005A63EB"/>
    <w:rsid w:val="005B0876"/>
    <w:rsid w:val="005C1BFD"/>
    <w:rsid w:val="005C33B6"/>
    <w:rsid w:val="005D6202"/>
    <w:rsid w:val="005D6E98"/>
    <w:rsid w:val="005E1CF1"/>
    <w:rsid w:val="005F6FEE"/>
    <w:rsid w:val="00600223"/>
    <w:rsid w:val="00605F76"/>
    <w:rsid w:val="00607E2B"/>
    <w:rsid w:val="00612348"/>
    <w:rsid w:val="006139D6"/>
    <w:rsid w:val="00616D1B"/>
    <w:rsid w:val="00623CE1"/>
    <w:rsid w:val="00627880"/>
    <w:rsid w:val="0063062B"/>
    <w:rsid w:val="00634A82"/>
    <w:rsid w:val="00637351"/>
    <w:rsid w:val="00646166"/>
    <w:rsid w:val="00646345"/>
    <w:rsid w:val="00652BDD"/>
    <w:rsid w:val="00654896"/>
    <w:rsid w:val="006621F0"/>
    <w:rsid w:val="006647BA"/>
    <w:rsid w:val="00667229"/>
    <w:rsid w:val="00682BE5"/>
    <w:rsid w:val="00683846"/>
    <w:rsid w:val="00690FED"/>
    <w:rsid w:val="006939A5"/>
    <w:rsid w:val="006A0703"/>
    <w:rsid w:val="006B09DB"/>
    <w:rsid w:val="006D5223"/>
    <w:rsid w:val="006D5970"/>
    <w:rsid w:val="006E12FC"/>
    <w:rsid w:val="006E60C7"/>
    <w:rsid w:val="006F0F24"/>
    <w:rsid w:val="006F2B2E"/>
    <w:rsid w:val="006F6A5C"/>
    <w:rsid w:val="00703F6F"/>
    <w:rsid w:val="007052B3"/>
    <w:rsid w:val="00705962"/>
    <w:rsid w:val="00707C21"/>
    <w:rsid w:val="00712451"/>
    <w:rsid w:val="00717DE9"/>
    <w:rsid w:val="0072518B"/>
    <w:rsid w:val="00731041"/>
    <w:rsid w:val="007329E4"/>
    <w:rsid w:val="00732F08"/>
    <w:rsid w:val="007342F0"/>
    <w:rsid w:val="0074190C"/>
    <w:rsid w:val="00743121"/>
    <w:rsid w:val="0075493D"/>
    <w:rsid w:val="00762576"/>
    <w:rsid w:val="007673CA"/>
    <w:rsid w:val="007702EC"/>
    <w:rsid w:val="00783C8D"/>
    <w:rsid w:val="00791060"/>
    <w:rsid w:val="007926EA"/>
    <w:rsid w:val="007B5626"/>
    <w:rsid w:val="007B6124"/>
    <w:rsid w:val="007D3C53"/>
    <w:rsid w:val="007E3A0F"/>
    <w:rsid w:val="007F0AE6"/>
    <w:rsid w:val="007F2628"/>
    <w:rsid w:val="007F2FBA"/>
    <w:rsid w:val="007F615C"/>
    <w:rsid w:val="00800C3A"/>
    <w:rsid w:val="0080570B"/>
    <w:rsid w:val="008148E1"/>
    <w:rsid w:val="00822B33"/>
    <w:rsid w:val="008319BF"/>
    <w:rsid w:val="008415F0"/>
    <w:rsid w:val="008433C2"/>
    <w:rsid w:val="00844457"/>
    <w:rsid w:val="008454C8"/>
    <w:rsid w:val="00851D78"/>
    <w:rsid w:val="0087122A"/>
    <w:rsid w:val="00876312"/>
    <w:rsid w:val="00876FEF"/>
    <w:rsid w:val="008A016F"/>
    <w:rsid w:val="008A1A0D"/>
    <w:rsid w:val="008A72E1"/>
    <w:rsid w:val="008A76ED"/>
    <w:rsid w:val="008B3C72"/>
    <w:rsid w:val="008B424B"/>
    <w:rsid w:val="008C5FED"/>
    <w:rsid w:val="008D0E09"/>
    <w:rsid w:val="008D77B6"/>
    <w:rsid w:val="00903007"/>
    <w:rsid w:val="00923816"/>
    <w:rsid w:val="0092727B"/>
    <w:rsid w:val="0093074B"/>
    <w:rsid w:val="00930E64"/>
    <w:rsid w:val="00943CF9"/>
    <w:rsid w:val="00956F8C"/>
    <w:rsid w:val="00961D57"/>
    <w:rsid w:val="00976716"/>
    <w:rsid w:val="0097693B"/>
    <w:rsid w:val="009778AB"/>
    <w:rsid w:val="00983D34"/>
    <w:rsid w:val="00993355"/>
    <w:rsid w:val="009963F7"/>
    <w:rsid w:val="009A11CB"/>
    <w:rsid w:val="009A4A6D"/>
    <w:rsid w:val="009B44DD"/>
    <w:rsid w:val="009B7E42"/>
    <w:rsid w:val="009C7235"/>
    <w:rsid w:val="009D46CE"/>
    <w:rsid w:val="009D4ADA"/>
    <w:rsid w:val="009D7A3F"/>
    <w:rsid w:val="009E13DD"/>
    <w:rsid w:val="009E78B2"/>
    <w:rsid w:val="009F2A58"/>
    <w:rsid w:val="009F547A"/>
    <w:rsid w:val="00A03675"/>
    <w:rsid w:val="00A03D78"/>
    <w:rsid w:val="00A0503B"/>
    <w:rsid w:val="00A059CD"/>
    <w:rsid w:val="00A13265"/>
    <w:rsid w:val="00A14900"/>
    <w:rsid w:val="00A2159F"/>
    <w:rsid w:val="00A23C16"/>
    <w:rsid w:val="00A25820"/>
    <w:rsid w:val="00A324FF"/>
    <w:rsid w:val="00A330E7"/>
    <w:rsid w:val="00A36703"/>
    <w:rsid w:val="00A529BC"/>
    <w:rsid w:val="00A5346C"/>
    <w:rsid w:val="00A53F51"/>
    <w:rsid w:val="00A562F0"/>
    <w:rsid w:val="00A564FB"/>
    <w:rsid w:val="00A57360"/>
    <w:rsid w:val="00A614C1"/>
    <w:rsid w:val="00A61EA6"/>
    <w:rsid w:val="00A62D83"/>
    <w:rsid w:val="00A653A9"/>
    <w:rsid w:val="00A657BF"/>
    <w:rsid w:val="00A71136"/>
    <w:rsid w:val="00A92578"/>
    <w:rsid w:val="00AA474C"/>
    <w:rsid w:val="00AB79F8"/>
    <w:rsid w:val="00AC35EF"/>
    <w:rsid w:val="00AC4D5B"/>
    <w:rsid w:val="00AD1DDB"/>
    <w:rsid w:val="00AD2697"/>
    <w:rsid w:val="00AD7E5F"/>
    <w:rsid w:val="00AE3066"/>
    <w:rsid w:val="00AF2D86"/>
    <w:rsid w:val="00AF3B0F"/>
    <w:rsid w:val="00AF68E4"/>
    <w:rsid w:val="00B00A87"/>
    <w:rsid w:val="00B01AA1"/>
    <w:rsid w:val="00B039CB"/>
    <w:rsid w:val="00B06025"/>
    <w:rsid w:val="00B26502"/>
    <w:rsid w:val="00B30C81"/>
    <w:rsid w:val="00B30DA1"/>
    <w:rsid w:val="00B4793B"/>
    <w:rsid w:val="00B56099"/>
    <w:rsid w:val="00B64A60"/>
    <w:rsid w:val="00B661AC"/>
    <w:rsid w:val="00B73C7B"/>
    <w:rsid w:val="00B7598A"/>
    <w:rsid w:val="00B8468D"/>
    <w:rsid w:val="00B937D7"/>
    <w:rsid w:val="00B96B67"/>
    <w:rsid w:val="00BA0D27"/>
    <w:rsid w:val="00BB0EA4"/>
    <w:rsid w:val="00BB4BAC"/>
    <w:rsid w:val="00BC57EF"/>
    <w:rsid w:val="00BC69DB"/>
    <w:rsid w:val="00BC707E"/>
    <w:rsid w:val="00BD546F"/>
    <w:rsid w:val="00BE6B6B"/>
    <w:rsid w:val="00BF25F9"/>
    <w:rsid w:val="00C00B04"/>
    <w:rsid w:val="00C13FD5"/>
    <w:rsid w:val="00C15633"/>
    <w:rsid w:val="00C15799"/>
    <w:rsid w:val="00C32E84"/>
    <w:rsid w:val="00C35415"/>
    <w:rsid w:val="00C357AD"/>
    <w:rsid w:val="00C516C7"/>
    <w:rsid w:val="00C51C5F"/>
    <w:rsid w:val="00C554CC"/>
    <w:rsid w:val="00C57113"/>
    <w:rsid w:val="00C6069C"/>
    <w:rsid w:val="00C70477"/>
    <w:rsid w:val="00C72AD4"/>
    <w:rsid w:val="00C74745"/>
    <w:rsid w:val="00C85119"/>
    <w:rsid w:val="00C904C9"/>
    <w:rsid w:val="00C9059F"/>
    <w:rsid w:val="00C94AE6"/>
    <w:rsid w:val="00C95C48"/>
    <w:rsid w:val="00CA41E7"/>
    <w:rsid w:val="00CB499D"/>
    <w:rsid w:val="00CD170C"/>
    <w:rsid w:val="00CD320B"/>
    <w:rsid w:val="00CD3F37"/>
    <w:rsid w:val="00CD5431"/>
    <w:rsid w:val="00CE4B93"/>
    <w:rsid w:val="00CF2491"/>
    <w:rsid w:val="00CF3963"/>
    <w:rsid w:val="00CF53A4"/>
    <w:rsid w:val="00D1252E"/>
    <w:rsid w:val="00D13D9D"/>
    <w:rsid w:val="00D14AFE"/>
    <w:rsid w:val="00D212FE"/>
    <w:rsid w:val="00D3391C"/>
    <w:rsid w:val="00D3717D"/>
    <w:rsid w:val="00D416A3"/>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B509D"/>
    <w:rsid w:val="00DC43A3"/>
    <w:rsid w:val="00DC4CF3"/>
    <w:rsid w:val="00DC5C01"/>
    <w:rsid w:val="00DD5BAA"/>
    <w:rsid w:val="00DD7C09"/>
    <w:rsid w:val="00DE4FEE"/>
    <w:rsid w:val="00DF0EB4"/>
    <w:rsid w:val="00DF111E"/>
    <w:rsid w:val="00E0124F"/>
    <w:rsid w:val="00E36A3B"/>
    <w:rsid w:val="00E5322F"/>
    <w:rsid w:val="00E5762A"/>
    <w:rsid w:val="00E674D3"/>
    <w:rsid w:val="00E70FD0"/>
    <w:rsid w:val="00E72B2C"/>
    <w:rsid w:val="00E7309D"/>
    <w:rsid w:val="00E77C4B"/>
    <w:rsid w:val="00E9301F"/>
    <w:rsid w:val="00E9690A"/>
    <w:rsid w:val="00E97DC7"/>
    <w:rsid w:val="00EA2699"/>
    <w:rsid w:val="00EE33D2"/>
    <w:rsid w:val="00F000EF"/>
    <w:rsid w:val="00F0058E"/>
    <w:rsid w:val="00F05EB4"/>
    <w:rsid w:val="00F23A1A"/>
    <w:rsid w:val="00F2504E"/>
    <w:rsid w:val="00F2585B"/>
    <w:rsid w:val="00F4053F"/>
    <w:rsid w:val="00F516E7"/>
    <w:rsid w:val="00F57BF7"/>
    <w:rsid w:val="00F6263E"/>
    <w:rsid w:val="00F627C2"/>
    <w:rsid w:val="00F672B5"/>
    <w:rsid w:val="00F736FD"/>
    <w:rsid w:val="00F84067"/>
    <w:rsid w:val="00FA50B4"/>
    <w:rsid w:val="00FB6E83"/>
    <w:rsid w:val="00FC156A"/>
    <w:rsid w:val="00FD0F7B"/>
    <w:rsid w:val="00FD6235"/>
    <w:rsid w:val="00FE13D1"/>
    <w:rsid w:val="00FE3DE5"/>
    <w:rsid w:val="00FF5A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AD9B8"/>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uiPriority w:val="39"/>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876312"/>
    <w:rPr>
      <w:rFonts w:eastAsia="BatangChe"/>
      <w:sz w:val="24"/>
      <w:szCs w:val="24"/>
    </w:rPr>
  </w:style>
  <w:style w:type="character" w:customStyle="1" w:styleId="TabletextChar">
    <w:name w:val="Table_text Char"/>
    <w:basedOn w:val="DefaultParagraphFont"/>
    <w:link w:val="Tabletext"/>
    <w:locked/>
    <w:rsid w:val="00A330E7"/>
    <w:rPr>
      <w:szCs w:val="22"/>
      <w:lang w:eastAsia="nl-NL"/>
    </w:rPr>
  </w:style>
  <w:style w:type="paragraph" w:customStyle="1" w:styleId="Tabletext">
    <w:name w:val="Table_text"/>
    <w:basedOn w:val="Normal"/>
    <w:link w:val="TabletextChar"/>
    <w:rsid w:val="00A330E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Batang"/>
      <w:sz w:val="20"/>
      <w:szCs w:val="22"/>
      <w:lang w:eastAsia="nl-NL"/>
    </w:rPr>
  </w:style>
  <w:style w:type="character" w:styleId="FollowedHyperlink">
    <w:name w:val="FollowedHyperlink"/>
    <w:basedOn w:val="DefaultParagraphFont"/>
    <w:semiHidden/>
    <w:unhideWhenUsed/>
    <w:rsid w:val="004563F0"/>
    <w:rPr>
      <w:color w:val="800080" w:themeColor="followedHyperlink"/>
      <w:u w:val="single"/>
    </w:rPr>
  </w:style>
  <w:style w:type="character" w:styleId="UnresolvedMention">
    <w:name w:val="Unresolved Mention"/>
    <w:basedOn w:val="DefaultParagraphFont"/>
    <w:uiPriority w:val="99"/>
    <w:semiHidden/>
    <w:unhideWhenUsed/>
    <w:rsid w:val="00F2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t.int/sites/default/files/2021/04/APG23-2-INP-34_WP5_kor.docx" TargetMode="External"/><Relationship Id="rId18" Type="http://schemas.openxmlformats.org/officeDocument/2006/relationships/hyperlink" Target="https://www.apt.int/sites/default/files/2021/04/APG23-2-INF-25_ASMG_Preparation_for_WRC-2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t.int/sites/default/files/2021/04/APG23-2-INP-28_AUS_contribution_for_WP5_Preliminary_Views_on_WRC-23_Agenda_Items_24_8_9.1Topic_b_and_10.docx" TargetMode="External"/><Relationship Id="rId17" Type="http://schemas.openxmlformats.org/officeDocument/2006/relationships/hyperlink" Target="https://www.apt.int/sites/default/files/2021/04/APG23-2-INF-24_Briefing_on_AI_9.1.b.doc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pt.int/sites/default/files/2021/03/APG23-2-INF-23_IARU_Views.docx" TargetMode="External"/><Relationship Id="rId20" Type="http://schemas.openxmlformats.org/officeDocument/2006/relationships/hyperlink" Target="https://www.apt.int/sites/default/files/2021/04/APG23-2-INF-35_Status_of_CEPT_Preparation_for_WRC-23_and_RA-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t.int/sites/default/files/2021/04/APG23-2-INP-14.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pt.int/sites/default/files/2021/04/APG23-2-INP-48_PRELIMINARY_VIEWS_ON_WRC-23_AGENDA_ITEM_9.1_TOPIC_B.docx" TargetMode="External"/><Relationship Id="rId23" Type="http://schemas.openxmlformats.org/officeDocument/2006/relationships/footer" Target="footer2.xml"/><Relationship Id="rId10" Type="http://schemas.openxmlformats.org/officeDocument/2006/relationships/hyperlink" Target="https://www.itu.int/md/R19-WP4C-C-0162/en" TargetMode="External"/><Relationship Id="rId19" Type="http://schemas.openxmlformats.org/officeDocument/2006/relationships/hyperlink" Target="https://www.apt.int/sites/default/files/2021/04/APG23-2-INF-34_CITEL_Preparation_for_WRC-23.pdf" TargetMode="External"/><Relationship Id="rId4" Type="http://schemas.openxmlformats.org/officeDocument/2006/relationships/settings" Target="settings.xml"/><Relationship Id="rId9" Type="http://schemas.openxmlformats.org/officeDocument/2006/relationships/hyperlink" Target="https://www.itu.int/md/R19-WP5A-C-0221/en" TargetMode="External"/><Relationship Id="rId14" Type="http://schemas.openxmlformats.org/officeDocument/2006/relationships/hyperlink" Target="https://www.apt.int/sites/default/files/2021/04/APG23-2-INP-43_Indonesia_WP5.doc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hafiee@cr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3D5DB-7DAB-48DE-8CE1-47C541B6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1309</Words>
  <Characters>7467</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15</cp:revision>
  <cp:lastPrinted>2015-02-02T07:28:00Z</cp:lastPrinted>
  <dcterms:created xsi:type="dcterms:W3CDTF">2021-04-22T03:44:00Z</dcterms:created>
  <dcterms:modified xsi:type="dcterms:W3CDTF">2021-04-22T17:31:00Z</dcterms:modified>
</cp:coreProperties>
</file>