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98101F" w:rsidRPr="00E97594" w14:paraId="10DD371B" w14:textId="77777777" w:rsidTr="00C900BC">
        <w:trPr>
          <w:cantSplit/>
          <w:trHeight w:val="288"/>
        </w:trPr>
        <w:tc>
          <w:tcPr>
            <w:tcW w:w="1440" w:type="dxa"/>
            <w:vMerge w:val="restart"/>
            <w:hideMark/>
          </w:tcPr>
          <w:p w14:paraId="1D49AAF4" w14:textId="77777777" w:rsidR="0098101F" w:rsidRPr="00E97594" w:rsidRDefault="0098101F" w:rsidP="0098101F">
            <w:pPr>
              <w:pStyle w:val="Note"/>
              <w:widowControl w:val="0"/>
              <w:tabs>
                <w:tab w:val="clear" w:pos="284"/>
                <w:tab w:val="clear" w:pos="1871"/>
                <w:tab w:val="clear" w:pos="2268"/>
              </w:tabs>
              <w:spacing w:before="0"/>
              <w:rPr>
                <w:noProof w:val="0"/>
                <w:kern w:val="2"/>
                <w:sz w:val="24"/>
                <w:szCs w:val="24"/>
              </w:rPr>
            </w:pPr>
            <w:r w:rsidRPr="00E97594">
              <w:rPr>
                <w:kern w:val="2"/>
                <w:sz w:val="24"/>
                <w:szCs w:val="24"/>
                <w:lang w:val="en-AU" w:eastAsia="en-AU"/>
              </w:rPr>
              <w:drawing>
                <wp:inline distT="0" distB="0" distL="0" distR="0" wp14:anchorId="7F5F151D" wp14:editId="7DB9E61A">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2E300B23" w14:textId="2161CA58" w:rsidR="0098101F" w:rsidRPr="00E97594" w:rsidRDefault="0098101F" w:rsidP="0098101F">
            <w:r w:rsidRPr="00E97594">
              <w:t>ASIA-PACIFIC TELECOMMUNITY</w:t>
            </w:r>
          </w:p>
        </w:tc>
        <w:tc>
          <w:tcPr>
            <w:tcW w:w="2448" w:type="dxa"/>
          </w:tcPr>
          <w:p w14:paraId="042815E9" w14:textId="6D9344DF" w:rsidR="0098101F" w:rsidRPr="00E97594" w:rsidRDefault="0098101F" w:rsidP="0098101F">
            <w:r w:rsidRPr="00E97594">
              <w:rPr>
                <w:b/>
                <w:lang w:val="fr-FR"/>
              </w:rPr>
              <w:t>Document No.:</w:t>
            </w:r>
          </w:p>
        </w:tc>
      </w:tr>
      <w:tr w:rsidR="0098101F" w:rsidRPr="00E97594" w14:paraId="7F804B85" w14:textId="77777777" w:rsidTr="00C900BC">
        <w:trPr>
          <w:cantSplit/>
          <w:trHeight w:val="576"/>
        </w:trPr>
        <w:tc>
          <w:tcPr>
            <w:tcW w:w="1440" w:type="dxa"/>
            <w:vMerge/>
            <w:vAlign w:val="center"/>
            <w:hideMark/>
          </w:tcPr>
          <w:p w14:paraId="1197C7C6" w14:textId="77777777" w:rsidR="0098101F" w:rsidRPr="00E97594" w:rsidRDefault="0098101F" w:rsidP="0098101F">
            <w:pPr>
              <w:rPr>
                <w:kern w:val="2"/>
                <w:lang w:eastAsia="ko-KR"/>
              </w:rPr>
            </w:pPr>
          </w:p>
        </w:tc>
        <w:tc>
          <w:tcPr>
            <w:tcW w:w="5328" w:type="dxa"/>
            <w:hideMark/>
          </w:tcPr>
          <w:p w14:paraId="06D7BCEB" w14:textId="597DB732" w:rsidR="0098101F" w:rsidRPr="00E97594" w:rsidRDefault="0098101F" w:rsidP="0098101F">
            <w:r w:rsidRPr="00E97594">
              <w:rPr>
                <w:b/>
              </w:rPr>
              <w:t xml:space="preserve">The </w:t>
            </w:r>
            <w:r>
              <w:rPr>
                <w:b/>
              </w:rPr>
              <w:t>3rd</w:t>
            </w:r>
            <w:r w:rsidRPr="00E97594">
              <w:rPr>
                <w:b/>
              </w:rPr>
              <w:t xml:space="preserve"> Meeting of the APT Preparatory Group</w:t>
            </w:r>
            <w:r>
              <w:rPr>
                <w:b/>
              </w:rPr>
              <w:br/>
            </w:r>
            <w:r w:rsidRPr="00E97594">
              <w:rPr>
                <w:b/>
              </w:rPr>
              <w:t>for WT</w:t>
            </w:r>
            <w:r>
              <w:rPr>
                <w:b/>
              </w:rPr>
              <w:t>DC</w:t>
            </w:r>
            <w:r w:rsidRPr="00E97594">
              <w:rPr>
                <w:b/>
              </w:rPr>
              <w:t>-2</w:t>
            </w:r>
            <w:r>
              <w:rPr>
                <w:b/>
              </w:rPr>
              <w:t>1</w:t>
            </w:r>
            <w:r w:rsidRPr="00E97594">
              <w:rPr>
                <w:b/>
              </w:rPr>
              <w:t xml:space="preserve"> (</w:t>
            </w:r>
            <w:r>
              <w:rPr>
                <w:b/>
              </w:rPr>
              <w:t xml:space="preserve">APT </w:t>
            </w:r>
            <w:r w:rsidRPr="00E97594">
              <w:rPr>
                <w:b/>
              </w:rPr>
              <w:t>WT</w:t>
            </w:r>
            <w:r>
              <w:rPr>
                <w:b/>
              </w:rPr>
              <w:t>DC</w:t>
            </w:r>
            <w:r w:rsidRPr="00E97594">
              <w:rPr>
                <w:b/>
              </w:rPr>
              <w:t>2</w:t>
            </w:r>
            <w:r>
              <w:rPr>
                <w:b/>
              </w:rPr>
              <w:t>1</w:t>
            </w:r>
            <w:r w:rsidRPr="00E97594">
              <w:rPr>
                <w:b/>
              </w:rPr>
              <w:t>-</w:t>
            </w:r>
            <w:r>
              <w:rPr>
                <w:b/>
              </w:rPr>
              <w:t>3</w:t>
            </w:r>
            <w:r w:rsidRPr="00E97594">
              <w:rPr>
                <w:b/>
              </w:rPr>
              <w:t>)</w:t>
            </w:r>
          </w:p>
        </w:tc>
        <w:tc>
          <w:tcPr>
            <w:tcW w:w="2448" w:type="dxa"/>
            <w:hideMark/>
          </w:tcPr>
          <w:p w14:paraId="15F9E063" w14:textId="77777777" w:rsidR="0098101F" w:rsidRDefault="0098101F" w:rsidP="0098101F">
            <w:pPr>
              <w:ind w:right="-63"/>
              <w:rPr>
                <w:b/>
                <w:bCs/>
                <w:lang w:val="en-GB"/>
              </w:rPr>
            </w:pPr>
            <w:r w:rsidRPr="0095411B">
              <w:rPr>
                <w:b/>
                <w:bCs/>
                <w:lang w:val="en-GB"/>
              </w:rPr>
              <w:t>APT WT</w:t>
            </w:r>
            <w:r>
              <w:rPr>
                <w:b/>
                <w:bCs/>
                <w:lang w:val="en-GB"/>
              </w:rPr>
              <w:t>DC21-3</w:t>
            </w:r>
            <w:r w:rsidRPr="0095411B">
              <w:rPr>
                <w:b/>
                <w:bCs/>
                <w:lang w:val="en-GB"/>
              </w:rPr>
              <w:t>/</w:t>
            </w:r>
          </w:p>
          <w:p w14:paraId="1D772983" w14:textId="7EF8BC72" w:rsidR="0098101F" w:rsidRPr="0095411B" w:rsidRDefault="00185B16" w:rsidP="00883FB3">
            <w:pPr>
              <w:ind w:right="-63"/>
              <w:rPr>
                <w:b/>
                <w:bCs/>
                <w:lang w:val="en-GB"/>
              </w:rPr>
            </w:pPr>
            <w:r>
              <w:rPr>
                <w:b/>
                <w:bCs/>
                <w:lang w:val="en-GB"/>
              </w:rPr>
              <w:t>OUT-10</w:t>
            </w:r>
          </w:p>
        </w:tc>
      </w:tr>
      <w:tr w:rsidR="0098101F" w:rsidRPr="00E97594" w14:paraId="28ADDC51" w14:textId="77777777" w:rsidTr="00C900BC">
        <w:trPr>
          <w:cantSplit/>
          <w:trHeight w:val="288"/>
        </w:trPr>
        <w:tc>
          <w:tcPr>
            <w:tcW w:w="1440" w:type="dxa"/>
            <w:vMerge/>
            <w:vAlign w:val="center"/>
            <w:hideMark/>
          </w:tcPr>
          <w:p w14:paraId="77DE31B6" w14:textId="77777777" w:rsidR="0098101F" w:rsidRPr="00E97594" w:rsidRDefault="0098101F" w:rsidP="0098101F">
            <w:pPr>
              <w:rPr>
                <w:kern w:val="2"/>
                <w:lang w:eastAsia="ko-KR"/>
              </w:rPr>
            </w:pPr>
          </w:p>
        </w:tc>
        <w:tc>
          <w:tcPr>
            <w:tcW w:w="5328" w:type="dxa"/>
            <w:hideMark/>
          </w:tcPr>
          <w:p w14:paraId="222611D3" w14:textId="34A65BF8" w:rsidR="0098101F" w:rsidRPr="00E97594" w:rsidRDefault="0098101F" w:rsidP="0098101F">
            <w:r>
              <w:t>5-8 October 2021, Virtual/Online Meeting</w:t>
            </w:r>
          </w:p>
        </w:tc>
        <w:tc>
          <w:tcPr>
            <w:tcW w:w="2448" w:type="dxa"/>
            <w:hideMark/>
          </w:tcPr>
          <w:p w14:paraId="29868520" w14:textId="040C2915" w:rsidR="0098101F" w:rsidRPr="0095411B" w:rsidRDefault="00CA6A2F" w:rsidP="00883FB3">
            <w:pPr>
              <w:rPr>
                <w:bCs/>
              </w:rPr>
            </w:pPr>
            <w:r>
              <w:rPr>
                <w:bCs/>
              </w:rPr>
              <w:t>0</w:t>
            </w:r>
            <w:r w:rsidR="00B45147">
              <w:rPr>
                <w:bCs/>
              </w:rPr>
              <w:t>8</w:t>
            </w:r>
            <w:r w:rsidR="0098101F">
              <w:rPr>
                <w:bCs/>
              </w:rPr>
              <w:t xml:space="preserve"> </w:t>
            </w:r>
            <w:r w:rsidR="00883FB3">
              <w:rPr>
                <w:bCs/>
              </w:rPr>
              <w:t>October</w:t>
            </w:r>
            <w:r w:rsidR="0098101F">
              <w:rPr>
                <w:bCs/>
              </w:rPr>
              <w:t xml:space="preserve"> </w:t>
            </w:r>
            <w:r w:rsidR="0098101F" w:rsidRPr="0095411B">
              <w:rPr>
                <w:bCs/>
              </w:rPr>
              <w:t>20</w:t>
            </w:r>
            <w:r w:rsidR="0098101F">
              <w:rPr>
                <w:bCs/>
              </w:rPr>
              <w:t>21</w:t>
            </w:r>
          </w:p>
        </w:tc>
      </w:tr>
    </w:tbl>
    <w:p w14:paraId="152B8F78" w14:textId="35FB5C85" w:rsidR="00382004" w:rsidRDefault="00382004" w:rsidP="00382004">
      <w:pPr>
        <w:jc w:val="center"/>
        <w:rPr>
          <w:lang w:eastAsia="ko-KR"/>
        </w:rPr>
      </w:pPr>
    </w:p>
    <w:p w14:paraId="1F109C0F" w14:textId="1DC9DAB5" w:rsidR="00883FB3" w:rsidRDefault="00883FB3" w:rsidP="00883FB3">
      <w:pPr>
        <w:pStyle w:val="Source"/>
        <w:spacing w:after="0" w:line="240" w:lineRule="auto"/>
      </w:pPr>
      <w:r>
        <w:t>Chair, WG</w:t>
      </w:r>
      <w:r w:rsidR="00445D3D">
        <w:t>2</w:t>
      </w:r>
    </w:p>
    <w:p w14:paraId="5B3FA72A" w14:textId="77777777" w:rsidR="00883FB3" w:rsidRDefault="00883FB3" w:rsidP="00883FB3">
      <w:pPr>
        <w:pStyle w:val="Source"/>
        <w:spacing w:after="0" w:line="240" w:lineRule="auto"/>
      </w:pPr>
    </w:p>
    <w:p w14:paraId="33FCED8B" w14:textId="397B3CEB" w:rsidR="00883FB3" w:rsidRPr="00655338" w:rsidRDefault="00883FB3" w:rsidP="00883FB3">
      <w:pPr>
        <w:pStyle w:val="Source"/>
        <w:spacing w:after="0" w:line="240" w:lineRule="auto"/>
        <w:rPr>
          <w:b/>
        </w:rPr>
      </w:pPr>
      <w:r w:rsidRPr="00655338">
        <w:rPr>
          <w:b/>
        </w:rPr>
        <w:t>APT VIEW</w:t>
      </w:r>
      <w:r>
        <w:rPr>
          <w:rStyle w:val="FootnoteReference"/>
          <w:b/>
        </w:rPr>
        <w:footnoteReference w:id="1"/>
      </w:r>
      <w:r w:rsidRPr="00655338">
        <w:rPr>
          <w:b/>
        </w:rPr>
        <w:t xml:space="preserve"> </w:t>
      </w:r>
    </w:p>
    <w:p w14:paraId="0931CDEF" w14:textId="77777777" w:rsidR="00883FB3" w:rsidRPr="00297F48" w:rsidRDefault="00883FB3" w:rsidP="00883FB3">
      <w:pPr>
        <w:pStyle w:val="Source"/>
        <w:spacing w:after="0" w:line="240" w:lineRule="auto"/>
      </w:pPr>
    </w:p>
    <w:p w14:paraId="56B5F488" w14:textId="3BF52A8B" w:rsidR="00883FB3" w:rsidRDefault="00883FB3" w:rsidP="00883FB3">
      <w:pPr>
        <w:pStyle w:val="DocuTitle"/>
        <w:spacing w:after="0" w:line="240" w:lineRule="auto"/>
        <w:contextualSpacing w:val="0"/>
      </w:pPr>
      <w:r>
        <w:t>Asia-Pacific Vision for the ITU Development Sector</w:t>
      </w:r>
    </w:p>
    <w:p w14:paraId="1D72F3C7" w14:textId="77777777" w:rsidR="00883FB3" w:rsidRPr="00064E43" w:rsidRDefault="00883FB3" w:rsidP="00883FB3">
      <w:pPr>
        <w:pStyle w:val="DocuTitle"/>
        <w:spacing w:after="0" w:line="240" w:lineRule="auto"/>
        <w:contextualSpacing w:val="0"/>
        <w:rPr>
          <w:b w:val="0"/>
          <w:bCs w:val="0"/>
        </w:rPr>
      </w:pPr>
    </w:p>
    <w:p w14:paraId="5DFEE21F" w14:textId="77777777" w:rsidR="00883FB3" w:rsidRPr="00064E43" w:rsidRDefault="00883FB3" w:rsidP="00883FB3">
      <w:pPr>
        <w:pStyle w:val="DocuTitle"/>
        <w:spacing w:after="0" w:line="240" w:lineRule="auto"/>
        <w:contextualSpacing w:val="0"/>
        <w:rPr>
          <w:b w:val="0"/>
          <w:bCs w:val="0"/>
        </w:rPr>
      </w:pPr>
    </w:p>
    <w:p w14:paraId="1635AE62" w14:textId="77777777" w:rsidR="00883FB3" w:rsidRDefault="00883FB3" w:rsidP="00883FB3">
      <w:pPr>
        <w:pStyle w:val="ListParagraph"/>
        <w:numPr>
          <w:ilvl w:val="0"/>
          <w:numId w:val="11"/>
        </w:numPr>
        <w:spacing w:before="240"/>
        <w:ind w:hanging="720"/>
        <w:contextualSpacing w:val="0"/>
        <w:rPr>
          <w:b/>
          <w:bCs/>
        </w:rPr>
      </w:pPr>
      <w:r w:rsidRPr="00064E43">
        <w:rPr>
          <w:b/>
          <w:bCs/>
        </w:rPr>
        <w:t>INTRODUCTION</w:t>
      </w:r>
    </w:p>
    <w:p w14:paraId="246FA764" w14:textId="113A6234" w:rsidR="00883FB3" w:rsidRPr="000004AB" w:rsidRDefault="00883FB3" w:rsidP="00883FB3">
      <w:pPr>
        <w:spacing w:before="240" w:after="120"/>
        <w:jc w:val="both"/>
      </w:pPr>
      <w:r w:rsidRPr="000004AB">
        <w:rPr>
          <w:bCs/>
        </w:rPr>
        <w:t xml:space="preserve">The </w:t>
      </w:r>
      <w:r>
        <w:rPr>
          <w:bCs/>
        </w:rPr>
        <w:t>3rd</w:t>
      </w:r>
      <w:r w:rsidRPr="000004AB">
        <w:rPr>
          <w:bCs/>
        </w:rPr>
        <w:t xml:space="preserve"> </w:t>
      </w:r>
      <w:r w:rsidRPr="000004AB">
        <w:t xml:space="preserve">Meeting of the APT Preparatory Group for WTDC-21 was held as a Virtual/Online Meeting from </w:t>
      </w:r>
      <w:r>
        <w:t>5</w:t>
      </w:r>
      <w:r w:rsidRPr="000004AB">
        <w:t xml:space="preserve"> to </w:t>
      </w:r>
      <w:r>
        <w:t>8</w:t>
      </w:r>
      <w:r w:rsidRPr="000004AB">
        <w:t xml:space="preserve"> </w:t>
      </w:r>
      <w:r>
        <w:t>October</w:t>
      </w:r>
      <w:r w:rsidRPr="000004AB">
        <w:t xml:space="preserve"> 2021. </w:t>
      </w:r>
    </w:p>
    <w:p w14:paraId="448FD7E9" w14:textId="77777777" w:rsidR="00445D3D" w:rsidRDefault="00883FB3" w:rsidP="00445D3D">
      <w:pPr>
        <w:spacing w:before="240" w:after="120"/>
        <w:jc w:val="both"/>
        <w:rPr>
          <w:bCs/>
        </w:rPr>
      </w:pPr>
      <w:r w:rsidRPr="00883FB3">
        <w:rPr>
          <w:bCs/>
        </w:rPr>
        <w:t xml:space="preserve">The meeting considered a draft contribution outlining high-level views for an Asia-Pacific vision for the ITU Development Sector (ITU-D). This vision outlines APT expectations regarding the role of the ITU-D and highlights priorities for the ITU-D’s focus, taking into account the ongoing and agreed Telecommunication Development Bureau (BDT) reforms being driven under the Fit4purpose governance and reform agenda. </w:t>
      </w:r>
    </w:p>
    <w:p w14:paraId="5E5E4AF4" w14:textId="5BB64211" w:rsidR="00883FB3" w:rsidRDefault="00445D3D" w:rsidP="00445D3D">
      <w:pPr>
        <w:spacing w:before="240" w:after="120"/>
        <w:jc w:val="both"/>
      </w:pPr>
      <w:r>
        <w:t>Following discussions of the contribution, t</w:t>
      </w:r>
      <w:r w:rsidRPr="000004AB">
        <w:t xml:space="preserve">he meeting </w:t>
      </w:r>
      <w:r>
        <w:t>agreed</w:t>
      </w:r>
      <w:r w:rsidRPr="000004AB">
        <w:t xml:space="preserve"> </w:t>
      </w:r>
      <w:r w:rsidR="00F90959">
        <w:t>four</w:t>
      </w:r>
      <w:r w:rsidRPr="000004AB">
        <w:t xml:space="preserve"> (</w:t>
      </w:r>
      <w:r w:rsidR="00F90959">
        <w:t>4</w:t>
      </w:r>
      <w:r w:rsidRPr="000004AB">
        <w:t xml:space="preserve">) </w:t>
      </w:r>
      <w:r>
        <w:t>priorities for the ITU</w:t>
      </w:r>
      <w:r>
        <w:noBreakHyphen/>
        <w:t>D’s focus as part of the</w:t>
      </w:r>
      <w:r w:rsidR="00883FB3" w:rsidRPr="00883FB3">
        <w:rPr>
          <w:bCs/>
        </w:rPr>
        <w:t xml:space="preserve"> Asia-Pacific vision for the ITU-D</w:t>
      </w:r>
      <w:r>
        <w:rPr>
          <w:bCs/>
        </w:rPr>
        <w:t>.</w:t>
      </w:r>
    </w:p>
    <w:p w14:paraId="4D5EAFB8" w14:textId="77777777" w:rsidR="00883FB3" w:rsidRDefault="00883FB3" w:rsidP="00883FB3">
      <w:pPr>
        <w:spacing w:before="240" w:after="120"/>
        <w:rPr>
          <w:b/>
          <w:bCs/>
        </w:rPr>
      </w:pPr>
    </w:p>
    <w:p w14:paraId="44880381" w14:textId="77777777" w:rsidR="00883FB3" w:rsidRPr="000004AB" w:rsidRDefault="00883FB3" w:rsidP="00883FB3">
      <w:pPr>
        <w:pStyle w:val="ListParagraph"/>
        <w:numPr>
          <w:ilvl w:val="0"/>
          <w:numId w:val="11"/>
        </w:numPr>
        <w:spacing w:before="240"/>
        <w:ind w:hanging="720"/>
        <w:contextualSpacing w:val="0"/>
        <w:rPr>
          <w:b/>
          <w:bCs/>
        </w:rPr>
      </w:pPr>
      <w:r w:rsidRPr="000004AB">
        <w:rPr>
          <w:b/>
          <w:bCs/>
        </w:rPr>
        <w:t xml:space="preserve">PROPOSAL </w:t>
      </w:r>
    </w:p>
    <w:p w14:paraId="30FB47A7" w14:textId="6BC02A2A" w:rsidR="00883FB3" w:rsidRPr="00445D3D" w:rsidRDefault="00883FB3" w:rsidP="00883FB3">
      <w:pPr>
        <w:spacing w:before="240" w:after="120"/>
        <w:jc w:val="both"/>
        <w:rPr>
          <w:bCs/>
        </w:rPr>
      </w:pPr>
      <w:r w:rsidRPr="00445D3D">
        <w:rPr>
          <w:bCs/>
        </w:rPr>
        <w:t xml:space="preserve">The Member Administrations who attended the </w:t>
      </w:r>
      <w:r w:rsidR="00445D3D" w:rsidRPr="00445D3D">
        <w:rPr>
          <w:bCs/>
        </w:rPr>
        <w:t>3rd</w:t>
      </w:r>
      <w:r w:rsidRPr="001769B9">
        <w:rPr>
          <w:bCs/>
        </w:rPr>
        <w:t xml:space="preserve"> </w:t>
      </w:r>
      <w:r>
        <w:rPr>
          <w:bCs/>
        </w:rPr>
        <w:t xml:space="preserve">Meeting of the APT Preparatory Group for WTDC-21 </w:t>
      </w:r>
      <w:r w:rsidRPr="00445D3D">
        <w:rPr>
          <w:bCs/>
        </w:rPr>
        <w:t xml:space="preserve">propose the following </w:t>
      </w:r>
      <w:r w:rsidR="00F90959">
        <w:rPr>
          <w:bCs/>
        </w:rPr>
        <w:t>four</w:t>
      </w:r>
      <w:r w:rsidRPr="00445D3D">
        <w:rPr>
          <w:bCs/>
        </w:rPr>
        <w:t xml:space="preserve"> (</w:t>
      </w:r>
      <w:r w:rsidR="00F90959">
        <w:rPr>
          <w:bCs/>
        </w:rPr>
        <w:t>4</w:t>
      </w:r>
      <w:r w:rsidRPr="00445D3D">
        <w:rPr>
          <w:bCs/>
        </w:rPr>
        <w:t xml:space="preserve">) draft </w:t>
      </w:r>
      <w:r w:rsidR="00AF41A8">
        <w:rPr>
          <w:bCs/>
        </w:rPr>
        <w:t>priorities for the ITU-D</w:t>
      </w:r>
      <w:r w:rsidRPr="00445D3D">
        <w:rPr>
          <w:bCs/>
        </w:rPr>
        <w:t xml:space="preserve"> </w:t>
      </w:r>
      <w:r w:rsidR="00CD53FC" w:rsidRPr="00CD53FC">
        <w:rPr>
          <w:bCs/>
        </w:rPr>
        <w:t>for consideration at the forthcoming TDAG meeting as well as the second meeting of the Inter-Regional Meeting to Prepare WTDC-21 (IRM-2)</w:t>
      </w:r>
      <w:r w:rsidRPr="00445D3D">
        <w:rPr>
          <w:bCs/>
        </w:rPr>
        <w:t xml:space="preserve">.  </w:t>
      </w:r>
    </w:p>
    <w:p w14:paraId="5E00085E" w14:textId="6E41474A" w:rsidR="00445D3D" w:rsidRPr="00445D3D" w:rsidRDefault="00445D3D" w:rsidP="00445D3D">
      <w:pPr>
        <w:spacing w:before="240" w:after="120"/>
        <w:jc w:val="both"/>
        <w:rPr>
          <w:bCs/>
        </w:rPr>
      </w:pPr>
      <w:r w:rsidRPr="00445D3D">
        <w:rPr>
          <w:bCs/>
        </w:rPr>
        <w:t>This Asia-Pacific Vision for the ITU-D prioriti</w:t>
      </w:r>
      <w:r w:rsidR="007A50A5">
        <w:rPr>
          <w:bCs/>
        </w:rPr>
        <w:t>s</w:t>
      </w:r>
      <w:r w:rsidRPr="00445D3D">
        <w:rPr>
          <w:bCs/>
        </w:rPr>
        <w:t>es a Development Sector that:</w:t>
      </w:r>
    </w:p>
    <w:p w14:paraId="2FD21D0C" w14:textId="2AB1107B" w:rsidR="00FE1CCE" w:rsidRDefault="00445D3D" w:rsidP="00445D3D">
      <w:pPr>
        <w:spacing w:before="240" w:after="120"/>
        <w:jc w:val="both"/>
        <w:rPr>
          <w:b/>
          <w:bCs/>
        </w:rPr>
      </w:pPr>
      <w:r w:rsidRPr="00445D3D">
        <w:rPr>
          <w:bCs/>
        </w:rPr>
        <w:t>1</w:t>
      </w:r>
      <w:r>
        <w:rPr>
          <w:b/>
          <w:bCs/>
        </w:rPr>
        <w:t xml:space="preserve">. </w:t>
      </w:r>
      <w:r w:rsidR="00FE1CCE" w:rsidRPr="00445D3D">
        <w:rPr>
          <w:b/>
          <w:bCs/>
        </w:rPr>
        <w:t>Focuses on reducing the telecommunications/ICT divide between developing and developed countries:</w:t>
      </w:r>
      <w:r w:rsidR="00FE1CCE" w:rsidRPr="00445D3D">
        <w:rPr>
          <w:bCs/>
        </w:rPr>
        <w:t xml:space="preserve"> The Asia-Pacific Member Administrations support an ITU-D that is focused on reducing the divide between developing and developed countries in telecommunications and ICTs, including in areas of connectivity, the gender digital divide, capacity development and upskilling, and building confidence and security in the use of ICTs. Reducing these divides should be of utmost importance, particularly in Small Island Developing States</w:t>
      </w:r>
      <w:r w:rsidR="00FE1CCE">
        <w:rPr>
          <w:bCs/>
        </w:rPr>
        <w:t>, Landlocked Developing Countries</w:t>
      </w:r>
      <w:r w:rsidR="00FE1CCE" w:rsidRPr="00445D3D" w:rsidDel="00576B67">
        <w:rPr>
          <w:bCs/>
        </w:rPr>
        <w:t xml:space="preserve"> </w:t>
      </w:r>
      <w:r w:rsidR="00FE1CCE" w:rsidRPr="00445D3D">
        <w:rPr>
          <w:bCs/>
        </w:rPr>
        <w:t>and Least Developed Countries. Connectivity for remote communities should be a particular focus, as many vulnerable communities are still not fully connected and efforts must continue to reduce these divides which have been exacerbated by the COVID-19 pandemic.</w:t>
      </w:r>
    </w:p>
    <w:p w14:paraId="38C92959" w14:textId="5042AFAE" w:rsidR="00445D3D" w:rsidRPr="00445D3D" w:rsidRDefault="00445D3D" w:rsidP="00445D3D">
      <w:pPr>
        <w:spacing w:before="240" w:after="120"/>
        <w:jc w:val="both"/>
        <w:rPr>
          <w:bCs/>
        </w:rPr>
      </w:pPr>
      <w:r>
        <w:rPr>
          <w:bCs/>
        </w:rPr>
        <w:lastRenderedPageBreak/>
        <w:t>2</w:t>
      </w:r>
      <w:r w:rsidRPr="00445D3D">
        <w:rPr>
          <w:b/>
          <w:bCs/>
        </w:rPr>
        <w:t>. Supports a successful WTDC with clear outputs and goals:</w:t>
      </w:r>
      <w:r w:rsidRPr="00445D3D">
        <w:rPr>
          <w:bCs/>
        </w:rPr>
        <w:t xml:space="preserve"> The Asia</w:t>
      </w:r>
      <w:r w:rsidRPr="00445D3D">
        <w:rPr>
          <w:bCs/>
        </w:rPr>
        <w:noBreakHyphen/>
        <w:t xml:space="preserve">Pacific </w:t>
      </w:r>
      <w:r w:rsidR="007A50A5" w:rsidRPr="00445D3D">
        <w:rPr>
          <w:bCs/>
        </w:rPr>
        <w:t xml:space="preserve">Member Administrations </w:t>
      </w:r>
      <w:r w:rsidRPr="00445D3D">
        <w:rPr>
          <w:bCs/>
        </w:rPr>
        <w:t>support an ITU-D that facilitates a successful WTDC with clear outputs and goals to ensure that the ITU</w:t>
      </w:r>
      <w:r w:rsidRPr="00445D3D">
        <w:rPr>
          <w:bCs/>
        </w:rPr>
        <w:noBreakHyphen/>
        <w:t xml:space="preserve">D’s important work can have the most impact where it is needed. Clear outputs and goals will also maximise the use of ITU-D and ITU Member resources, and further enable the delivery of initiatives with genuine impacts for members and stakeholders. </w:t>
      </w:r>
    </w:p>
    <w:p w14:paraId="1B538C77" w14:textId="77777777" w:rsidR="00FE1CCE" w:rsidRPr="00445D3D" w:rsidRDefault="00445D3D" w:rsidP="00FE1CCE">
      <w:pPr>
        <w:spacing w:before="240" w:after="120"/>
        <w:jc w:val="both"/>
        <w:rPr>
          <w:bCs/>
        </w:rPr>
      </w:pPr>
      <w:r>
        <w:rPr>
          <w:bCs/>
        </w:rPr>
        <w:t xml:space="preserve">3. </w:t>
      </w:r>
      <w:r w:rsidR="00FE1CCE" w:rsidRPr="00445D3D">
        <w:rPr>
          <w:b/>
          <w:bCs/>
        </w:rPr>
        <w:t>Is results-focused</w:t>
      </w:r>
      <w:r w:rsidR="00FE1CCE" w:rsidRPr="00445D3D">
        <w:rPr>
          <w:bCs/>
        </w:rPr>
        <w:t>: The Asia-Pacific</w:t>
      </w:r>
      <w:r w:rsidR="00FE1CCE" w:rsidRPr="007A50A5">
        <w:rPr>
          <w:bCs/>
        </w:rPr>
        <w:t xml:space="preserve"> </w:t>
      </w:r>
      <w:r w:rsidR="00FE1CCE" w:rsidRPr="00445D3D">
        <w:rPr>
          <w:bCs/>
        </w:rPr>
        <w:t>Member Administrations support an ITU-D that is results</w:t>
      </w:r>
      <w:r w:rsidR="00FE1CCE" w:rsidRPr="00445D3D">
        <w:rPr>
          <w:bCs/>
        </w:rPr>
        <w:noBreakHyphen/>
        <w:t xml:space="preserve">focused and adheres to results-based management principles. Commitment to results-based management and performance reporting that focuses on the genuine impact of activities on beneficiaries and a broader assessment of the final outcomes of activities carried out, particularly in the reporting of project deliverables, will allow the Sector to better measure success and improve project outcomes and delivery. This approach will increase the quality of ITU-D projects and increase the positive impacts for beneficiaries of ITU-D projects. </w:t>
      </w:r>
    </w:p>
    <w:p w14:paraId="0DE45E19" w14:textId="11A9C7A1" w:rsidR="00F90959" w:rsidRPr="00445D3D" w:rsidRDefault="00F90959" w:rsidP="00445D3D">
      <w:pPr>
        <w:spacing w:before="240" w:after="120"/>
        <w:jc w:val="both"/>
        <w:rPr>
          <w:bCs/>
        </w:rPr>
      </w:pPr>
      <w:r>
        <w:rPr>
          <w:bCs/>
        </w:rPr>
        <w:t xml:space="preserve">4. </w:t>
      </w:r>
      <w:r w:rsidRPr="00F90959">
        <w:rPr>
          <w:b/>
          <w:bCs/>
        </w:rPr>
        <w:t>Continue</w:t>
      </w:r>
      <w:r>
        <w:rPr>
          <w:b/>
          <w:bCs/>
        </w:rPr>
        <w:t>s</w:t>
      </w:r>
      <w:r w:rsidRPr="00F90959">
        <w:rPr>
          <w:b/>
          <w:bCs/>
        </w:rPr>
        <w:t xml:space="preserve"> to strengthen the efficient, transparent and accountable operation of </w:t>
      </w:r>
      <w:r>
        <w:rPr>
          <w:b/>
          <w:bCs/>
        </w:rPr>
        <w:t xml:space="preserve">the </w:t>
      </w:r>
      <w:r w:rsidRPr="00F90959">
        <w:rPr>
          <w:b/>
          <w:bCs/>
        </w:rPr>
        <w:t>BDT</w:t>
      </w:r>
      <w:r>
        <w:rPr>
          <w:b/>
          <w:bCs/>
        </w:rPr>
        <w:t xml:space="preserve">: </w:t>
      </w:r>
      <w:r w:rsidR="00CD3EEA" w:rsidRPr="00445D3D">
        <w:rPr>
          <w:bCs/>
        </w:rPr>
        <w:t xml:space="preserve">The Asia-Pacific </w:t>
      </w:r>
      <w:r w:rsidR="007A50A5" w:rsidRPr="00445D3D">
        <w:rPr>
          <w:bCs/>
        </w:rPr>
        <w:t xml:space="preserve">Member Administrations </w:t>
      </w:r>
      <w:r w:rsidR="00CD3EEA" w:rsidRPr="00445D3D">
        <w:rPr>
          <w:bCs/>
        </w:rPr>
        <w:t xml:space="preserve">support an ITU-D that </w:t>
      </w:r>
      <w:r w:rsidR="00CD3EEA">
        <w:rPr>
          <w:bCs/>
        </w:rPr>
        <w:t>c</w:t>
      </w:r>
      <w:r w:rsidRPr="00CD3EEA">
        <w:rPr>
          <w:bCs/>
        </w:rPr>
        <w:t>ontinue</w:t>
      </w:r>
      <w:r w:rsidR="00CD3EEA">
        <w:rPr>
          <w:bCs/>
        </w:rPr>
        <w:t>s</w:t>
      </w:r>
      <w:r w:rsidRPr="00CD3EEA">
        <w:rPr>
          <w:bCs/>
        </w:rPr>
        <w:t xml:space="preserve"> to strengthen the efficient, transparent and accountable operation of</w:t>
      </w:r>
      <w:r w:rsidR="00CD3EEA">
        <w:rPr>
          <w:bCs/>
        </w:rPr>
        <w:t xml:space="preserve"> the</w:t>
      </w:r>
      <w:r w:rsidRPr="00CD3EEA">
        <w:rPr>
          <w:bCs/>
        </w:rPr>
        <w:t xml:space="preserve"> BDT, including regional and </w:t>
      </w:r>
      <w:r w:rsidR="007A50A5">
        <w:rPr>
          <w:bCs/>
        </w:rPr>
        <w:t>area</w:t>
      </w:r>
      <w:r w:rsidR="007A50A5" w:rsidRPr="00CD3EEA">
        <w:rPr>
          <w:bCs/>
        </w:rPr>
        <w:t xml:space="preserve"> </w:t>
      </w:r>
      <w:r w:rsidRPr="00CD3EEA">
        <w:rPr>
          <w:bCs/>
        </w:rPr>
        <w:t>offices in line with the principle, framework, and mechanism established to effectively and efficiently serve the membership's needs.</w:t>
      </w:r>
      <w:r w:rsidR="00CD3EEA">
        <w:rPr>
          <w:bCs/>
        </w:rPr>
        <w:t xml:space="preserve"> </w:t>
      </w:r>
      <w:r w:rsidRPr="00CD3EEA">
        <w:rPr>
          <w:bCs/>
        </w:rPr>
        <w:t xml:space="preserve">Since BDT is responsible for the </w:t>
      </w:r>
      <w:r w:rsidR="007A50A5" w:rsidRPr="00CD3EEA">
        <w:rPr>
          <w:bCs/>
        </w:rPr>
        <w:t>organi</w:t>
      </w:r>
      <w:r w:rsidR="007A50A5">
        <w:rPr>
          <w:bCs/>
        </w:rPr>
        <w:t>s</w:t>
      </w:r>
      <w:r w:rsidR="007A50A5" w:rsidRPr="00CD3EEA">
        <w:rPr>
          <w:bCs/>
        </w:rPr>
        <w:t xml:space="preserve">ation </w:t>
      </w:r>
      <w:r w:rsidRPr="00CD3EEA">
        <w:rPr>
          <w:bCs/>
        </w:rPr>
        <w:t xml:space="preserve">and coordination of the work of the </w:t>
      </w:r>
      <w:r w:rsidR="00CD3EEA">
        <w:rPr>
          <w:bCs/>
        </w:rPr>
        <w:t>ITU</w:t>
      </w:r>
      <w:r w:rsidR="00CD3EEA">
        <w:rPr>
          <w:bCs/>
        </w:rPr>
        <w:noBreakHyphen/>
        <w:t>D</w:t>
      </w:r>
      <w:r w:rsidRPr="00CD3EEA">
        <w:rPr>
          <w:bCs/>
        </w:rPr>
        <w:t xml:space="preserve"> and deals mainly with development policies, strategies, </w:t>
      </w:r>
      <w:r w:rsidR="007A50A5">
        <w:rPr>
          <w:bCs/>
        </w:rPr>
        <w:t>programme</w:t>
      </w:r>
      <w:r w:rsidR="00771985">
        <w:rPr>
          <w:bCs/>
        </w:rPr>
        <w:t>s</w:t>
      </w:r>
      <w:r w:rsidRPr="00CD3EEA">
        <w:rPr>
          <w:bCs/>
        </w:rPr>
        <w:t>, as well as technical cooperation activities to close the digital divide, it is ess</w:t>
      </w:r>
      <w:r w:rsidR="00CD3EEA">
        <w:rPr>
          <w:bCs/>
        </w:rPr>
        <w:t>ential to ensure its integrity.</w:t>
      </w:r>
    </w:p>
    <w:sectPr w:rsidR="00F90959" w:rsidRPr="00445D3D" w:rsidSect="002E2B2D">
      <w:headerReference w:type="default" r:id="rId11"/>
      <w:footerReference w:type="even" r:id="rId12"/>
      <w:footerReference w:type="defaul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2027" w14:textId="77777777" w:rsidR="001E331B" w:rsidRDefault="001E331B">
      <w:r>
        <w:separator/>
      </w:r>
    </w:p>
  </w:endnote>
  <w:endnote w:type="continuationSeparator" w:id="0">
    <w:p w14:paraId="71377114" w14:textId="77777777" w:rsidR="001E331B" w:rsidRDefault="001E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163" w14:textId="77777777" w:rsidR="008D48BB" w:rsidRDefault="008D48B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DD9B3" w14:textId="77777777" w:rsidR="008D48BB" w:rsidRDefault="008D48B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167F" w14:textId="1672551D" w:rsidR="008D48BB" w:rsidRDefault="008D48BB" w:rsidP="00341CD0">
    <w:pPr>
      <w:pStyle w:val="Footer"/>
      <w:tabs>
        <w:tab w:val="clear" w:pos="4320"/>
        <w:tab w:val="clear" w:pos="8640"/>
        <w:tab w:val="right" w:pos="9180"/>
      </w:tabs>
      <w:ind w:right="-7"/>
      <w:jc w:val="right"/>
    </w:pPr>
    <w:r>
      <w:rPr>
        <w:rStyle w:val="PageNumber"/>
      </w:rPr>
      <w:t>APT WTDC21-3/</w:t>
    </w:r>
    <w:r w:rsidR="00185B16">
      <w:rPr>
        <w:rStyle w:val="PageNumber"/>
      </w:rPr>
      <w:t>OUT-10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71985">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71985">
      <w:rPr>
        <w:rStyle w:val="PageNumber"/>
        <w:noProof/>
      </w:rPr>
      <w:t>2</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F77B" w14:textId="77777777" w:rsidR="008D48BB" w:rsidRPr="00341CD0" w:rsidRDefault="008D48BB" w:rsidP="00341CD0">
    <w:pPr>
      <w:pStyle w:val="Footer"/>
      <w:tabs>
        <w:tab w:val="clear" w:pos="4320"/>
        <w:tab w:val="clear" w:pos="8640"/>
        <w:tab w:val="right" w:pos="9173"/>
      </w:tabs>
      <w:rPr>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AE174" w14:textId="77777777" w:rsidR="001E331B" w:rsidRDefault="001E331B">
      <w:r>
        <w:separator/>
      </w:r>
    </w:p>
  </w:footnote>
  <w:footnote w:type="continuationSeparator" w:id="0">
    <w:p w14:paraId="06B82996" w14:textId="77777777" w:rsidR="001E331B" w:rsidRDefault="001E331B">
      <w:r>
        <w:continuationSeparator/>
      </w:r>
    </w:p>
  </w:footnote>
  <w:footnote w:id="1">
    <w:p w14:paraId="35E13718" w14:textId="298FA27D" w:rsidR="006B38CD" w:rsidRPr="000F6956" w:rsidRDefault="00883FB3" w:rsidP="006B38CD">
      <w:pPr>
        <w:rPr>
          <w:sz w:val="20"/>
          <w:szCs w:val="20"/>
        </w:rPr>
      </w:pPr>
      <w:r w:rsidRPr="000F6956">
        <w:rPr>
          <w:rStyle w:val="FootnoteReference"/>
        </w:rPr>
        <w:footnoteRef/>
      </w:r>
      <w:r w:rsidRPr="000F6956">
        <w:t xml:space="preserve"> </w:t>
      </w:r>
      <w:r w:rsidRPr="000F6956">
        <w:rPr>
          <w:sz w:val="20"/>
          <w:szCs w:val="20"/>
        </w:rPr>
        <w:t xml:space="preserve">This document was considered and accepted by consensus at the APT WTD21-3 meeting held as a Virtual/Online Meeting from 5 to 8 October 2021. The meeting was attended by the Administrations </w:t>
      </w:r>
      <w:bookmarkStart w:id="0" w:name="_Hlk84600148"/>
      <w:r w:rsidRPr="000F6956">
        <w:rPr>
          <w:sz w:val="20"/>
          <w:szCs w:val="20"/>
        </w:rPr>
        <w:t>of</w:t>
      </w:r>
      <w:r w:rsidR="006B38CD" w:rsidRPr="000F6956">
        <w:rPr>
          <w:sz w:val="20"/>
          <w:szCs w:val="20"/>
        </w:rPr>
        <w:t xml:space="preserve"> Australia, </w:t>
      </w:r>
    </w:p>
    <w:p w14:paraId="2E90EDAF" w14:textId="1331BFFE" w:rsidR="00883FB3" w:rsidRDefault="006B38CD" w:rsidP="006B38CD">
      <w:pPr>
        <w:rPr>
          <w:lang w:eastAsia="ko-KR"/>
        </w:rPr>
      </w:pPr>
      <w:r w:rsidRPr="000F6956">
        <w:rPr>
          <w:sz w:val="20"/>
          <w:szCs w:val="20"/>
        </w:rPr>
        <w:t>Cambodia, China, Indonesia, Iran, Japan, Republic of Korea, Malaysia, Pakistan, Philippines, Samoa, Singapore and Thailand.</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8AB4" w14:textId="4A151A73" w:rsidR="008D48BB" w:rsidRDefault="008D48BB" w:rsidP="00341CD0">
    <w:pPr>
      <w:pStyle w:val="Header"/>
      <w:tabs>
        <w:tab w:val="clear" w:pos="4320"/>
        <w:tab w:val="clear" w:pos="8640"/>
      </w:tabs>
      <w:rPr>
        <w:lang w:eastAsia="ko-KR"/>
      </w:rPr>
    </w:pPr>
  </w:p>
  <w:p w14:paraId="07EFF3BC" w14:textId="77777777" w:rsidR="008D48BB" w:rsidRDefault="008D48BB" w:rsidP="00341CD0">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15:restartNumberingAfterBreak="0">
    <w:nsid w:val="1F884F72"/>
    <w:multiLevelType w:val="hybridMultilevel"/>
    <w:tmpl w:val="20EC4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56310A"/>
    <w:multiLevelType w:val="hybridMultilevel"/>
    <w:tmpl w:val="1706882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6105367C"/>
    <w:multiLevelType w:val="hybridMultilevel"/>
    <w:tmpl w:val="4712D95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75173EF5"/>
    <w:multiLevelType w:val="hybridMultilevel"/>
    <w:tmpl w:val="4558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11"/>
  </w:num>
  <w:num w:numId="5">
    <w:abstractNumId w:val="7"/>
  </w:num>
  <w:num w:numId="6">
    <w:abstractNumId w:val="9"/>
  </w:num>
  <w:num w:numId="7">
    <w:abstractNumId w:val="1"/>
  </w:num>
  <w:num w:numId="8">
    <w:abstractNumId w:val="0"/>
  </w:num>
  <w:num w:numId="9">
    <w:abstractNumId w:val="12"/>
  </w:num>
  <w:num w:numId="10">
    <w:abstractNumId w:val="6"/>
  </w:num>
  <w:num w:numId="11">
    <w:abstractNumId w:val="5"/>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385"/>
    <w:rsid w:val="00022F2A"/>
    <w:rsid w:val="00031FB2"/>
    <w:rsid w:val="0003595B"/>
    <w:rsid w:val="0006669E"/>
    <w:rsid w:val="000702D4"/>
    <w:rsid w:val="000713CF"/>
    <w:rsid w:val="00071E3F"/>
    <w:rsid w:val="00076E63"/>
    <w:rsid w:val="000855AE"/>
    <w:rsid w:val="00090630"/>
    <w:rsid w:val="00090720"/>
    <w:rsid w:val="00094B87"/>
    <w:rsid w:val="000A5418"/>
    <w:rsid w:val="000B0598"/>
    <w:rsid w:val="000F517C"/>
    <w:rsid w:val="000F5540"/>
    <w:rsid w:val="000F6956"/>
    <w:rsid w:val="00103C8B"/>
    <w:rsid w:val="00104ACB"/>
    <w:rsid w:val="0010608C"/>
    <w:rsid w:val="00122BA7"/>
    <w:rsid w:val="00142CAA"/>
    <w:rsid w:val="00152EDF"/>
    <w:rsid w:val="001539DD"/>
    <w:rsid w:val="00156383"/>
    <w:rsid w:val="00163ABF"/>
    <w:rsid w:val="00167EA9"/>
    <w:rsid w:val="001724B9"/>
    <w:rsid w:val="00182505"/>
    <w:rsid w:val="00182C10"/>
    <w:rsid w:val="00184519"/>
    <w:rsid w:val="00185B16"/>
    <w:rsid w:val="00187B8D"/>
    <w:rsid w:val="0019389F"/>
    <w:rsid w:val="00196568"/>
    <w:rsid w:val="00196CA4"/>
    <w:rsid w:val="001A2F16"/>
    <w:rsid w:val="001B18C2"/>
    <w:rsid w:val="001B59DE"/>
    <w:rsid w:val="001C2B9C"/>
    <w:rsid w:val="001C78A5"/>
    <w:rsid w:val="001D5D7E"/>
    <w:rsid w:val="001E08FB"/>
    <w:rsid w:val="001E331B"/>
    <w:rsid w:val="001F2466"/>
    <w:rsid w:val="00213077"/>
    <w:rsid w:val="0021588B"/>
    <w:rsid w:val="002216AC"/>
    <w:rsid w:val="00250CFE"/>
    <w:rsid w:val="00251635"/>
    <w:rsid w:val="00254A1B"/>
    <w:rsid w:val="00257951"/>
    <w:rsid w:val="002624D9"/>
    <w:rsid w:val="00265BBD"/>
    <w:rsid w:val="0028454D"/>
    <w:rsid w:val="00291C9E"/>
    <w:rsid w:val="002926D4"/>
    <w:rsid w:val="00294C06"/>
    <w:rsid w:val="002B4101"/>
    <w:rsid w:val="002C07DA"/>
    <w:rsid w:val="002C7EA9"/>
    <w:rsid w:val="002E2B2D"/>
    <w:rsid w:val="002F5401"/>
    <w:rsid w:val="0032360B"/>
    <w:rsid w:val="00337ED2"/>
    <w:rsid w:val="00341CD0"/>
    <w:rsid w:val="00342F20"/>
    <w:rsid w:val="003478EF"/>
    <w:rsid w:val="003500E0"/>
    <w:rsid w:val="003521E8"/>
    <w:rsid w:val="00354EAA"/>
    <w:rsid w:val="003669CB"/>
    <w:rsid w:val="00370CC1"/>
    <w:rsid w:val="003809C7"/>
    <w:rsid w:val="00382004"/>
    <w:rsid w:val="003A3B9E"/>
    <w:rsid w:val="003B6263"/>
    <w:rsid w:val="003C167B"/>
    <w:rsid w:val="003C64A7"/>
    <w:rsid w:val="003D3FDA"/>
    <w:rsid w:val="00417015"/>
    <w:rsid w:val="00420822"/>
    <w:rsid w:val="00424820"/>
    <w:rsid w:val="00445D3D"/>
    <w:rsid w:val="0045458F"/>
    <w:rsid w:val="00460753"/>
    <w:rsid w:val="004633B4"/>
    <w:rsid w:val="00464CC0"/>
    <w:rsid w:val="004745C7"/>
    <w:rsid w:val="00495E04"/>
    <w:rsid w:val="004B3553"/>
    <w:rsid w:val="004B7A60"/>
    <w:rsid w:val="004C057E"/>
    <w:rsid w:val="004C0690"/>
    <w:rsid w:val="005154C0"/>
    <w:rsid w:val="00530E8C"/>
    <w:rsid w:val="00532959"/>
    <w:rsid w:val="00545933"/>
    <w:rsid w:val="00557544"/>
    <w:rsid w:val="00565E75"/>
    <w:rsid w:val="00587875"/>
    <w:rsid w:val="005939B5"/>
    <w:rsid w:val="005A561F"/>
    <w:rsid w:val="005D2748"/>
    <w:rsid w:val="00607E2B"/>
    <w:rsid w:val="006139D6"/>
    <w:rsid w:val="00615134"/>
    <w:rsid w:val="00623CE1"/>
    <w:rsid w:val="00626A1E"/>
    <w:rsid w:val="0063062B"/>
    <w:rsid w:val="0064269D"/>
    <w:rsid w:val="00643B73"/>
    <w:rsid w:val="00651CCF"/>
    <w:rsid w:val="00662815"/>
    <w:rsid w:val="00667229"/>
    <w:rsid w:val="006708F5"/>
    <w:rsid w:val="00682BE5"/>
    <w:rsid w:val="00684DDB"/>
    <w:rsid w:val="00690FED"/>
    <w:rsid w:val="006939A5"/>
    <w:rsid w:val="00696442"/>
    <w:rsid w:val="006B190B"/>
    <w:rsid w:val="006B335F"/>
    <w:rsid w:val="006B38CD"/>
    <w:rsid w:val="006C5A78"/>
    <w:rsid w:val="006F09C5"/>
    <w:rsid w:val="00712451"/>
    <w:rsid w:val="007138A1"/>
    <w:rsid w:val="00731041"/>
    <w:rsid w:val="007319FC"/>
    <w:rsid w:val="00732F08"/>
    <w:rsid w:val="0074190C"/>
    <w:rsid w:val="00762576"/>
    <w:rsid w:val="00771985"/>
    <w:rsid w:val="00772F3C"/>
    <w:rsid w:val="00791060"/>
    <w:rsid w:val="00796084"/>
    <w:rsid w:val="007A50A5"/>
    <w:rsid w:val="007B5626"/>
    <w:rsid w:val="007C48F3"/>
    <w:rsid w:val="007E5326"/>
    <w:rsid w:val="007E64DF"/>
    <w:rsid w:val="007F3D5D"/>
    <w:rsid w:val="0080570B"/>
    <w:rsid w:val="008148E1"/>
    <w:rsid w:val="008319BF"/>
    <w:rsid w:val="008454AB"/>
    <w:rsid w:val="00875979"/>
    <w:rsid w:val="00883FB3"/>
    <w:rsid w:val="008A396A"/>
    <w:rsid w:val="008D0E09"/>
    <w:rsid w:val="008D1DB6"/>
    <w:rsid w:val="008D41BB"/>
    <w:rsid w:val="008D48BB"/>
    <w:rsid w:val="008E3045"/>
    <w:rsid w:val="008E6B7B"/>
    <w:rsid w:val="00910AB8"/>
    <w:rsid w:val="0091548C"/>
    <w:rsid w:val="00942816"/>
    <w:rsid w:val="0097693B"/>
    <w:rsid w:val="00976FE0"/>
    <w:rsid w:val="0098101F"/>
    <w:rsid w:val="00992351"/>
    <w:rsid w:val="00993355"/>
    <w:rsid w:val="009A4A6D"/>
    <w:rsid w:val="009C05C2"/>
    <w:rsid w:val="009E5BCA"/>
    <w:rsid w:val="009E7ACB"/>
    <w:rsid w:val="009F2A03"/>
    <w:rsid w:val="00A13265"/>
    <w:rsid w:val="00A16691"/>
    <w:rsid w:val="00A26DCB"/>
    <w:rsid w:val="00A4164C"/>
    <w:rsid w:val="00A552AE"/>
    <w:rsid w:val="00A55820"/>
    <w:rsid w:val="00A62A20"/>
    <w:rsid w:val="00A63991"/>
    <w:rsid w:val="00A71136"/>
    <w:rsid w:val="00A849DD"/>
    <w:rsid w:val="00AA2067"/>
    <w:rsid w:val="00AA4086"/>
    <w:rsid w:val="00AA474C"/>
    <w:rsid w:val="00AA6C59"/>
    <w:rsid w:val="00AC3774"/>
    <w:rsid w:val="00AC5F7C"/>
    <w:rsid w:val="00AD7E5F"/>
    <w:rsid w:val="00AF41A8"/>
    <w:rsid w:val="00B01AA1"/>
    <w:rsid w:val="00B15AFF"/>
    <w:rsid w:val="00B30079"/>
    <w:rsid w:val="00B30C81"/>
    <w:rsid w:val="00B45147"/>
    <w:rsid w:val="00B4583A"/>
    <w:rsid w:val="00B4636C"/>
    <w:rsid w:val="00B4793B"/>
    <w:rsid w:val="00B51A67"/>
    <w:rsid w:val="00B60228"/>
    <w:rsid w:val="00B623AD"/>
    <w:rsid w:val="00B802D1"/>
    <w:rsid w:val="00B90441"/>
    <w:rsid w:val="00B90D0A"/>
    <w:rsid w:val="00BB2755"/>
    <w:rsid w:val="00BC6D6B"/>
    <w:rsid w:val="00BD4C7F"/>
    <w:rsid w:val="00BE1638"/>
    <w:rsid w:val="00C0604F"/>
    <w:rsid w:val="00C10614"/>
    <w:rsid w:val="00C15633"/>
    <w:rsid w:val="00C15799"/>
    <w:rsid w:val="00C357AD"/>
    <w:rsid w:val="00C3695D"/>
    <w:rsid w:val="00C375CC"/>
    <w:rsid w:val="00C42A49"/>
    <w:rsid w:val="00C4785B"/>
    <w:rsid w:val="00C6069C"/>
    <w:rsid w:val="00C65719"/>
    <w:rsid w:val="00C820E1"/>
    <w:rsid w:val="00C85119"/>
    <w:rsid w:val="00C85A44"/>
    <w:rsid w:val="00C900BC"/>
    <w:rsid w:val="00CA478D"/>
    <w:rsid w:val="00CA6A2F"/>
    <w:rsid w:val="00CB75C8"/>
    <w:rsid w:val="00CC4B55"/>
    <w:rsid w:val="00CD3EEA"/>
    <w:rsid w:val="00CD53FC"/>
    <w:rsid w:val="00CD5431"/>
    <w:rsid w:val="00CE1A87"/>
    <w:rsid w:val="00CF2491"/>
    <w:rsid w:val="00D06C0C"/>
    <w:rsid w:val="00D1252E"/>
    <w:rsid w:val="00D3011C"/>
    <w:rsid w:val="00D348D1"/>
    <w:rsid w:val="00D421BD"/>
    <w:rsid w:val="00D57772"/>
    <w:rsid w:val="00D57F10"/>
    <w:rsid w:val="00D643DC"/>
    <w:rsid w:val="00D715CA"/>
    <w:rsid w:val="00D72AE3"/>
    <w:rsid w:val="00D75244"/>
    <w:rsid w:val="00D75A4D"/>
    <w:rsid w:val="00D8355B"/>
    <w:rsid w:val="00D8478B"/>
    <w:rsid w:val="00D86151"/>
    <w:rsid w:val="00D96461"/>
    <w:rsid w:val="00DA7595"/>
    <w:rsid w:val="00DB0A68"/>
    <w:rsid w:val="00DC43A3"/>
    <w:rsid w:val="00DD0603"/>
    <w:rsid w:val="00DD7C09"/>
    <w:rsid w:val="00DE4230"/>
    <w:rsid w:val="00E0124F"/>
    <w:rsid w:val="00E3465B"/>
    <w:rsid w:val="00E534CE"/>
    <w:rsid w:val="00E56E4D"/>
    <w:rsid w:val="00E674D3"/>
    <w:rsid w:val="00E67DCE"/>
    <w:rsid w:val="00E70FD0"/>
    <w:rsid w:val="00EA4AF0"/>
    <w:rsid w:val="00EA6162"/>
    <w:rsid w:val="00EB49C2"/>
    <w:rsid w:val="00EC7F2B"/>
    <w:rsid w:val="00EF042F"/>
    <w:rsid w:val="00EF189C"/>
    <w:rsid w:val="00F11135"/>
    <w:rsid w:val="00F21C70"/>
    <w:rsid w:val="00F36FD6"/>
    <w:rsid w:val="00F66584"/>
    <w:rsid w:val="00F84067"/>
    <w:rsid w:val="00F90959"/>
    <w:rsid w:val="00F944CE"/>
    <w:rsid w:val="00FC6AE7"/>
    <w:rsid w:val="00FC6EC3"/>
    <w:rsid w:val="00FE1CCE"/>
    <w:rsid w:val="00FE3DE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602B46"/>
  <w15:docId w15:val="{6D5CF89F-CD09-4586-9194-DCFD350F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4C05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BalloonText">
    <w:name w:val="Balloon Text"/>
    <w:basedOn w:val="Normal"/>
    <w:link w:val="BalloonTextChar"/>
    <w:semiHidden/>
    <w:unhideWhenUsed/>
    <w:rsid w:val="00022F2A"/>
    <w:rPr>
      <w:rFonts w:ascii="Segoe UI" w:hAnsi="Segoe UI" w:cs="Segoe UI"/>
      <w:sz w:val="18"/>
      <w:szCs w:val="18"/>
    </w:rPr>
  </w:style>
  <w:style w:type="character" w:customStyle="1" w:styleId="BalloonTextChar">
    <w:name w:val="Balloon Text Char"/>
    <w:basedOn w:val="DefaultParagraphFont"/>
    <w:link w:val="BalloonText"/>
    <w:semiHidden/>
    <w:rsid w:val="00022F2A"/>
    <w:rPr>
      <w:rFonts w:ascii="Segoe UI" w:eastAsia="BatangChe" w:hAnsi="Segoe UI" w:cs="Segoe UI"/>
      <w:sz w:val="18"/>
      <w:szCs w:val="18"/>
    </w:rPr>
  </w:style>
  <w:style w:type="paragraph" w:styleId="ListParagraph">
    <w:name w:val="List Paragraph"/>
    <w:aliases w:val="List Paragraph1,Recommendation,List Paragraph11,L,Bulleted Para,NFP GP Bulleted List,FooterText,numbered,Paragraphe de liste1,Bulletr List Paragraph,列出段落,列出段落1,List Paragraph2,List Paragraph21,Listeafsnit1,Parágrafo da Lista1,リスト段落1,CV t"/>
    <w:basedOn w:val="Normal"/>
    <w:link w:val="ListParagraphChar"/>
    <w:uiPriority w:val="34"/>
    <w:qFormat/>
    <w:rsid w:val="00D06C0C"/>
    <w:pPr>
      <w:ind w:left="720"/>
      <w:contextualSpacing/>
    </w:pPr>
  </w:style>
  <w:style w:type="character" w:customStyle="1" w:styleId="ListParagraphChar">
    <w:name w:val="List Paragraph Char"/>
    <w:aliases w:val="List Paragraph1 Char,Recommendation Char,List Paragraph11 Char,L Char,Bulleted Para Char,NFP GP Bulleted List Char,FooterText Char,numbered Char,Paragraphe de liste1 Char,Bulletr List Paragraph Char,列出段落 Char,列出段落1 Char,リスト段落1 Char"/>
    <w:link w:val="ListParagraph"/>
    <w:uiPriority w:val="34"/>
    <w:qFormat/>
    <w:locked/>
    <w:rsid w:val="00D06C0C"/>
    <w:rPr>
      <w:rFonts w:eastAsia="BatangChe"/>
      <w:sz w:val="24"/>
      <w:szCs w:val="24"/>
    </w:rPr>
  </w:style>
  <w:style w:type="character" w:customStyle="1" w:styleId="Heading2Char">
    <w:name w:val="Heading 2 Char"/>
    <w:basedOn w:val="DefaultParagraphFont"/>
    <w:link w:val="Heading2"/>
    <w:semiHidden/>
    <w:rsid w:val="004C057E"/>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341CD0"/>
    <w:rPr>
      <w:color w:val="0000FF"/>
      <w:u w:val="single"/>
    </w:rPr>
  </w:style>
  <w:style w:type="paragraph" w:customStyle="1" w:styleId="Level1">
    <w:name w:val="Level1"/>
    <w:basedOn w:val="Heading2"/>
    <w:next w:val="Normal"/>
    <w:qFormat/>
    <w:rsid w:val="009C05C2"/>
    <w:rPr>
      <w:rFonts w:ascii="Times New Roman" w:hAnsi="Times New Roman"/>
      <w:color w:val="000000" w:themeColor="text1"/>
      <w:sz w:val="24"/>
    </w:rPr>
  </w:style>
  <w:style w:type="table" w:styleId="TableGrid">
    <w:name w:val="Table Grid"/>
    <w:basedOn w:val="TableNormal"/>
    <w:uiPriority w:val="39"/>
    <w:rsid w:val="00A62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posal">
    <w:name w:val="Proposal"/>
    <w:basedOn w:val="Normal"/>
    <w:next w:val="Normal"/>
    <w:qFormat/>
    <w:rsid w:val="00D96461"/>
    <w:pPr>
      <w:keepNext/>
      <w:tabs>
        <w:tab w:val="left" w:pos="1134"/>
        <w:tab w:val="left" w:pos="1871"/>
        <w:tab w:val="left" w:pos="2268"/>
      </w:tabs>
      <w:overflowPunct w:val="0"/>
      <w:autoSpaceDE w:val="0"/>
      <w:autoSpaceDN w:val="0"/>
      <w:adjustRightInd w:val="0"/>
      <w:spacing w:before="240"/>
      <w:jc w:val="both"/>
      <w:textAlignment w:val="baseline"/>
    </w:pPr>
    <w:rPr>
      <w:rFonts w:eastAsia="Batang" w:hAnsi="Times New Roman Bold"/>
      <w:b/>
      <w:szCs w:val="20"/>
      <w:lang w:val="en-GB"/>
    </w:rPr>
  </w:style>
  <w:style w:type="paragraph" w:styleId="FootnoteText">
    <w:name w:val="footnote text"/>
    <w:basedOn w:val="Normal"/>
    <w:link w:val="FootnoteTextChar"/>
    <w:uiPriority w:val="99"/>
    <w:semiHidden/>
    <w:unhideWhenUsed/>
    <w:rsid w:val="00D96461"/>
    <w:rPr>
      <w:sz w:val="20"/>
      <w:szCs w:val="20"/>
    </w:rPr>
  </w:style>
  <w:style w:type="character" w:customStyle="1" w:styleId="FootnoteTextChar">
    <w:name w:val="Footnote Text Char"/>
    <w:basedOn w:val="DefaultParagraphFont"/>
    <w:link w:val="FootnoteText"/>
    <w:uiPriority w:val="99"/>
    <w:semiHidden/>
    <w:rsid w:val="00D96461"/>
    <w:rPr>
      <w:rFonts w:eastAsia="BatangChe"/>
    </w:rPr>
  </w:style>
  <w:style w:type="character" w:customStyle="1" w:styleId="FootnoteReference1">
    <w:name w:val="Footnote Reference1"/>
    <w:basedOn w:val="DefaultParagraphFont"/>
    <w:rsid w:val="00D96461"/>
    <w:rPr>
      <w:rFonts w:ascii="Calibri" w:hAnsi="Calibri"/>
      <w:position w:val="6"/>
      <w:sz w:val="18"/>
    </w:rPr>
  </w:style>
  <w:style w:type="paragraph" w:customStyle="1" w:styleId="ResNo">
    <w:name w:val="Res_No"/>
    <w:basedOn w:val="Normal"/>
    <w:next w:val="Normal"/>
    <w:link w:val="ResNoChar"/>
    <w:rsid w:val="00D96461"/>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ascii="Calibri" w:eastAsia="Batang" w:hAnsi="Calibri"/>
      <w:caps/>
      <w:sz w:val="34"/>
      <w:szCs w:val="20"/>
      <w:lang w:val="en-GB"/>
    </w:rPr>
  </w:style>
  <w:style w:type="character" w:customStyle="1" w:styleId="ResNoChar">
    <w:name w:val="Res_No Char"/>
    <w:basedOn w:val="DefaultParagraphFont"/>
    <w:link w:val="ResNo"/>
    <w:rsid w:val="00D96461"/>
    <w:rPr>
      <w:rFonts w:ascii="Calibri" w:hAnsi="Calibri"/>
      <w:caps/>
      <w:sz w:val="34"/>
      <w:lang w:val="en-GB"/>
    </w:rPr>
  </w:style>
  <w:style w:type="character" w:styleId="FootnoteReference">
    <w:name w:val="footnote reference"/>
    <w:basedOn w:val="DefaultParagraphFont"/>
    <w:uiPriority w:val="99"/>
    <w:semiHidden/>
    <w:unhideWhenUsed/>
    <w:rsid w:val="00D96461"/>
    <w:rPr>
      <w:vertAlign w:val="superscript"/>
    </w:rPr>
  </w:style>
  <w:style w:type="character" w:styleId="CommentReference">
    <w:name w:val="annotation reference"/>
    <w:basedOn w:val="DefaultParagraphFont"/>
    <w:semiHidden/>
    <w:unhideWhenUsed/>
    <w:rsid w:val="00424820"/>
    <w:rPr>
      <w:sz w:val="16"/>
      <w:szCs w:val="16"/>
    </w:rPr>
  </w:style>
  <w:style w:type="paragraph" w:styleId="CommentText">
    <w:name w:val="annotation text"/>
    <w:basedOn w:val="Normal"/>
    <w:link w:val="CommentTextChar"/>
    <w:semiHidden/>
    <w:unhideWhenUsed/>
    <w:rsid w:val="00424820"/>
    <w:rPr>
      <w:sz w:val="20"/>
      <w:szCs w:val="20"/>
    </w:rPr>
  </w:style>
  <w:style w:type="character" w:customStyle="1" w:styleId="CommentTextChar">
    <w:name w:val="Comment Text Char"/>
    <w:basedOn w:val="DefaultParagraphFont"/>
    <w:link w:val="CommentText"/>
    <w:semiHidden/>
    <w:rsid w:val="00424820"/>
    <w:rPr>
      <w:rFonts w:eastAsia="BatangChe"/>
    </w:rPr>
  </w:style>
  <w:style w:type="paragraph" w:styleId="CommentSubject">
    <w:name w:val="annotation subject"/>
    <w:basedOn w:val="CommentText"/>
    <w:next w:val="CommentText"/>
    <w:link w:val="CommentSubjectChar"/>
    <w:semiHidden/>
    <w:unhideWhenUsed/>
    <w:rsid w:val="00424820"/>
    <w:rPr>
      <w:b/>
      <w:bCs/>
    </w:rPr>
  </w:style>
  <w:style w:type="character" w:customStyle="1" w:styleId="CommentSubjectChar">
    <w:name w:val="Comment Subject Char"/>
    <w:basedOn w:val="CommentTextChar"/>
    <w:link w:val="CommentSubject"/>
    <w:semiHidden/>
    <w:rsid w:val="00424820"/>
    <w:rPr>
      <w:rFonts w:eastAsia="BatangChe"/>
      <w:b/>
      <w:bCs/>
    </w:rPr>
  </w:style>
  <w:style w:type="paragraph" w:customStyle="1" w:styleId="Source">
    <w:name w:val="Source"/>
    <w:basedOn w:val="Normal"/>
    <w:qFormat/>
    <w:rsid w:val="00883FB3"/>
    <w:pPr>
      <w:spacing w:after="160" w:line="259" w:lineRule="auto"/>
      <w:jc w:val="center"/>
    </w:pPr>
    <w:rPr>
      <w:rFonts w:eastAsiaTheme="minorEastAsia"/>
      <w:lang w:eastAsia="ko-KR"/>
    </w:rPr>
  </w:style>
  <w:style w:type="paragraph" w:customStyle="1" w:styleId="DocuTitle">
    <w:name w:val="Docu Title"/>
    <w:basedOn w:val="ListParagraph"/>
    <w:qFormat/>
    <w:rsid w:val="00883FB3"/>
    <w:pPr>
      <w:spacing w:after="160" w:line="259" w:lineRule="auto"/>
      <w:ind w:left="0"/>
      <w:jc w:val="center"/>
    </w:pPr>
    <w:rPr>
      <w:rFonts w:eastAsiaTheme="minorEastAsia"/>
      <w:b/>
      <w:bCs/>
      <w:cap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F3DEF7CF315B40A36D5B07BEAE394C" ma:contentTypeVersion="0" ma:contentTypeDescription="Create a new document." ma:contentTypeScope="" ma:versionID="01b3ff7b1d2a28f35bccd67a5a625a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E1BE53-4A5E-4BE2-AA4C-383BA16EEC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96B6B3-329A-461A-BB4B-E1ADB2C3E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13624F-52DC-44E7-BF3E-6BA2EAF831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Draft - Australian contirbution - Modifications to Res 69 on facilitating creation of national CIRTs.docx</vt:lpstr>
    </vt:vector>
  </TitlesOfParts>
  <Company>APT</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Australian contirbution - Modifications to Res 69 on facilitating creation of national CIRTs.docx</dc:title>
  <dc:creator>APT</dc:creator>
  <cp:lastModifiedBy>Elisha Rajbhandari</cp:lastModifiedBy>
  <cp:revision>12</cp:revision>
  <cp:lastPrinted>2004-07-28T02:14:00Z</cp:lastPrinted>
  <dcterms:created xsi:type="dcterms:W3CDTF">2021-10-06T12:02:00Z</dcterms:created>
  <dcterms:modified xsi:type="dcterms:W3CDTF">2021-10-08T08:52:00Z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0x010100AEF3DEF7CF315B40A36D5B07BEAE394C</vt:lpwstr>
  </property>
  <property fmtid="{D5CDD505-2E9C-101B-9397-08002B2CF9AE}" pid="3" name="TrimRevisionNumber">
    <vt:i4>25</vt:i4>
  </property>
</Properties>
</file>