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DE3F" w14:textId="77777777" w:rsidR="00411D53" w:rsidRPr="00333687" w:rsidRDefault="00FF65A4" w:rsidP="00FF65A4">
      <w:pPr>
        <w:spacing w:after="120"/>
        <w:rPr>
          <w:rFonts w:cs="Times New Roman"/>
          <w:b/>
          <w:szCs w:val="24"/>
          <w:lang w:val="en-GB"/>
        </w:rPr>
      </w:pPr>
      <w:r>
        <w:t xml:space="preserve"> </w:t>
      </w:r>
      <w:r w:rsidRPr="00FF65A4">
        <w:rPr>
          <w:noProof/>
          <w:lang w:val="en-GB" w:eastAsia="en-GB"/>
        </w:rPr>
        <w:drawing>
          <wp:inline distT="0" distB="0" distL="0" distR="0" wp14:anchorId="21427FB5" wp14:editId="0F2A0538">
            <wp:extent cx="81915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731520"/>
                    </a:xfrm>
                    <a:prstGeom prst="rect">
                      <a:avLst/>
                    </a:prstGeom>
                    <a:noFill/>
                    <a:ln>
                      <a:noFill/>
                    </a:ln>
                  </pic:spPr>
                </pic:pic>
              </a:graphicData>
            </a:graphic>
          </wp:inline>
        </w:drawing>
      </w:r>
      <w:r>
        <w:t xml:space="preserve">                                                                                    </w:t>
      </w:r>
      <w:r w:rsidRPr="00FF65A4">
        <w:rPr>
          <w:noProof/>
          <w:lang w:val="en-GB" w:eastAsia="en-GB"/>
        </w:rPr>
        <w:drawing>
          <wp:inline distT="0" distB="0" distL="0" distR="0" wp14:anchorId="5A16ED3D" wp14:editId="3C982A55">
            <wp:extent cx="1865630" cy="5778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5630" cy="577850"/>
                    </a:xfrm>
                    <a:prstGeom prst="rect">
                      <a:avLst/>
                    </a:prstGeom>
                    <a:noFill/>
                    <a:ln>
                      <a:noFill/>
                    </a:ln>
                  </pic:spPr>
                </pic:pic>
              </a:graphicData>
            </a:graphic>
          </wp:inline>
        </w:drawing>
      </w:r>
    </w:p>
    <w:p w14:paraId="5AC4CE7B" w14:textId="77777777" w:rsidR="00411D53" w:rsidRPr="00333687" w:rsidRDefault="00A62DF9" w:rsidP="00DF7C3A">
      <w:pPr>
        <w:spacing w:after="120"/>
        <w:jc w:val="center"/>
        <w:rPr>
          <w:rFonts w:ascii="Gadugi" w:hAnsi="Gadugi" w:cstheme="minorHAnsi"/>
          <w:bCs/>
          <w:color w:val="2E74B5" w:themeColor="accent1" w:themeShade="BF"/>
          <w:sz w:val="40"/>
          <w:szCs w:val="24"/>
          <w:lang w:val="en-GB"/>
        </w:rPr>
      </w:pPr>
      <w:r w:rsidRPr="00333687">
        <w:rPr>
          <w:rFonts w:ascii="Gadugi" w:hAnsi="Gadugi" w:cstheme="minorHAnsi"/>
          <w:b/>
          <w:bCs/>
          <w:color w:val="2E74B5" w:themeColor="accent1" w:themeShade="BF"/>
          <w:sz w:val="40"/>
          <w:szCs w:val="24"/>
          <w:lang w:val="en-GB"/>
        </w:rPr>
        <w:t>Connectivity for all</w:t>
      </w:r>
      <w:r w:rsidR="00411D53" w:rsidRPr="00333687">
        <w:rPr>
          <w:rFonts w:ascii="Gadugi" w:hAnsi="Gadugi" w:cstheme="minorHAnsi"/>
          <w:b/>
          <w:bCs/>
          <w:color w:val="2E74B5" w:themeColor="accent1" w:themeShade="BF"/>
          <w:sz w:val="40"/>
          <w:szCs w:val="24"/>
          <w:lang w:val="en-GB"/>
        </w:rPr>
        <w:t>: Insights for Asia Pacific</w:t>
      </w:r>
      <w:r w:rsidR="007049FC" w:rsidRPr="00333687">
        <w:rPr>
          <w:rFonts w:ascii="Gadugi" w:hAnsi="Gadugi" w:cstheme="minorHAnsi"/>
          <w:b/>
          <w:bCs/>
          <w:color w:val="2E74B5" w:themeColor="accent1" w:themeShade="BF"/>
          <w:sz w:val="40"/>
          <w:szCs w:val="24"/>
          <w:lang w:val="en-GB"/>
        </w:rPr>
        <w:t xml:space="preserve"> </w:t>
      </w:r>
      <w:r w:rsidRPr="00333687">
        <w:rPr>
          <w:rFonts w:ascii="Gadugi" w:hAnsi="Gadugi" w:cstheme="minorHAnsi"/>
          <w:bCs/>
          <w:color w:val="2E74B5" w:themeColor="accent1" w:themeShade="BF"/>
          <w:sz w:val="40"/>
          <w:szCs w:val="24"/>
          <w:lang w:val="en-GB"/>
        </w:rPr>
        <w:t xml:space="preserve"> </w:t>
      </w:r>
    </w:p>
    <w:p w14:paraId="4B323C58" w14:textId="77777777" w:rsidR="00B2502D" w:rsidRDefault="00A62DF9" w:rsidP="00411D53">
      <w:pPr>
        <w:spacing w:after="120"/>
        <w:jc w:val="center"/>
        <w:rPr>
          <w:rFonts w:asciiTheme="minorHAnsi" w:hAnsiTheme="minorHAnsi" w:cstheme="minorHAnsi"/>
          <w:b/>
          <w:szCs w:val="24"/>
          <w:lang w:val="en-GB"/>
        </w:rPr>
      </w:pPr>
      <w:r w:rsidRPr="00333687">
        <w:rPr>
          <w:rFonts w:asciiTheme="minorHAnsi" w:hAnsiTheme="minorHAnsi" w:cstheme="minorHAnsi"/>
          <w:b/>
          <w:bCs/>
          <w:szCs w:val="24"/>
          <w:lang w:val="en-GB"/>
        </w:rPr>
        <w:t>Joint</w:t>
      </w:r>
      <w:r w:rsidR="00411D53" w:rsidRPr="00333687">
        <w:rPr>
          <w:rFonts w:asciiTheme="minorHAnsi" w:hAnsiTheme="minorHAnsi" w:cstheme="minorHAnsi"/>
          <w:b/>
          <w:bCs/>
          <w:szCs w:val="24"/>
          <w:lang w:val="en-GB"/>
        </w:rPr>
        <w:t xml:space="preserve"> APT-OECD back-to-back Workshop</w:t>
      </w:r>
      <w:r w:rsidR="00411D53" w:rsidRPr="00333687">
        <w:rPr>
          <w:rFonts w:asciiTheme="minorHAnsi" w:hAnsiTheme="minorHAnsi" w:cstheme="minorHAnsi"/>
          <w:b/>
          <w:szCs w:val="24"/>
          <w:lang w:val="en-GB"/>
        </w:rPr>
        <w:t xml:space="preserve"> with </w:t>
      </w:r>
    </w:p>
    <w:p w14:paraId="6141D8E1" w14:textId="77777777" w:rsidR="00A62DF9" w:rsidRPr="00A06433" w:rsidRDefault="00716E48" w:rsidP="00411D53">
      <w:pPr>
        <w:spacing w:after="120"/>
        <w:jc w:val="center"/>
        <w:rPr>
          <w:rFonts w:asciiTheme="minorHAnsi" w:hAnsiTheme="minorHAnsi" w:cstheme="minorBidi"/>
          <w:b/>
          <w:bCs/>
          <w:szCs w:val="30"/>
          <w:cs/>
          <w:lang w:val="en-GB" w:bidi="th-TH"/>
        </w:rPr>
      </w:pPr>
      <w:r>
        <w:rPr>
          <w:rFonts w:asciiTheme="minorHAnsi" w:hAnsiTheme="minorHAnsi" w:cstheme="minorHAnsi"/>
          <w:b/>
          <w:szCs w:val="24"/>
          <w:lang w:val="en-GB"/>
        </w:rPr>
        <w:t>t</w:t>
      </w:r>
      <w:r w:rsidR="00411D53" w:rsidRPr="00333687">
        <w:rPr>
          <w:rFonts w:asciiTheme="minorHAnsi" w:hAnsiTheme="minorHAnsi" w:cstheme="minorHAnsi"/>
          <w:b/>
          <w:szCs w:val="24"/>
          <w:lang w:val="en-GB"/>
        </w:rPr>
        <w:t>he 22nd APT Policy and Regulatory Forum</w:t>
      </w:r>
      <w:r w:rsidR="00411D53" w:rsidRPr="00333687">
        <w:rPr>
          <w:rFonts w:asciiTheme="minorHAnsi" w:hAnsiTheme="minorHAnsi" w:cstheme="minorHAnsi"/>
          <w:b/>
          <w:bCs/>
          <w:szCs w:val="24"/>
          <w:cs/>
          <w:lang w:val="en-GB" w:bidi="th-TH"/>
        </w:rPr>
        <w:t xml:space="preserve"> </w:t>
      </w:r>
      <w:r w:rsidR="00411D53" w:rsidRPr="00333687">
        <w:rPr>
          <w:rFonts w:asciiTheme="minorHAnsi" w:hAnsiTheme="minorHAnsi" w:cstheme="minorHAnsi"/>
          <w:b/>
          <w:bCs/>
          <w:szCs w:val="24"/>
          <w:lang w:val="en-GB"/>
        </w:rPr>
        <w:t>(PRF-22)</w:t>
      </w:r>
    </w:p>
    <w:p w14:paraId="362A1292" w14:textId="77777777" w:rsidR="00A62DF9" w:rsidRPr="00333687" w:rsidRDefault="00A62DF9" w:rsidP="00411D53">
      <w:pPr>
        <w:spacing w:after="120" w:line="360" w:lineRule="auto"/>
        <w:jc w:val="center"/>
        <w:rPr>
          <w:rFonts w:asciiTheme="minorHAnsi" w:hAnsiTheme="minorHAnsi" w:cstheme="minorHAnsi"/>
          <w:szCs w:val="24"/>
          <w:lang w:val="en-GB" w:bidi="th-TH"/>
        </w:rPr>
      </w:pPr>
      <w:r w:rsidRPr="00333687">
        <w:rPr>
          <w:rFonts w:asciiTheme="minorHAnsi" w:hAnsiTheme="minorHAnsi" w:cstheme="minorHAnsi"/>
          <w:szCs w:val="24"/>
          <w:lang w:val="en-GB" w:bidi="th-TH"/>
        </w:rPr>
        <w:t>21 July 2022, Bangkok, Thailand (Hybrid)</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411D53" w:rsidRPr="00333687" w14:paraId="2055F8F5" w14:textId="77777777" w:rsidTr="00E265DC">
        <w:tc>
          <w:tcPr>
            <w:tcW w:w="9782" w:type="dxa"/>
            <w:shd w:val="clear" w:color="auto" w:fill="002060"/>
          </w:tcPr>
          <w:p w14:paraId="071734EC" w14:textId="77777777" w:rsidR="00411D53" w:rsidRPr="00333687" w:rsidRDefault="00411D53" w:rsidP="000316EF">
            <w:pPr>
              <w:spacing w:before="60" w:after="60"/>
              <w:jc w:val="both"/>
              <w:rPr>
                <w:rFonts w:ascii="Gadugi" w:hAnsi="Gadugi" w:cs="MyriadPro-Regular"/>
                <w:b/>
                <w:bCs/>
                <w:color w:val="FFFFFF" w:themeColor="background1"/>
                <w:sz w:val="28"/>
                <w:szCs w:val="28"/>
                <w:lang w:val="en-GB"/>
              </w:rPr>
            </w:pPr>
            <w:r w:rsidRPr="00333687">
              <w:rPr>
                <w:rFonts w:ascii="Gadugi" w:hAnsi="Gadugi" w:cs="MyriadPro-Regular"/>
                <w:b/>
                <w:bCs/>
                <w:color w:val="FFFFFF" w:themeColor="background1"/>
                <w:sz w:val="28"/>
                <w:szCs w:val="28"/>
                <w:lang w:val="en-GB"/>
              </w:rPr>
              <w:t>CONTEXT</w:t>
            </w:r>
          </w:p>
        </w:tc>
      </w:tr>
    </w:tbl>
    <w:p w14:paraId="1D3CA3D3" w14:textId="77777777" w:rsidR="00333687" w:rsidRPr="00333687" w:rsidRDefault="00333687" w:rsidP="00E265DC">
      <w:pPr>
        <w:widowControl w:val="0"/>
        <w:tabs>
          <w:tab w:val="left" w:pos="415"/>
        </w:tabs>
        <w:autoSpaceDE w:val="0"/>
        <w:autoSpaceDN w:val="0"/>
        <w:spacing w:before="240"/>
        <w:outlineLvl w:val="0"/>
        <w:rPr>
          <w:rFonts w:ascii="Gadugi" w:eastAsia="Century Gothic" w:hAnsi="Gadugi" w:cs="Century Gothic"/>
          <w:b/>
          <w:color w:val="2E6CA4"/>
          <w:szCs w:val="24"/>
          <w:lang w:val="en-GB"/>
        </w:rPr>
      </w:pPr>
      <w:r w:rsidRPr="00333687">
        <w:rPr>
          <w:rFonts w:ascii="Gadugi" w:eastAsia="Century Gothic" w:hAnsi="Gadugi" w:cs="Century Gothic"/>
          <w:b/>
          <w:color w:val="2E6CA4"/>
          <w:szCs w:val="24"/>
          <w:lang w:val="en-GB"/>
        </w:rPr>
        <w:t>The APT and the OECD share a goal of improving connectivity</w:t>
      </w:r>
    </w:p>
    <w:p w14:paraId="3A65A0CE" w14:textId="3102EDBE" w:rsidR="00333687" w:rsidRPr="00333687" w:rsidRDefault="00333687" w:rsidP="00333687">
      <w:pPr>
        <w:widowControl w:val="0"/>
        <w:autoSpaceDE w:val="0"/>
        <w:autoSpaceDN w:val="0"/>
        <w:spacing w:before="120" w:after="120"/>
        <w:ind w:right="40"/>
        <w:jc w:val="both"/>
        <w:rPr>
          <w:rFonts w:ascii="Gadugi" w:eastAsia="Century Gothic" w:hAnsi="Gadugi" w:cs="Century Gothic"/>
          <w:sz w:val="20"/>
          <w:szCs w:val="20"/>
          <w:lang w:val="en-GB"/>
        </w:rPr>
      </w:pPr>
      <w:r w:rsidRPr="00333687">
        <w:rPr>
          <w:rFonts w:ascii="Gadugi" w:eastAsia="Century Gothic" w:hAnsi="Gadugi" w:cs="Century Gothic"/>
          <w:sz w:val="20"/>
          <w:szCs w:val="20"/>
          <w:lang w:val="en-GB"/>
        </w:rPr>
        <w:t xml:space="preserve">The </w:t>
      </w:r>
      <w:hyperlink r:id="rId15" w:history="1">
        <w:r w:rsidRPr="00333687">
          <w:rPr>
            <w:rStyle w:val="Hyperlink"/>
            <w:rFonts w:ascii="Gadugi" w:eastAsia="Century Gothic" w:hAnsi="Gadugi" w:cs="Century Gothic"/>
            <w:b/>
            <w:sz w:val="20"/>
            <w:szCs w:val="20"/>
            <w:lang w:val="en-GB"/>
          </w:rPr>
          <w:t>Asia-Pacific Telecommunity (APT)</w:t>
        </w:r>
      </w:hyperlink>
      <w:r w:rsidRPr="00333687">
        <w:rPr>
          <w:rFonts w:ascii="Gadugi" w:eastAsia="Century Gothic" w:hAnsi="Gadugi" w:cs="Century Gothic"/>
          <w:sz w:val="20"/>
          <w:szCs w:val="20"/>
          <w:lang w:val="en-GB"/>
        </w:rPr>
        <w:t xml:space="preserve"> is an intergovernmental organization with 38 member countries and </w:t>
      </w:r>
      <w:r w:rsidR="004832E1">
        <w:rPr>
          <w:rFonts w:ascii="Gadugi" w:eastAsia="Century Gothic" w:hAnsi="Gadugi" w:cs="Century Gothic"/>
          <w:sz w:val="20"/>
          <w:szCs w:val="20"/>
          <w:lang w:val="en-GB"/>
        </w:rPr>
        <w:t>4</w:t>
      </w:r>
      <w:r w:rsidRPr="00333687">
        <w:rPr>
          <w:rFonts w:ascii="Gadugi" w:eastAsia="Century Gothic" w:hAnsi="Gadugi" w:cs="Century Gothic"/>
          <w:sz w:val="20"/>
          <w:szCs w:val="20"/>
          <w:lang w:val="en-GB"/>
        </w:rPr>
        <w:t xml:space="preserve"> Associate Members spanning the Asia</w:t>
      </w:r>
      <w:r w:rsidR="00272705">
        <w:rPr>
          <w:rFonts w:ascii="Gadugi" w:eastAsia="Century Gothic" w:hAnsi="Gadugi" w:cs="Century Gothic"/>
          <w:sz w:val="20"/>
          <w:szCs w:val="20"/>
          <w:lang w:val="en-GB"/>
        </w:rPr>
        <w:t xml:space="preserve"> </w:t>
      </w:r>
      <w:r w:rsidRPr="00333687">
        <w:rPr>
          <w:rFonts w:ascii="Gadugi" w:eastAsia="Century Gothic" w:hAnsi="Gadugi" w:cs="Century Gothic"/>
          <w:sz w:val="20"/>
          <w:szCs w:val="20"/>
          <w:lang w:val="en-GB"/>
        </w:rPr>
        <w:t>Pacific region, as well as over 100 private companies and academi</w:t>
      </w:r>
      <w:r>
        <w:rPr>
          <w:rFonts w:ascii="Gadugi" w:eastAsia="Century Gothic" w:hAnsi="Gadugi" w:cs="Century Gothic"/>
          <w:sz w:val="20"/>
          <w:szCs w:val="20"/>
          <w:lang w:val="en-GB"/>
        </w:rPr>
        <w:t>c institutions</w:t>
      </w:r>
      <w:r w:rsidRPr="00333687">
        <w:rPr>
          <w:rFonts w:ascii="Gadugi" w:eastAsia="Century Gothic" w:hAnsi="Gadugi" w:cs="Century Gothic"/>
          <w:sz w:val="20"/>
          <w:szCs w:val="20"/>
          <w:lang w:val="en-GB"/>
        </w:rPr>
        <w:t xml:space="preserve"> </w:t>
      </w:r>
      <w:r>
        <w:rPr>
          <w:rFonts w:ascii="Gadugi" w:eastAsia="Century Gothic" w:hAnsi="Gadugi" w:cs="Century Gothic"/>
          <w:sz w:val="20"/>
          <w:szCs w:val="20"/>
          <w:lang w:val="en-GB"/>
        </w:rPr>
        <w:t>that are</w:t>
      </w:r>
      <w:r w:rsidRPr="00333687">
        <w:rPr>
          <w:rFonts w:ascii="Gadugi" w:eastAsia="Century Gothic" w:hAnsi="Gadugi" w:cs="Century Gothic"/>
          <w:sz w:val="20"/>
          <w:szCs w:val="20"/>
          <w:lang w:val="en-GB"/>
        </w:rPr>
        <w:t xml:space="preserve"> Affiliate Members. The APT provides a unique platform for regional exchange and for policy and regulatory coordination on ICT topics</w:t>
      </w:r>
      <w:r>
        <w:rPr>
          <w:rFonts w:ascii="Gadugi" w:eastAsia="Century Gothic" w:hAnsi="Gadugi" w:cs="Century Gothic"/>
          <w:sz w:val="20"/>
          <w:szCs w:val="20"/>
          <w:lang w:val="en-GB"/>
        </w:rPr>
        <w:t xml:space="preserve">. </w:t>
      </w:r>
      <w:r w:rsidRPr="00333687">
        <w:rPr>
          <w:rFonts w:ascii="Gadugi" w:eastAsia="Century Gothic" w:hAnsi="Gadugi" w:cs="Century Gothic"/>
          <w:sz w:val="20"/>
          <w:szCs w:val="20"/>
          <w:lang w:val="en-GB"/>
        </w:rPr>
        <w:t xml:space="preserve">One of the overarching goals of the APT, as outlined in its </w:t>
      </w:r>
      <w:hyperlink r:id="rId16" w:history="1">
        <w:r w:rsidRPr="00333687">
          <w:rPr>
            <w:rStyle w:val="Hyperlink"/>
            <w:rFonts w:ascii="Gadugi" w:eastAsia="Century Gothic" w:hAnsi="Gadugi" w:cs="Century Gothic"/>
            <w:sz w:val="20"/>
            <w:szCs w:val="20"/>
            <w:lang w:val="en-GB"/>
          </w:rPr>
          <w:t>Strategic Plan for 2021-2023</w:t>
        </w:r>
      </w:hyperlink>
      <w:r w:rsidRPr="00333687">
        <w:rPr>
          <w:rFonts w:ascii="Gadugi" w:eastAsia="Century Gothic" w:hAnsi="Gadugi" w:cs="Century Gothic"/>
          <w:sz w:val="20"/>
          <w:szCs w:val="20"/>
          <w:lang w:val="en-GB"/>
        </w:rPr>
        <w:t xml:space="preserve">, seeks “to accelerate the digital transformation of the </w:t>
      </w:r>
      <w:r w:rsidR="00272705">
        <w:rPr>
          <w:rFonts w:ascii="Gadugi" w:eastAsia="Century Gothic" w:hAnsi="Gadugi" w:cs="Century Gothic"/>
          <w:sz w:val="20"/>
          <w:szCs w:val="20"/>
          <w:lang w:val="en-GB"/>
        </w:rPr>
        <w:t xml:space="preserve">economy and society in the Asia </w:t>
      </w:r>
      <w:r w:rsidRPr="00333687">
        <w:rPr>
          <w:rFonts w:ascii="Gadugi" w:eastAsia="Century Gothic" w:hAnsi="Gadugi" w:cs="Century Gothic"/>
          <w:sz w:val="20"/>
          <w:szCs w:val="20"/>
          <w:lang w:val="en-GB"/>
        </w:rPr>
        <w:t xml:space="preserve">Pacific region by realizing the benefits of telecommunication/ICT and coping with the challenges of rapidly evolving telecommunication/ICT environments”. Connectivity is an underlying pillar to support this overarching goal, as the digital transformation is not </w:t>
      </w:r>
      <w:r w:rsidRPr="00333687">
        <w:rPr>
          <w:rFonts w:ascii="Gadugi" w:hAnsi="Gadugi"/>
          <w:sz w:val="20"/>
          <w:lang w:val="en-GB"/>
        </w:rPr>
        <w:t>possible without reliable connectivity</w:t>
      </w:r>
      <w:r w:rsidRPr="00333687">
        <w:rPr>
          <w:rFonts w:ascii="Gadugi" w:eastAsia="Century Gothic" w:hAnsi="Gadugi" w:cs="Century Gothic"/>
          <w:sz w:val="20"/>
          <w:szCs w:val="20"/>
          <w:lang w:val="en-GB"/>
        </w:rPr>
        <w:t xml:space="preserve">. Indeed, connectivity is the first of five strategic pillars outlined in the plan, underlining the importance the APT places on improving connectivity. </w:t>
      </w:r>
    </w:p>
    <w:p w14:paraId="67D6DFCB" w14:textId="77777777" w:rsidR="00333687" w:rsidRPr="00333687" w:rsidRDefault="00333687" w:rsidP="00333687">
      <w:pPr>
        <w:spacing w:after="120"/>
        <w:jc w:val="both"/>
        <w:rPr>
          <w:rFonts w:ascii="Gadugi" w:eastAsiaTheme="minorEastAsia" w:hAnsi="Gadugi" w:cstheme="minorBidi"/>
          <w:color w:val="000000" w:themeColor="text1"/>
          <w:kern w:val="24"/>
          <w:sz w:val="20"/>
          <w:szCs w:val="20"/>
          <w:lang w:val="en-GB"/>
        </w:rPr>
      </w:pPr>
      <w:r w:rsidRPr="00333687">
        <w:rPr>
          <w:rFonts w:ascii="Gadugi" w:eastAsia="Century Gothic" w:hAnsi="Gadugi" w:cs="Century Gothic"/>
          <w:sz w:val="20"/>
          <w:szCs w:val="20"/>
          <w:lang w:val="en-GB"/>
        </w:rPr>
        <w:t xml:space="preserve">The </w:t>
      </w:r>
      <w:hyperlink r:id="rId17" w:history="1">
        <w:r w:rsidRPr="00333687">
          <w:rPr>
            <w:rStyle w:val="Hyperlink"/>
            <w:rFonts w:ascii="Gadugi" w:eastAsia="Century Gothic" w:hAnsi="Gadugi" w:cs="Century Gothic"/>
            <w:b/>
            <w:bCs/>
            <w:sz w:val="20"/>
            <w:szCs w:val="20"/>
            <w:lang w:val="en-GB"/>
          </w:rPr>
          <w:t>Organisation for Economic Co-operation and Development (OECD)</w:t>
        </w:r>
      </w:hyperlink>
      <w:r w:rsidRPr="00333687">
        <w:rPr>
          <w:rFonts w:ascii="Gadugi" w:eastAsia="Century Gothic" w:hAnsi="Gadugi" w:cs="Century Gothic"/>
          <w:b/>
          <w:bCs/>
          <w:sz w:val="20"/>
          <w:szCs w:val="20"/>
          <w:lang w:val="en-GB"/>
        </w:rPr>
        <w:t xml:space="preserve"> </w:t>
      </w:r>
      <w:r w:rsidRPr="00333687">
        <w:rPr>
          <w:rFonts w:ascii="Gadugi" w:eastAsia="Century Gothic" w:hAnsi="Gadugi" w:cs="Century Gothic"/>
          <w:sz w:val="20"/>
          <w:szCs w:val="20"/>
          <w:lang w:val="en-GB"/>
        </w:rPr>
        <w:t>is an international organisation with 38 member countries spanning Europe, the Americas and Asia. Four countries are members of both the APT and the OECD</w:t>
      </w:r>
      <w:r>
        <w:rPr>
          <w:rFonts w:ascii="Gadugi" w:eastAsia="Century Gothic" w:hAnsi="Gadugi" w:cs="Century Gothic"/>
          <w:sz w:val="20"/>
          <w:szCs w:val="20"/>
          <w:lang w:val="en-GB"/>
        </w:rPr>
        <w:t>:</w:t>
      </w:r>
      <w:r w:rsidRPr="00333687">
        <w:rPr>
          <w:rFonts w:ascii="Gadugi" w:eastAsia="Century Gothic" w:hAnsi="Gadugi" w:cs="Century Gothic"/>
          <w:sz w:val="20"/>
          <w:szCs w:val="20"/>
          <w:lang w:val="en-GB"/>
        </w:rPr>
        <w:t xml:space="preserve"> </w:t>
      </w:r>
      <w:r w:rsidRPr="00333687">
        <w:rPr>
          <w:rFonts w:ascii="Gadugi" w:eastAsiaTheme="minorEastAsia" w:hAnsi="Gadugi" w:cstheme="minorBidi"/>
          <w:color w:val="000000" w:themeColor="text1"/>
          <w:kern w:val="24"/>
          <w:sz w:val="20"/>
          <w:szCs w:val="20"/>
          <w:lang w:val="en-GB"/>
        </w:rPr>
        <w:t xml:space="preserve">Australia, Japan, </w:t>
      </w:r>
      <w:proofErr w:type="gramStart"/>
      <w:r w:rsidRPr="00333687">
        <w:rPr>
          <w:rFonts w:ascii="Gadugi" w:eastAsiaTheme="minorEastAsia" w:hAnsi="Gadugi" w:cstheme="minorBidi"/>
          <w:color w:val="000000" w:themeColor="text1"/>
          <w:kern w:val="24"/>
          <w:sz w:val="20"/>
          <w:szCs w:val="20"/>
          <w:lang w:val="en-GB"/>
        </w:rPr>
        <w:t>Korea</w:t>
      </w:r>
      <w:proofErr w:type="gramEnd"/>
      <w:r w:rsidRPr="00333687">
        <w:rPr>
          <w:rFonts w:ascii="Gadugi" w:eastAsiaTheme="minorEastAsia" w:hAnsi="Gadugi" w:cstheme="minorBidi"/>
          <w:color w:val="000000" w:themeColor="text1"/>
          <w:kern w:val="24"/>
          <w:sz w:val="20"/>
          <w:szCs w:val="20"/>
          <w:lang w:val="en-GB"/>
        </w:rPr>
        <w:t xml:space="preserve"> and New Zealand</w:t>
      </w:r>
      <w:r>
        <w:rPr>
          <w:rFonts w:ascii="Gadugi" w:eastAsiaTheme="minorEastAsia" w:hAnsi="Gadugi" w:cstheme="minorBidi"/>
          <w:color w:val="000000" w:themeColor="text1"/>
          <w:kern w:val="24"/>
          <w:sz w:val="20"/>
          <w:szCs w:val="20"/>
          <w:lang w:val="en-GB"/>
        </w:rPr>
        <w:t>. The OECD has additional</w:t>
      </w:r>
      <w:r w:rsidRPr="00333687">
        <w:rPr>
          <w:rFonts w:ascii="Gadugi" w:eastAsiaTheme="minorEastAsia" w:hAnsi="Gadugi" w:cstheme="minorBidi"/>
          <w:color w:val="000000" w:themeColor="text1"/>
          <w:kern w:val="24"/>
          <w:sz w:val="20"/>
          <w:szCs w:val="20"/>
          <w:lang w:val="en-GB"/>
        </w:rPr>
        <w:t xml:space="preserve"> connections</w:t>
      </w:r>
      <w:r>
        <w:rPr>
          <w:rFonts w:ascii="Gadugi" w:eastAsiaTheme="minorEastAsia" w:hAnsi="Gadugi" w:cstheme="minorBidi"/>
          <w:color w:val="000000" w:themeColor="text1"/>
          <w:kern w:val="24"/>
          <w:sz w:val="20"/>
          <w:szCs w:val="20"/>
          <w:lang w:val="en-GB"/>
        </w:rPr>
        <w:t xml:space="preserve"> with</w:t>
      </w:r>
      <w:r w:rsidRPr="00333687">
        <w:rPr>
          <w:rFonts w:ascii="Gadugi" w:eastAsiaTheme="minorEastAsia" w:hAnsi="Gadugi" w:cstheme="minorBidi"/>
          <w:color w:val="000000" w:themeColor="text1"/>
          <w:kern w:val="24"/>
          <w:sz w:val="20"/>
          <w:szCs w:val="20"/>
          <w:lang w:val="en-GB"/>
        </w:rPr>
        <w:t xml:space="preserve"> APT members. For example, China, </w:t>
      </w:r>
      <w:proofErr w:type="gramStart"/>
      <w:r w:rsidRPr="00333687">
        <w:rPr>
          <w:rFonts w:ascii="Gadugi" w:eastAsiaTheme="minorEastAsia" w:hAnsi="Gadugi" w:cstheme="minorBidi"/>
          <w:color w:val="000000" w:themeColor="text1"/>
          <w:kern w:val="24"/>
          <w:sz w:val="20"/>
          <w:szCs w:val="20"/>
          <w:lang w:val="en-GB"/>
        </w:rPr>
        <w:t>India</w:t>
      </w:r>
      <w:proofErr w:type="gramEnd"/>
      <w:r w:rsidRPr="00333687">
        <w:rPr>
          <w:rFonts w:ascii="Gadugi" w:eastAsiaTheme="minorEastAsia" w:hAnsi="Gadugi" w:cstheme="minorBidi"/>
          <w:color w:val="000000" w:themeColor="text1"/>
          <w:kern w:val="24"/>
          <w:sz w:val="20"/>
          <w:szCs w:val="20"/>
          <w:lang w:val="en-GB"/>
        </w:rPr>
        <w:t xml:space="preserve"> and Indonesia are key partner countries of the OECD and Thailand and Singapore actively participate in OECD meetings. Furthermore, the OECD has </w:t>
      </w:r>
      <w:hyperlink r:id="rId18" w:history="1">
        <w:r w:rsidRPr="00333687">
          <w:rPr>
            <w:rStyle w:val="Hyperlink"/>
            <w:rFonts w:ascii="Gadugi" w:eastAsiaTheme="minorEastAsia" w:hAnsi="Gadugi" w:cstheme="minorBidi"/>
            <w:kern w:val="24"/>
            <w:sz w:val="20"/>
            <w:szCs w:val="20"/>
            <w:lang w:val="en-GB"/>
          </w:rPr>
          <w:t>regional initiatives</w:t>
        </w:r>
      </w:hyperlink>
      <w:r w:rsidRPr="00333687">
        <w:rPr>
          <w:rFonts w:ascii="Gadugi" w:eastAsiaTheme="minorEastAsia" w:hAnsi="Gadugi" w:cstheme="minorBidi"/>
          <w:color w:val="000000" w:themeColor="text1"/>
          <w:kern w:val="24"/>
          <w:sz w:val="20"/>
          <w:szCs w:val="20"/>
          <w:lang w:val="en-GB"/>
        </w:rPr>
        <w:t xml:space="preserve"> focusing on Southeast Asia, as well as a country programme with </w:t>
      </w:r>
      <w:hyperlink r:id="rId19" w:history="1">
        <w:r w:rsidRPr="00333687">
          <w:rPr>
            <w:rStyle w:val="Hyperlink"/>
            <w:rFonts w:ascii="Gadugi" w:eastAsiaTheme="minorEastAsia" w:hAnsi="Gadugi" w:cstheme="minorBidi"/>
            <w:kern w:val="24"/>
            <w:sz w:val="20"/>
            <w:szCs w:val="20"/>
            <w:lang w:val="en-GB"/>
          </w:rPr>
          <w:t>Thailand</w:t>
        </w:r>
      </w:hyperlink>
      <w:r w:rsidRPr="00333687">
        <w:rPr>
          <w:rFonts w:ascii="Gadugi" w:eastAsiaTheme="minorEastAsia" w:hAnsi="Gadugi" w:cstheme="minorBidi"/>
          <w:color w:val="000000" w:themeColor="text1"/>
          <w:kern w:val="24"/>
          <w:sz w:val="20"/>
          <w:szCs w:val="20"/>
          <w:lang w:val="en-GB"/>
        </w:rPr>
        <w:t xml:space="preserve">. </w:t>
      </w:r>
    </w:p>
    <w:p w14:paraId="39544A3C" w14:textId="77777777" w:rsidR="00333687" w:rsidRPr="00804736" w:rsidRDefault="00333687" w:rsidP="00804736">
      <w:pPr>
        <w:jc w:val="both"/>
        <w:rPr>
          <w:rFonts w:ascii="Gadugi" w:hAnsi="Gadugi"/>
          <w:b/>
          <w:color w:val="2E6CA4"/>
          <w:sz w:val="20"/>
          <w:szCs w:val="20"/>
          <w:lang w:val="en-GB"/>
        </w:rPr>
      </w:pPr>
      <w:r w:rsidRPr="00804736">
        <w:rPr>
          <w:rFonts w:ascii="Gadugi" w:hAnsi="Gadugi"/>
          <w:sz w:val="20"/>
          <w:szCs w:val="20"/>
          <w:lang w:val="en-GB"/>
        </w:rPr>
        <w:t>A key goal of the OECD is to help create “better policies for better lives” by providing a unique forum to allow countries to exchange experiences and by developing a knowledge hub of evidence-based analysis and public policy advice. The OECD’s work covers a range of policy topics, including the digital economy, of which communication issues are of central importance. The OECD has worked for many years on developing evidence-based policies to maximise the benefits of the digital transform</w:t>
      </w:r>
      <w:r w:rsidR="00804736" w:rsidRPr="00804736">
        <w:rPr>
          <w:rFonts w:ascii="Gadugi" w:hAnsi="Gadugi"/>
          <w:sz w:val="20"/>
          <w:szCs w:val="20"/>
          <w:lang w:val="en-GB"/>
        </w:rPr>
        <w:t>ation</w:t>
      </w:r>
      <w:r w:rsidRPr="00804736">
        <w:rPr>
          <w:rFonts w:ascii="Gadugi" w:hAnsi="Gadugi"/>
          <w:sz w:val="20"/>
          <w:szCs w:val="20"/>
          <w:lang w:val="en-GB"/>
        </w:rPr>
        <w:t xml:space="preserve">, including </w:t>
      </w:r>
      <w:r w:rsidR="00272705" w:rsidRPr="00804736">
        <w:rPr>
          <w:rFonts w:ascii="Gadugi" w:hAnsi="Gadugi"/>
          <w:sz w:val="20"/>
          <w:szCs w:val="20"/>
          <w:lang w:val="en-GB"/>
        </w:rPr>
        <w:t>expanding and improving</w:t>
      </w:r>
      <w:r w:rsidRPr="00804736">
        <w:rPr>
          <w:rFonts w:ascii="Gadugi" w:hAnsi="Gadugi"/>
          <w:sz w:val="20"/>
          <w:szCs w:val="20"/>
          <w:lang w:val="en-GB"/>
        </w:rPr>
        <w:t xml:space="preserve"> broadband connectivity. In 2021, the OECD adopted the </w:t>
      </w:r>
      <w:hyperlink r:id="rId20" w:history="1">
        <w:r w:rsidRPr="00804736">
          <w:rPr>
            <w:rStyle w:val="Hyperlink"/>
            <w:rFonts w:ascii="Gadugi" w:hAnsi="Gadugi"/>
            <w:sz w:val="20"/>
            <w:szCs w:val="20"/>
            <w:lang w:val="en-GB"/>
          </w:rPr>
          <w:t>Recommendation on Broadband Connectivity</w:t>
        </w:r>
      </w:hyperlink>
      <w:r w:rsidRPr="00804736">
        <w:rPr>
          <w:rFonts w:ascii="Gadugi" w:hAnsi="Gadugi"/>
          <w:sz w:val="20"/>
          <w:szCs w:val="20"/>
          <w:lang w:val="en-GB"/>
        </w:rPr>
        <w:t>, which offers a policy and regulation roadmap of overarching principles to</w:t>
      </w:r>
      <w:r w:rsidR="00804736" w:rsidRPr="00804736">
        <w:rPr>
          <w:rFonts w:ascii="Gadugi" w:hAnsi="Gadugi"/>
          <w:sz w:val="20"/>
          <w:szCs w:val="20"/>
          <w:lang w:val="en-GB"/>
        </w:rPr>
        <w:t xml:space="preserve"> follow, which will help countries</w:t>
      </w:r>
      <w:r w:rsidRPr="00804736">
        <w:rPr>
          <w:rFonts w:ascii="Gadugi" w:hAnsi="Gadugi"/>
          <w:sz w:val="20"/>
          <w:szCs w:val="20"/>
          <w:lang w:val="en-GB"/>
        </w:rPr>
        <w:t xml:space="preserve"> </w:t>
      </w:r>
      <w:r w:rsidR="00804736" w:rsidRPr="00804736">
        <w:rPr>
          <w:rFonts w:ascii="Gadugi" w:hAnsi="Gadugi"/>
          <w:sz w:val="20"/>
          <w:szCs w:val="20"/>
          <w:lang w:val="en-GB"/>
        </w:rPr>
        <w:t>extend</w:t>
      </w:r>
      <w:r w:rsidRPr="00804736">
        <w:rPr>
          <w:rFonts w:ascii="Gadugi" w:hAnsi="Gadugi"/>
          <w:sz w:val="20"/>
          <w:szCs w:val="20"/>
          <w:lang w:val="en-GB"/>
        </w:rPr>
        <w:t xml:space="preserve"> conn</w:t>
      </w:r>
      <w:r w:rsidR="00804736" w:rsidRPr="00804736">
        <w:rPr>
          <w:rFonts w:ascii="Gadugi" w:hAnsi="Gadugi"/>
          <w:sz w:val="20"/>
          <w:szCs w:val="20"/>
          <w:lang w:val="en-GB"/>
        </w:rPr>
        <w:t>ectivity and improve</w:t>
      </w:r>
      <w:r w:rsidRPr="00804736">
        <w:rPr>
          <w:rFonts w:ascii="Gadugi" w:hAnsi="Gadugi"/>
          <w:sz w:val="20"/>
          <w:szCs w:val="20"/>
          <w:lang w:val="en-GB"/>
        </w:rPr>
        <w:t xml:space="preserve"> the quality of broadband networks. The Recommendation provides a reference for policy makers and regulatory authorities, within and outside of the OECD, to unleash the full potential of connectivity for the digital transformation and to ensure equal access for all users</w:t>
      </w:r>
      <w:r w:rsidR="00804736" w:rsidRPr="00804736">
        <w:rPr>
          <w:rFonts w:ascii="Gadugi" w:hAnsi="Gadugi"/>
          <w:sz w:val="20"/>
          <w:szCs w:val="20"/>
          <w:lang w:val="en-GB"/>
        </w:rPr>
        <w:t>.</w:t>
      </w:r>
    </w:p>
    <w:p w14:paraId="71B0B151" w14:textId="77777777" w:rsidR="00E265DC" w:rsidRPr="00333687" w:rsidRDefault="00C218CB" w:rsidP="00E265DC">
      <w:pPr>
        <w:widowControl w:val="0"/>
        <w:tabs>
          <w:tab w:val="left" w:pos="415"/>
        </w:tabs>
        <w:autoSpaceDE w:val="0"/>
        <w:autoSpaceDN w:val="0"/>
        <w:spacing w:before="240"/>
        <w:outlineLvl w:val="0"/>
        <w:rPr>
          <w:rFonts w:ascii="Gadugi" w:eastAsia="Century Gothic" w:hAnsi="Gadugi" w:cs="Century Gothic"/>
          <w:b/>
          <w:color w:val="2E6CA4"/>
          <w:szCs w:val="24"/>
          <w:lang w:val="en-GB"/>
        </w:rPr>
      </w:pPr>
      <w:r w:rsidRPr="00333687">
        <w:rPr>
          <w:rFonts w:ascii="Gadugi" w:eastAsia="Century Gothic" w:hAnsi="Gadugi" w:cs="Century Gothic"/>
          <w:b/>
          <w:color w:val="2E6CA4"/>
          <w:szCs w:val="24"/>
          <w:lang w:val="en-GB"/>
        </w:rPr>
        <w:t xml:space="preserve">The APT and the OECD joining forces to improve </w:t>
      </w:r>
      <w:r w:rsidR="00E265DC" w:rsidRPr="00333687">
        <w:rPr>
          <w:rFonts w:ascii="Gadugi" w:eastAsia="Century Gothic" w:hAnsi="Gadugi" w:cs="Century Gothic"/>
          <w:b/>
          <w:color w:val="2E6CA4"/>
          <w:szCs w:val="24"/>
          <w:lang w:val="en-GB"/>
        </w:rPr>
        <w:t>connectivity</w:t>
      </w:r>
      <w:r w:rsidRPr="00333687">
        <w:rPr>
          <w:rFonts w:ascii="Gadugi" w:eastAsia="Century Gothic" w:hAnsi="Gadugi" w:cs="Century Gothic"/>
          <w:b/>
          <w:color w:val="2E6CA4"/>
          <w:szCs w:val="24"/>
          <w:lang w:val="en-GB"/>
        </w:rPr>
        <w:t xml:space="preserve"> in the region</w:t>
      </w:r>
    </w:p>
    <w:p w14:paraId="228F623E" w14:textId="6C55FEDF" w:rsidR="00D82A6D" w:rsidRPr="00333687" w:rsidRDefault="00333687" w:rsidP="07B310AC">
      <w:pPr>
        <w:spacing w:after="120"/>
        <w:jc w:val="both"/>
        <w:rPr>
          <w:rFonts w:ascii="Gadugi" w:hAnsi="Gadugi"/>
          <w:sz w:val="20"/>
          <w:szCs w:val="20"/>
          <w:lang w:val="en-GB"/>
        </w:rPr>
      </w:pPr>
      <w:r w:rsidRPr="07B310AC">
        <w:rPr>
          <w:rFonts w:ascii="Gadugi" w:eastAsiaTheme="minorEastAsia" w:hAnsi="Gadugi" w:cstheme="minorBidi"/>
          <w:color w:val="000000" w:themeColor="text1"/>
          <w:kern w:val="24"/>
          <w:sz w:val="20"/>
          <w:szCs w:val="20"/>
          <w:lang w:val="en-GB"/>
        </w:rPr>
        <w:t>Leveraging the respective experience and work from both Organisations, this joint workshop aims to</w:t>
      </w:r>
      <w:r w:rsidR="002B5A88">
        <w:rPr>
          <w:rFonts w:ascii="Gadugi" w:eastAsiaTheme="minorEastAsia" w:hAnsi="Gadugi" w:cstheme="minorBidi"/>
          <w:color w:val="000000" w:themeColor="text1"/>
          <w:kern w:val="24"/>
          <w:sz w:val="20"/>
          <w:szCs w:val="20"/>
          <w:lang w:val="en-GB"/>
        </w:rPr>
        <w:t xml:space="preserve"> discuss measures to</w:t>
      </w:r>
      <w:r w:rsidRPr="07B310AC">
        <w:rPr>
          <w:rFonts w:ascii="Gadugi" w:eastAsiaTheme="minorEastAsia" w:hAnsi="Gadugi" w:cstheme="minorBidi"/>
          <w:color w:val="000000" w:themeColor="text1"/>
          <w:kern w:val="24"/>
          <w:sz w:val="20"/>
          <w:szCs w:val="20"/>
          <w:lang w:val="en-GB"/>
        </w:rPr>
        <w:t xml:space="preserve"> </w:t>
      </w:r>
      <w:r w:rsidR="002B5A88">
        <w:rPr>
          <w:rFonts w:ascii="Gadugi" w:eastAsiaTheme="minorEastAsia" w:hAnsi="Gadugi" w:cstheme="minorBidi"/>
          <w:color w:val="000000" w:themeColor="text1"/>
          <w:kern w:val="24"/>
          <w:sz w:val="20"/>
          <w:szCs w:val="20"/>
          <w:lang w:val="en-GB"/>
        </w:rPr>
        <w:t xml:space="preserve">expand </w:t>
      </w:r>
      <w:r w:rsidRPr="07B310AC">
        <w:rPr>
          <w:rFonts w:ascii="Gadugi" w:eastAsiaTheme="minorEastAsia" w:hAnsi="Gadugi" w:cstheme="minorBidi"/>
          <w:color w:val="000000" w:themeColor="text1"/>
          <w:kern w:val="24"/>
          <w:sz w:val="20"/>
          <w:szCs w:val="20"/>
          <w:lang w:val="en-GB"/>
        </w:rPr>
        <w:t>high-quality broadband connectivity through effective policies</w:t>
      </w:r>
      <w:r w:rsidR="002B5A88" w:rsidRPr="002B5A88">
        <w:rPr>
          <w:rFonts w:ascii="Gadugi" w:eastAsiaTheme="minorEastAsia" w:hAnsi="Gadugi" w:cstheme="minorBidi"/>
          <w:color w:val="000000" w:themeColor="text1"/>
          <w:kern w:val="24"/>
          <w:sz w:val="20"/>
          <w:szCs w:val="20"/>
          <w:lang w:val="en-GB"/>
        </w:rPr>
        <w:t xml:space="preserve"> </w:t>
      </w:r>
      <w:r w:rsidR="002B5A88" w:rsidRPr="07B310AC">
        <w:rPr>
          <w:rFonts w:ascii="Gadugi" w:eastAsiaTheme="minorEastAsia" w:hAnsi="Gadugi" w:cstheme="minorBidi"/>
          <w:color w:val="000000" w:themeColor="text1"/>
          <w:kern w:val="24"/>
          <w:sz w:val="20"/>
          <w:szCs w:val="20"/>
          <w:lang w:val="en-GB"/>
        </w:rPr>
        <w:t>in the Asia Pacific region</w:t>
      </w:r>
      <w:r w:rsidRPr="07B310AC">
        <w:rPr>
          <w:rFonts w:ascii="Gadugi" w:eastAsiaTheme="minorEastAsia" w:hAnsi="Gadugi" w:cstheme="minorBidi"/>
          <w:color w:val="000000" w:themeColor="text1"/>
          <w:kern w:val="24"/>
          <w:sz w:val="20"/>
          <w:szCs w:val="20"/>
          <w:lang w:val="en-GB"/>
        </w:rPr>
        <w:t xml:space="preserve">. </w:t>
      </w:r>
      <w:r w:rsidRPr="00333687">
        <w:rPr>
          <w:rFonts w:ascii="Gadugi" w:eastAsia="Century Gothic" w:hAnsi="Gadugi" w:cs="Century Gothic"/>
          <w:sz w:val="20"/>
          <w:szCs w:val="20"/>
          <w:lang w:val="en-GB"/>
        </w:rPr>
        <w:t>In this regard, this workshop provides an important opportunity to meet and discuss key regulatory and policy issues</w:t>
      </w:r>
      <w:r w:rsidR="00804736">
        <w:rPr>
          <w:rFonts w:ascii="Gadugi" w:eastAsia="Century Gothic" w:hAnsi="Gadugi" w:cs="Century Gothic"/>
          <w:sz w:val="20"/>
          <w:szCs w:val="20"/>
          <w:lang w:val="en-GB"/>
        </w:rPr>
        <w:t xml:space="preserve"> related to this goal</w:t>
      </w:r>
      <w:r w:rsidRPr="00333687">
        <w:rPr>
          <w:rFonts w:ascii="Gadugi" w:eastAsia="Century Gothic" w:hAnsi="Gadugi" w:cs="Century Gothic"/>
          <w:sz w:val="20"/>
          <w:szCs w:val="20"/>
          <w:lang w:val="en-GB"/>
        </w:rPr>
        <w:t xml:space="preserve">. In this Workshop, the OECD can share the experience of its members, its work on connectivity, and importantly, its Recommendation on Broadband Connectivity with APT members, which would be informative for the relevant policy to improve the quality and coverage of broadband connectivity. </w:t>
      </w:r>
      <w:r w:rsidRPr="005634F9">
        <w:rPr>
          <w:rFonts w:ascii="Gadugi" w:eastAsia="Century Gothic" w:hAnsi="Gadugi" w:cs="Century Gothic"/>
          <w:sz w:val="20"/>
          <w:szCs w:val="20"/>
          <w:lang w:val="en-GB"/>
        </w:rPr>
        <w:t>Equally, the APT</w:t>
      </w:r>
      <w:r w:rsidR="008C2D0F">
        <w:rPr>
          <w:rFonts w:ascii="Gadugi" w:eastAsia="Century Gothic" w:hAnsi="Gadugi" w:cs="Century Gothic"/>
          <w:sz w:val="20"/>
          <w:szCs w:val="20"/>
          <w:lang w:val="en-GB"/>
        </w:rPr>
        <w:t xml:space="preserve"> and its members</w:t>
      </w:r>
      <w:r w:rsidRPr="005634F9">
        <w:rPr>
          <w:rFonts w:ascii="Gadugi" w:eastAsia="Century Gothic" w:hAnsi="Gadugi" w:cs="Century Gothic"/>
          <w:sz w:val="20"/>
          <w:szCs w:val="20"/>
          <w:lang w:val="en-GB"/>
        </w:rPr>
        <w:t xml:space="preserve"> can share </w:t>
      </w:r>
      <w:r w:rsidR="008C2D0F">
        <w:rPr>
          <w:rFonts w:ascii="Gadugi" w:eastAsia="Century Gothic" w:hAnsi="Gadugi" w:cs="Century Gothic"/>
          <w:sz w:val="20"/>
          <w:szCs w:val="20"/>
          <w:lang w:val="en-GB"/>
        </w:rPr>
        <w:t xml:space="preserve">their experience </w:t>
      </w:r>
      <w:r w:rsidR="00CC6B33">
        <w:rPr>
          <w:rFonts w:ascii="Gadugi" w:eastAsia="Century Gothic" w:hAnsi="Gadugi" w:cs="Century Gothic"/>
          <w:sz w:val="20"/>
          <w:szCs w:val="20"/>
          <w:lang w:val="en-GB"/>
        </w:rPr>
        <w:t>and perspective</w:t>
      </w:r>
      <w:r w:rsidR="008C2D0F">
        <w:rPr>
          <w:rFonts w:ascii="Gadugi" w:eastAsia="Century Gothic" w:hAnsi="Gadugi" w:cs="Century Gothic"/>
          <w:sz w:val="20"/>
          <w:szCs w:val="20"/>
          <w:lang w:val="en-GB"/>
        </w:rPr>
        <w:t xml:space="preserve"> on national situations and the challenges they face when expanding and improving broadband connectivity </w:t>
      </w:r>
      <w:r w:rsidRPr="005634F9">
        <w:rPr>
          <w:rFonts w:ascii="Gadugi" w:eastAsia="Century Gothic" w:hAnsi="Gadugi" w:cs="Century Gothic"/>
          <w:sz w:val="20"/>
          <w:szCs w:val="20"/>
          <w:lang w:val="en-GB"/>
        </w:rPr>
        <w:t>to enrich and inform ongoing work within</w:t>
      </w:r>
      <w:r w:rsidR="008C2D0F">
        <w:rPr>
          <w:rFonts w:ascii="Gadugi" w:eastAsia="Century Gothic" w:hAnsi="Gadugi" w:cs="Century Gothic"/>
          <w:sz w:val="20"/>
          <w:szCs w:val="20"/>
          <w:lang w:val="en-GB"/>
        </w:rPr>
        <w:t xml:space="preserve"> both Organisations</w:t>
      </w:r>
      <w:r w:rsidRPr="005634F9">
        <w:rPr>
          <w:rFonts w:ascii="Gadugi" w:eastAsia="Century Gothic" w:hAnsi="Gadugi" w:cs="Century Gothic"/>
          <w:sz w:val="20"/>
          <w:szCs w:val="20"/>
          <w:lang w:val="en-GB"/>
        </w:rPr>
        <w:t>.</w:t>
      </w:r>
      <w:r w:rsidRPr="00333687">
        <w:rPr>
          <w:rFonts w:ascii="Gadugi" w:eastAsia="Century Gothic" w:hAnsi="Gadugi" w:cs="Century Gothic"/>
          <w:sz w:val="20"/>
          <w:szCs w:val="20"/>
          <w:lang w:val="en-GB"/>
        </w:rPr>
        <w:t xml:space="preserve"> </w:t>
      </w:r>
    </w:p>
    <w:p w14:paraId="71B8BB10" w14:textId="77777777" w:rsidR="00C218CB" w:rsidRPr="00333687" w:rsidRDefault="00804736" w:rsidP="00804736">
      <w:pPr>
        <w:widowControl w:val="0"/>
        <w:tabs>
          <w:tab w:val="left" w:pos="415"/>
        </w:tabs>
        <w:autoSpaceDE w:val="0"/>
        <w:autoSpaceDN w:val="0"/>
        <w:spacing w:before="240"/>
        <w:outlineLvl w:val="0"/>
        <w:rPr>
          <w:rFonts w:ascii="Gadugi" w:hAnsi="Gadugi"/>
          <w:b/>
          <w:color w:val="2E74B5" w:themeColor="accent1" w:themeShade="BF"/>
          <w:lang w:val="en-GB"/>
        </w:rPr>
      </w:pPr>
      <w:r>
        <w:rPr>
          <w:rFonts w:ascii="Gadugi" w:eastAsia="Century Gothic" w:hAnsi="Gadugi" w:cs="Century Gothic"/>
          <w:b/>
          <w:color w:val="2E6CA4"/>
          <w:szCs w:val="24"/>
          <w:lang w:val="en-GB"/>
        </w:rPr>
        <w:lastRenderedPageBreak/>
        <w:t>Further information about the OECD’s work on connectivity</w:t>
      </w:r>
      <w:r w:rsidR="00C218CB" w:rsidRPr="00333687">
        <w:rPr>
          <w:rFonts w:ascii="Gadugi" w:hAnsi="Gadugi"/>
          <w:b/>
          <w:color w:val="2E74B5" w:themeColor="accent1" w:themeShade="BF"/>
          <w:lang w:val="en-GB"/>
        </w:rPr>
        <w:t xml:space="preserve"> </w:t>
      </w:r>
    </w:p>
    <w:p w14:paraId="56ED4D25" w14:textId="77777777" w:rsidR="00C218CB" w:rsidRPr="00333687" w:rsidRDefault="00333687" w:rsidP="00333687">
      <w:pPr>
        <w:widowControl w:val="0"/>
        <w:autoSpaceDE w:val="0"/>
        <w:autoSpaceDN w:val="0"/>
        <w:spacing w:before="120"/>
        <w:ind w:right="39"/>
        <w:jc w:val="both"/>
        <w:rPr>
          <w:rFonts w:ascii="Gadugi" w:eastAsiaTheme="minorEastAsia" w:hAnsi="Gadugi" w:cstheme="minorBidi"/>
          <w:color w:val="000000" w:themeColor="text1"/>
          <w:kern w:val="24"/>
          <w:sz w:val="20"/>
          <w:szCs w:val="20"/>
          <w:lang w:val="en-GB"/>
        </w:rPr>
      </w:pPr>
      <w:r w:rsidRPr="00333687">
        <w:rPr>
          <w:rFonts w:ascii="Gadugi" w:eastAsia="Century Gothic" w:hAnsi="Gadugi" w:cs="Century Gothic"/>
          <w:sz w:val="20"/>
          <w:szCs w:val="20"/>
          <w:lang w:val="en-GB"/>
        </w:rPr>
        <w:t>The OECD was one of the first organisations working on connectivity through the creation of the Working Party on Communication Infrastructures and Services Policy (WPCISP) in 1988, dedicated to communication policy following the privatisation of telecommunication companies. The work of the WPCISP has continued since then</w:t>
      </w:r>
      <w:r w:rsidR="00186CB8">
        <w:rPr>
          <w:rFonts w:ascii="Gadugi" w:eastAsia="Century Gothic" w:hAnsi="Gadugi" w:cs="Century Gothic"/>
          <w:sz w:val="20"/>
          <w:szCs w:val="20"/>
          <w:lang w:val="en-GB"/>
        </w:rPr>
        <w:t>;</w:t>
      </w:r>
      <w:r w:rsidRPr="00333687">
        <w:rPr>
          <w:rFonts w:ascii="Gadugi" w:eastAsia="Century Gothic" w:hAnsi="Gadugi" w:cs="Century Gothic"/>
          <w:sz w:val="20"/>
          <w:szCs w:val="20"/>
          <w:lang w:val="en-GB"/>
        </w:rPr>
        <w:t xml:space="preserve"> all reports on broadband over the past decades can be found </w:t>
      </w:r>
      <w:hyperlink r:id="rId21" w:history="1">
        <w:r w:rsidRPr="00333687">
          <w:rPr>
            <w:rStyle w:val="Hyperlink"/>
            <w:rFonts w:ascii="Gadugi" w:eastAsia="Century Gothic" w:hAnsi="Gadugi" w:cs="Century Gothic"/>
            <w:sz w:val="20"/>
            <w:szCs w:val="20"/>
            <w:lang w:val="en-GB"/>
          </w:rPr>
          <w:t>here</w:t>
        </w:r>
      </w:hyperlink>
      <w:r w:rsidRPr="00333687">
        <w:rPr>
          <w:rStyle w:val="Hyperlink"/>
          <w:rFonts w:ascii="Gadugi" w:eastAsia="Century Gothic" w:hAnsi="Gadugi" w:cs="Century Gothic"/>
          <w:sz w:val="20"/>
          <w:szCs w:val="20"/>
          <w:lang w:val="en-GB"/>
        </w:rPr>
        <w:t>.</w:t>
      </w:r>
      <w:r w:rsidRPr="00333687">
        <w:rPr>
          <w:rFonts w:ascii="Gadugi" w:eastAsiaTheme="minorEastAsia" w:hAnsi="Gadugi" w:cstheme="minorBidi"/>
          <w:color w:val="000000" w:themeColor="text1"/>
          <w:kern w:val="24"/>
          <w:sz w:val="20"/>
          <w:szCs w:val="20"/>
          <w:lang w:val="en-GB"/>
        </w:rPr>
        <w:t xml:space="preserve"> </w:t>
      </w:r>
      <w:r w:rsidRPr="00333687">
        <w:rPr>
          <w:rFonts w:ascii="Gadugi" w:eastAsia="Century Gothic" w:hAnsi="Gadugi" w:cs="Century Gothic"/>
          <w:sz w:val="20"/>
          <w:szCs w:val="20"/>
          <w:lang w:val="en-GB"/>
        </w:rPr>
        <w:t xml:space="preserve">Recent broadband data can be found on the </w:t>
      </w:r>
      <w:hyperlink r:id="rId22" w:history="1">
        <w:r w:rsidRPr="00333687">
          <w:rPr>
            <w:rStyle w:val="Hyperlink"/>
            <w:rFonts w:ascii="Gadugi" w:eastAsia="Century Gothic" w:hAnsi="Gadugi" w:cs="Century Gothic"/>
            <w:sz w:val="20"/>
            <w:szCs w:val="20"/>
            <w:lang w:val="en-GB"/>
          </w:rPr>
          <w:t>OECD broadband portal</w:t>
        </w:r>
      </w:hyperlink>
      <w:r w:rsidRPr="00333687">
        <w:rPr>
          <w:rFonts w:ascii="Gadugi" w:eastAsia="Century Gothic" w:hAnsi="Gadugi" w:cs="Century Gothic"/>
          <w:sz w:val="20"/>
          <w:szCs w:val="20"/>
          <w:lang w:val="en-GB"/>
        </w:rPr>
        <w:t>.</w:t>
      </w:r>
    </w:p>
    <w:p w14:paraId="68B579DA" w14:textId="77777777" w:rsidR="00C218CB" w:rsidRPr="00333687" w:rsidRDefault="00C218CB" w:rsidP="00A9495A">
      <w:pPr>
        <w:spacing w:after="120"/>
        <w:jc w:val="both"/>
        <w:rPr>
          <w:rFonts w:ascii="Gadugi" w:hAnsi="Gadugi"/>
          <w:sz w:val="20"/>
          <w:lang w:val="en-GB"/>
        </w:rPr>
      </w:pP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411D53" w:rsidRPr="00333687" w14:paraId="37C6F32C" w14:textId="77777777" w:rsidTr="00E265DC">
        <w:tc>
          <w:tcPr>
            <w:tcW w:w="9782" w:type="dxa"/>
            <w:shd w:val="clear" w:color="auto" w:fill="002060"/>
          </w:tcPr>
          <w:p w14:paraId="1510923D" w14:textId="77777777" w:rsidR="00411D53" w:rsidRPr="00333687" w:rsidRDefault="00411D53" w:rsidP="00411D53">
            <w:pPr>
              <w:spacing w:before="60" w:after="60"/>
              <w:jc w:val="both"/>
              <w:rPr>
                <w:rFonts w:ascii="Gadugi" w:hAnsi="Gadugi" w:cs="MyriadPro-Regular"/>
                <w:b/>
                <w:bCs/>
                <w:color w:val="FFFFFF" w:themeColor="background1"/>
                <w:sz w:val="28"/>
                <w:szCs w:val="28"/>
                <w:lang w:val="en-GB"/>
              </w:rPr>
            </w:pPr>
            <w:r w:rsidRPr="00333687">
              <w:rPr>
                <w:rFonts w:ascii="Gadugi" w:hAnsi="Gadugi" w:cs="MyriadPro-Regular"/>
                <w:b/>
                <w:bCs/>
                <w:color w:val="FFFFFF" w:themeColor="background1"/>
                <w:sz w:val="28"/>
                <w:szCs w:val="28"/>
                <w:lang w:val="en-GB"/>
              </w:rPr>
              <w:t xml:space="preserve">OBJECTIVES </w:t>
            </w:r>
          </w:p>
        </w:tc>
      </w:tr>
    </w:tbl>
    <w:p w14:paraId="666B9D9F" w14:textId="3A1FA47A" w:rsidR="00C218CB" w:rsidRPr="00333687" w:rsidRDefault="00C218CB" w:rsidP="001E498E">
      <w:pPr>
        <w:pStyle w:val="ListParagraph"/>
        <w:numPr>
          <w:ilvl w:val="0"/>
          <w:numId w:val="3"/>
        </w:numPr>
        <w:spacing w:before="240" w:after="200"/>
        <w:ind w:right="-23"/>
        <w:jc w:val="both"/>
        <w:rPr>
          <w:rFonts w:asciiTheme="minorHAnsi" w:hAnsiTheme="minorHAnsi" w:cstheme="minorHAnsi"/>
          <w:sz w:val="22"/>
          <w:lang w:val="en-GB"/>
        </w:rPr>
      </w:pPr>
      <w:r w:rsidRPr="00333687">
        <w:rPr>
          <w:rFonts w:asciiTheme="minorHAnsi" w:hAnsiTheme="minorHAnsi" w:cstheme="minorHAnsi"/>
          <w:sz w:val="22"/>
          <w:lang w:val="en-GB"/>
        </w:rPr>
        <w:t xml:space="preserve">Facilitate the sharing of experiences and peer learning in the OECD and APT context, leveraging regional experience in the Asia Pacific region.  </w:t>
      </w:r>
    </w:p>
    <w:p w14:paraId="498AD745" w14:textId="77777777" w:rsidR="00411D53" w:rsidRPr="00333687" w:rsidRDefault="00E265DC" w:rsidP="001E498E">
      <w:pPr>
        <w:pStyle w:val="ListParagraph"/>
        <w:numPr>
          <w:ilvl w:val="0"/>
          <w:numId w:val="3"/>
        </w:numPr>
        <w:spacing w:before="240" w:after="200"/>
        <w:ind w:right="-23"/>
        <w:jc w:val="both"/>
        <w:rPr>
          <w:rFonts w:asciiTheme="minorHAnsi" w:hAnsiTheme="minorHAnsi" w:cstheme="minorHAnsi"/>
          <w:sz w:val="22"/>
          <w:lang w:val="en-GB"/>
        </w:rPr>
      </w:pPr>
      <w:r w:rsidRPr="00333687">
        <w:rPr>
          <w:rFonts w:asciiTheme="minorHAnsi" w:hAnsiTheme="minorHAnsi" w:cstheme="minorHAnsi"/>
          <w:sz w:val="22"/>
          <w:lang w:val="en-GB"/>
        </w:rPr>
        <w:t xml:space="preserve">Share the OECD’s </w:t>
      </w:r>
      <w:r w:rsidR="00BE5F89">
        <w:rPr>
          <w:rFonts w:asciiTheme="minorHAnsi" w:hAnsiTheme="minorHAnsi" w:cstheme="minorHAnsi"/>
          <w:sz w:val="22"/>
          <w:lang w:val="en-GB"/>
        </w:rPr>
        <w:t>experience</w:t>
      </w:r>
      <w:r w:rsidR="002472BF">
        <w:rPr>
          <w:rFonts w:asciiTheme="minorHAnsi" w:hAnsiTheme="minorHAnsi" w:cstheme="minorHAnsi"/>
          <w:sz w:val="22"/>
          <w:lang w:val="en-GB"/>
        </w:rPr>
        <w:t xml:space="preserve"> </w:t>
      </w:r>
      <w:r w:rsidRPr="00333687">
        <w:rPr>
          <w:rFonts w:asciiTheme="minorHAnsi" w:hAnsiTheme="minorHAnsi" w:cstheme="minorHAnsi"/>
          <w:sz w:val="22"/>
          <w:lang w:val="en-GB"/>
        </w:rPr>
        <w:t xml:space="preserve">on </w:t>
      </w:r>
      <w:r w:rsidR="00D42DF0">
        <w:rPr>
          <w:rFonts w:asciiTheme="minorHAnsi" w:hAnsiTheme="minorHAnsi" w:cstheme="minorHAnsi"/>
          <w:sz w:val="22"/>
          <w:lang w:val="en-GB"/>
        </w:rPr>
        <w:t>b</w:t>
      </w:r>
      <w:r w:rsidRPr="00333687">
        <w:rPr>
          <w:rFonts w:asciiTheme="minorHAnsi" w:hAnsiTheme="minorHAnsi" w:cstheme="minorHAnsi"/>
          <w:sz w:val="22"/>
          <w:lang w:val="en-GB"/>
        </w:rPr>
        <w:t xml:space="preserve">roadband </w:t>
      </w:r>
      <w:r w:rsidR="00D42DF0">
        <w:rPr>
          <w:rFonts w:asciiTheme="minorHAnsi" w:hAnsiTheme="minorHAnsi" w:cstheme="minorHAnsi"/>
          <w:sz w:val="22"/>
          <w:lang w:val="en-GB"/>
        </w:rPr>
        <w:t>c</w:t>
      </w:r>
      <w:r w:rsidRPr="00333687">
        <w:rPr>
          <w:rFonts w:asciiTheme="minorHAnsi" w:hAnsiTheme="minorHAnsi" w:cstheme="minorHAnsi"/>
          <w:sz w:val="22"/>
          <w:lang w:val="en-GB"/>
        </w:rPr>
        <w:t xml:space="preserve">onnectivity with </w:t>
      </w:r>
      <w:r w:rsidR="00411D53" w:rsidRPr="00333687">
        <w:rPr>
          <w:rFonts w:asciiTheme="minorHAnsi" w:hAnsiTheme="minorHAnsi" w:cstheme="minorHAnsi"/>
          <w:sz w:val="22"/>
          <w:lang w:val="en-GB"/>
        </w:rPr>
        <w:t xml:space="preserve">stakeholders from the </w:t>
      </w:r>
      <w:r w:rsidRPr="00333687">
        <w:rPr>
          <w:rFonts w:asciiTheme="minorHAnsi" w:hAnsiTheme="minorHAnsi" w:cstheme="minorHAnsi"/>
          <w:sz w:val="22"/>
          <w:lang w:val="en-GB"/>
        </w:rPr>
        <w:t xml:space="preserve">Asia Pacific </w:t>
      </w:r>
      <w:r w:rsidR="00411D53" w:rsidRPr="00333687">
        <w:rPr>
          <w:rFonts w:asciiTheme="minorHAnsi" w:hAnsiTheme="minorHAnsi" w:cstheme="minorHAnsi"/>
          <w:sz w:val="22"/>
          <w:lang w:val="en-GB"/>
        </w:rPr>
        <w:t xml:space="preserve">region, providing an </w:t>
      </w:r>
      <w:r w:rsidRPr="00333687">
        <w:rPr>
          <w:rFonts w:asciiTheme="minorHAnsi" w:hAnsiTheme="minorHAnsi" w:cstheme="minorHAnsi"/>
          <w:sz w:val="22"/>
          <w:lang w:val="en-GB"/>
        </w:rPr>
        <w:t>overview of best practice to expand high-quality connectivity</w:t>
      </w:r>
      <w:r w:rsidR="00411D53" w:rsidRPr="00333687">
        <w:rPr>
          <w:rFonts w:asciiTheme="minorHAnsi" w:hAnsiTheme="minorHAnsi" w:cstheme="minorHAnsi"/>
          <w:sz w:val="22"/>
          <w:lang w:val="en-GB"/>
        </w:rPr>
        <w:t xml:space="preserve"> i</w:t>
      </w:r>
      <w:r w:rsidR="00D67181">
        <w:rPr>
          <w:rFonts w:asciiTheme="minorHAnsi" w:hAnsiTheme="minorHAnsi" w:cstheme="minorHAnsi"/>
          <w:sz w:val="22"/>
          <w:lang w:val="en-GB"/>
        </w:rPr>
        <w:t xml:space="preserve">n both the OECD and </w:t>
      </w:r>
      <w:r w:rsidRPr="00333687">
        <w:rPr>
          <w:rFonts w:asciiTheme="minorHAnsi" w:hAnsiTheme="minorHAnsi" w:cstheme="minorHAnsi"/>
          <w:sz w:val="22"/>
          <w:lang w:val="en-GB"/>
        </w:rPr>
        <w:t>the Asia Pacific region</w:t>
      </w:r>
      <w:r w:rsidR="00411D53" w:rsidRPr="00333687">
        <w:rPr>
          <w:rFonts w:asciiTheme="minorHAnsi" w:hAnsiTheme="minorHAnsi" w:cstheme="minorHAnsi"/>
          <w:sz w:val="22"/>
          <w:lang w:val="en-GB"/>
        </w:rPr>
        <w:t>.</w:t>
      </w:r>
    </w:p>
    <w:p w14:paraId="6E714B3B" w14:textId="77777777" w:rsidR="00D82A6D" w:rsidRDefault="00C218CB" w:rsidP="00716E48">
      <w:pPr>
        <w:pStyle w:val="ListParagraph"/>
        <w:numPr>
          <w:ilvl w:val="0"/>
          <w:numId w:val="3"/>
        </w:numPr>
        <w:spacing w:before="120" w:after="120"/>
        <w:ind w:left="572" w:right="-23" w:hanging="357"/>
        <w:jc w:val="both"/>
        <w:rPr>
          <w:rFonts w:ascii="Gadugi" w:hAnsi="Gadugi"/>
          <w:lang w:val="en-GB"/>
        </w:rPr>
      </w:pPr>
      <w:r w:rsidRPr="07B310AC">
        <w:rPr>
          <w:rFonts w:asciiTheme="minorHAnsi" w:hAnsiTheme="minorHAnsi" w:cstheme="minorBidi"/>
          <w:sz w:val="22"/>
          <w:lang w:val="en-GB"/>
        </w:rPr>
        <w:t xml:space="preserve">Provide </w:t>
      </w:r>
      <w:r w:rsidR="00411D53" w:rsidRPr="07B310AC">
        <w:rPr>
          <w:rFonts w:asciiTheme="minorHAnsi" w:hAnsiTheme="minorHAnsi" w:cstheme="minorBidi"/>
          <w:sz w:val="22"/>
          <w:lang w:val="en-GB"/>
        </w:rPr>
        <w:t xml:space="preserve">the relevant information to </w:t>
      </w:r>
      <w:r w:rsidR="00E265DC" w:rsidRPr="07B310AC">
        <w:rPr>
          <w:rFonts w:asciiTheme="minorHAnsi" w:hAnsiTheme="minorHAnsi" w:cstheme="minorBidi"/>
          <w:sz w:val="22"/>
          <w:lang w:val="en-GB"/>
        </w:rPr>
        <w:t xml:space="preserve">APT </w:t>
      </w:r>
      <w:r w:rsidR="00411D53" w:rsidRPr="07B310AC">
        <w:rPr>
          <w:rFonts w:asciiTheme="minorHAnsi" w:hAnsiTheme="minorHAnsi" w:cstheme="minorBidi"/>
          <w:sz w:val="22"/>
          <w:lang w:val="en-GB"/>
        </w:rPr>
        <w:t>policy makers in th</w:t>
      </w:r>
      <w:r w:rsidR="00E265DC" w:rsidRPr="07B310AC">
        <w:rPr>
          <w:rFonts w:asciiTheme="minorHAnsi" w:hAnsiTheme="minorHAnsi" w:cstheme="minorBidi"/>
          <w:sz w:val="22"/>
          <w:lang w:val="en-GB"/>
        </w:rPr>
        <w:t>e Asia Pacific</w:t>
      </w:r>
      <w:r w:rsidR="00411D53" w:rsidRPr="07B310AC">
        <w:rPr>
          <w:rFonts w:asciiTheme="minorHAnsi" w:hAnsiTheme="minorHAnsi" w:cstheme="minorBidi"/>
          <w:sz w:val="22"/>
          <w:lang w:val="en-GB"/>
        </w:rPr>
        <w:t xml:space="preserve"> region as </w:t>
      </w:r>
      <w:r w:rsidRPr="07B310AC">
        <w:rPr>
          <w:rFonts w:asciiTheme="minorHAnsi" w:hAnsiTheme="minorHAnsi" w:cstheme="minorBidi"/>
          <w:sz w:val="22"/>
          <w:lang w:val="en-GB"/>
        </w:rPr>
        <w:t>countries</w:t>
      </w:r>
      <w:r w:rsidR="00411D53" w:rsidRPr="07B310AC">
        <w:rPr>
          <w:rFonts w:asciiTheme="minorHAnsi" w:hAnsiTheme="minorHAnsi" w:cstheme="minorBidi"/>
          <w:sz w:val="22"/>
          <w:lang w:val="en-GB"/>
        </w:rPr>
        <w:t xml:space="preserve"> consider, </w:t>
      </w:r>
      <w:proofErr w:type="gramStart"/>
      <w:r w:rsidR="00411D53" w:rsidRPr="07B310AC">
        <w:rPr>
          <w:rFonts w:asciiTheme="minorHAnsi" w:hAnsiTheme="minorHAnsi" w:cstheme="minorBidi"/>
          <w:sz w:val="22"/>
          <w:lang w:val="en-GB"/>
        </w:rPr>
        <w:t>design</w:t>
      </w:r>
      <w:proofErr w:type="gramEnd"/>
      <w:r w:rsidR="00411D53" w:rsidRPr="07B310AC">
        <w:rPr>
          <w:rFonts w:asciiTheme="minorHAnsi" w:hAnsiTheme="minorHAnsi" w:cstheme="minorBidi"/>
          <w:sz w:val="22"/>
          <w:lang w:val="en-GB"/>
        </w:rPr>
        <w:t xml:space="preserve"> and implement their</w:t>
      </w:r>
      <w:r w:rsidRPr="07B310AC">
        <w:rPr>
          <w:rFonts w:asciiTheme="minorHAnsi" w:hAnsiTheme="minorHAnsi" w:cstheme="minorBidi"/>
          <w:sz w:val="22"/>
          <w:lang w:val="en-GB"/>
        </w:rPr>
        <w:t xml:space="preserve"> </w:t>
      </w:r>
      <w:r w:rsidR="00411D53" w:rsidRPr="07B310AC">
        <w:rPr>
          <w:rFonts w:asciiTheme="minorHAnsi" w:hAnsiTheme="minorHAnsi" w:cstheme="minorBidi"/>
          <w:sz w:val="22"/>
          <w:lang w:val="en-GB"/>
        </w:rPr>
        <w:t xml:space="preserve">policies to </w:t>
      </w:r>
      <w:r w:rsidR="00E265DC" w:rsidRPr="07B310AC">
        <w:rPr>
          <w:rFonts w:asciiTheme="minorHAnsi" w:hAnsiTheme="minorHAnsi" w:cstheme="minorBidi"/>
          <w:sz w:val="22"/>
          <w:lang w:val="en-GB"/>
        </w:rPr>
        <w:t xml:space="preserve">expand and improve connectivity </w:t>
      </w:r>
      <w:r w:rsidR="00D82A6D" w:rsidRPr="07B310AC">
        <w:rPr>
          <w:rFonts w:asciiTheme="minorHAnsi" w:hAnsiTheme="minorHAnsi" w:cstheme="minorBidi"/>
          <w:sz w:val="22"/>
          <w:lang w:val="en-GB"/>
        </w:rPr>
        <w:t xml:space="preserve">to ensure that people, </w:t>
      </w:r>
      <w:r w:rsidR="00411D53" w:rsidRPr="07B310AC">
        <w:rPr>
          <w:rFonts w:asciiTheme="minorHAnsi" w:hAnsiTheme="minorHAnsi" w:cstheme="minorBidi"/>
          <w:sz w:val="22"/>
          <w:lang w:val="en-GB"/>
        </w:rPr>
        <w:t>organisations and machines</w:t>
      </w:r>
      <w:r w:rsidRPr="07B310AC">
        <w:rPr>
          <w:rFonts w:asciiTheme="minorHAnsi" w:hAnsiTheme="minorHAnsi" w:cstheme="minorBidi"/>
          <w:sz w:val="22"/>
          <w:lang w:val="en-GB"/>
        </w:rPr>
        <w:t xml:space="preserve"> have high-quality broadband access</w:t>
      </w:r>
      <w:r w:rsidR="00411D53" w:rsidRPr="07B310AC">
        <w:rPr>
          <w:rFonts w:ascii="Gadugi" w:hAnsi="Gadugi"/>
          <w:lang w:val="en-GB"/>
        </w:rPr>
        <w:t>.</w:t>
      </w:r>
    </w:p>
    <w:p w14:paraId="0B5FF61F" w14:textId="77777777" w:rsidR="00D67181" w:rsidRPr="00333687" w:rsidRDefault="00D67181" w:rsidP="00D67181">
      <w:pPr>
        <w:pStyle w:val="ListParagraph"/>
        <w:spacing w:before="120" w:after="120"/>
        <w:ind w:left="572" w:right="-23"/>
        <w:rPr>
          <w:rFonts w:ascii="Gadugi" w:hAnsi="Gadugi"/>
          <w:lang w:val="en-GB"/>
        </w:rPr>
      </w:pP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82"/>
      </w:tblGrid>
      <w:tr w:rsidR="00411D53" w:rsidRPr="00333687" w14:paraId="543D052D" w14:textId="77777777" w:rsidTr="00E265DC">
        <w:tc>
          <w:tcPr>
            <w:tcW w:w="9782" w:type="dxa"/>
            <w:shd w:val="clear" w:color="auto" w:fill="002060"/>
          </w:tcPr>
          <w:p w14:paraId="7B71B516" w14:textId="77777777" w:rsidR="00411D53" w:rsidRPr="00333687" w:rsidRDefault="00411D53" w:rsidP="000316EF">
            <w:pPr>
              <w:spacing w:before="60" w:after="60"/>
              <w:jc w:val="center"/>
              <w:rPr>
                <w:rFonts w:ascii="Gadugi" w:hAnsi="Gadugi" w:cs="MyriadPro-Regular"/>
                <w:b/>
                <w:bCs/>
                <w:color w:val="FFFFFF" w:themeColor="background1"/>
                <w:sz w:val="28"/>
                <w:szCs w:val="28"/>
                <w:lang w:val="en-GB"/>
              </w:rPr>
            </w:pPr>
            <w:r w:rsidRPr="00333687">
              <w:rPr>
                <w:rFonts w:ascii="Gadugi" w:hAnsi="Gadugi" w:cs="MyriadPro-Regular"/>
                <w:b/>
                <w:bCs/>
                <w:color w:val="FFFFFF" w:themeColor="background1"/>
                <w:sz w:val="28"/>
                <w:szCs w:val="28"/>
                <w:lang w:val="en-GB"/>
              </w:rPr>
              <w:t>AGENDA</w:t>
            </w:r>
          </w:p>
        </w:tc>
      </w:tr>
    </w:tbl>
    <w:p w14:paraId="43FC76AD" w14:textId="77777777" w:rsidR="00411D53" w:rsidRPr="00333687" w:rsidRDefault="00FF65A4" w:rsidP="00FF65A4">
      <w:pPr>
        <w:spacing w:after="120"/>
        <w:rPr>
          <w:b/>
          <w:lang w:val="en-GB"/>
        </w:rPr>
      </w:pPr>
      <w:r w:rsidRPr="00FF65A4">
        <w:rPr>
          <w:noProof/>
          <w:lang w:val="en-GB" w:eastAsia="en-GB"/>
        </w:rPr>
        <w:drawing>
          <wp:inline distT="0" distB="0" distL="0" distR="0" wp14:anchorId="349CCB4F" wp14:editId="7E3053A9">
            <wp:extent cx="819150" cy="731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731520"/>
                    </a:xfrm>
                    <a:prstGeom prst="rect">
                      <a:avLst/>
                    </a:prstGeom>
                    <a:noFill/>
                    <a:ln>
                      <a:noFill/>
                    </a:ln>
                  </pic:spPr>
                </pic:pic>
              </a:graphicData>
            </a:graphic>
          </wp:inline>
        </w:drawing>
      </w:r>
      <w:r>
        <w:rPr>
          <w:b/>
          <w:lang w:val="en-GB"/>
        </w:rPr>
        <w:t xml:space="preserve">                                                                                    </w:t>
      </w:r>
      <w:r w:rsidRPr="00FF65A4">
        <w:rPr>
          <w:noProof/>
          <w:lang w:val="en-GB" w:eastAsia="en-GB"/>
        </w:rPr>
        <w:drawing>
          <wp:inline distT="0" distB="0" distL="0" distR="0" wp14:anchorId="1F0682EB" wp14:editId="57D9230C">
            <wp:extent cx="1880235" cy="570865"/>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0235" cy="570865"/>
                    </a:xfrm>
                    <a:prstGeom prst="rect">
                      <a:avLst/>
                    </a:prstGeom>
                    <a:noFill/>
                    <a:ln>
                      <a:noFill/>
                    </a:ln>
                  </pic:spPr>
                </pic:pic>
              </a:graphicData>
            </a:graphic>
          </wp:inline>
        </w:drawing>
      </w:r>
    </w:p>
    <w:p w14:paraId="476190D5" w14:textId="77777777" w:rsidR="00411D53" w:rsidRPr="00333687" w:rsidRDefault="00411D53" w:rsidP="00411D53">
      <w:pPr>
        <w:spacing w:after="120"/>
        <w:jc w:val="center"/>
        <w:rPr>
          <w:b/>
          <w:lang w:val="en-GB"/>
        </w:rPr>
      </w:pPr>
      <w:r w:rsidRPr="00333687">
        <w:rPr>
          <w:rFonts w:ascii="Gadugi" w:hAnsi="Gadugi" w:cs="MyriadPro-Bold"/>
          <w:b/>
          <w:bCs/>
          <w:color w:val="1E69AB"/>
          <w:sz w:val="36"/>
          <w:szCs w:val="36"/>
          <w:lang w:val="en-GB"/>
        </w:rPr>
        <w:t xml:space="preserve">Connectivity for </w:t>
      </w:r>
      <w:r w:rsidRPr="00333687">
        <w:rPr>
          <w:rFonts w:ascii="Gadugi" w:hAnsi="Gadugi" w:cs="MyriadPro-Bold"/>
          <w:b/>
          <w:bCs/>
          <w:color w:val="2E74B5" w:themeColor="accent1" w:themeShade="BF"/>
          <w:sz w:val="36"/>
          <w:szCs w:val="36"/>
          <w:lang w:val="en-GB"/>
        </w:rPr>
        <w:t>All</w:t>
      </w:r>
      <w:r w:rsidRPr="00333687">
        <w:rPr>
          <w:rFonts w:ascii="Gadugi" w:hAnsi="Gadugi" w:cs="MyriadPro-Bold"/>
          <w:b/>
          <w:bCs/>
          <w:color w:val="1E69AB"/>
          <w:sz w:val="36"/>
          <w:szCs w:val="36"/>
          <w:lang w:val="en-GB"/>
        </w:rPr>
        <w:t>: Insights for Asia Pacific</w:t>
      </w:r>
    </w:p>
    <w:p w14:paraId="04FE07E2" w14:textId="6AF5B2B6" w:rsidR="00A62DF9" w:rsidRPr="00333687" w:rsidRDefault="00C15BF2" w:rsidP="00DF7C3A">
      <w:pPr>
        <w:spacing w:after="120"/>
        <w:jc w:val="center"/>
        <w:rPr>
          <w:rFonts w:ascii="Arial Narrow" w:hAnsi="Arial Narrow"/>
          <w:b/>
          <w:color w:val="1F3864" w:themeColor="accent5" w:themeShade="80"/>
          <w:sz w:val="28"/>
          <w:lang w:val="en-GB"/>
        </w:rPr>
      </w:pPr>
      <w:r w:rsidRPr="00333687">
        <w:rPr>
          <w:rFonts w:ascii="Arial Narrow" w:hAnsi="Arial Narrow"/>
          <w:b/>
          <w:color w:val="1F3864" w:themeColor="accent5" w:themeShade="80"/>
          <w:sz w:val="28"/>
          <w:lang w:val="en-GB"/>
        </w:rPr>
        <w:t>Agenda</w:t>
      </w:r>
    </w:p>
    <w:p w14:paraId="20812E0A" w14:textId="77777777" w:rsidR="00411D53" w:rsidRPr="00333687" w:rsidRDefault="00C15BF2" w:rsidP="007049FC">
      <w:pPr>
        <w:spacing w:after="120"/>
        <w:jc w:val="center"/>
        <w:rPr>
          <w:rFonts w:ascii="Arial Narrow" w:hAnsi="Arial Narrow" w:cs="Times New Roman"/>
          <w:b/>
          <w:szCs w:val="24"/>
          <w:lang w:val="en-GB" w:bidi="th-TH"/>
        </w:rPr>
      </w:pPr>
      <w:r w:rsidRPr="00333687">
        <w:rPr>
          <w:rFonts w:ascii="Arial Narrow" w:hAnsi="Arial Narrow" w:cs="Times New Roman"/>
          <w:b/>
          <w:szCs w:val="24"/>
          <w:lang w:val="en-GB" w:bidi="th-TH"/>
        </w:rPr>
        <w:t xml:space="preserve">21 July 2022 </w:t>
      </w:r>
    </w:p>
    <w:p w14:paraId="16CFED4F" w14:textId="77777777" w:rsidR="00A62DF9" w:rsidRPr="00333687" w:rsidRDefault="00A62DF9" w:rsidP="007049FC">
      <w:pPr>
        <w:spacing w:after="120"/>
        <w:jc w:val="center"/>
        <w:rPr>
          <w:rFonts w:asciiTheme="minorHAnsi" w:hAnsiTheme="minorHAnsi" w:cstheme="minorHAnsi"/>
          <w:i/>
          <w:sz w:val="20"/>
          <w:lang w:val="en-GB"/>
        </w:rPr>
      </w:pPr>
      <w:r w:rsidRPr="00333687">
        <w:rPr>
          <w:rFonts w:asciiTheme="minorHAnsi" w:hAnsiTheme="minorHAnsi" w:cstheme="minorHAnsi"/>
          <w:i/>
          <w:sz w:val="20"/>
          <w:lang w:val="en-GB"/>
        </w:rPr>
        <w:t>14:00 – 1</w:t>
      </w:r>
      <w:r w:rsidR="00411D53" w:rsidRPr="00333687">
        <w:rPr>
          <w:rFonts w:asciiTheme="minorHAnsi" w:hAnsiTheme="minorHAnsi" w:cstheme="minorHAnsi"/>
          <w:i/>
          <w:sz w:val="20"/>
          <w:lang w:val="en-GB"/>
        </w:rPr>
        <w:t>7:0</w:t>
      </w:r>
      <w:r w:rsidRPr="00333687">
        <w:rPr>
          <w:rFonts w:asciiTheme="minorHAnsi" w:hAnsiTheme="minorHAnsi" w:cstheme="minorHAnsi"/>
          <w:i/>
          <w:sz w:val="20"/>
          <w:lang w:val="en-GB"/>
        </w:rPr>
        <w:t>0</w:t>
      </w:r>
      <w:r w:rsidR="00411D53" w:rsidRPr="00333687">
        <w:rPr>
          <w:rFonts w:asciiTheme="minorHAnsi" w:hAnsiTheme="minorHAnsi" w:cstheme="minorHAnsi"/>
          <w:i/>
          <w:sz w:val="20"/>
          <w:lang w:val="en-GB"/>
        </w:rPr>
        <w:t xml:space="preserve"> GMT +7 (Bangkok) </w:t>
      </w:r>
      <w:r w:rsidR="00411D53" w:rsidRPr="00333687">
        <w:rPr>
          <w:rFonts w:ascii="Calibri" w:eastAsia="SimSun" w:hAnsi="Calibri" w:cs="Arial"/>
          <w:i/>
          <w:iCs/>
          <w:color w:val="000000" w:themeColor="text1"/>
          <w:sz w:val="20"/>
          <w:szCs w:val="20"/>
          <w:lang w:val="en-GB" w:eastAsia="ar-SA"/>
        </w:rPr>
        <w:t>| 9:00 – 12:00</w:t>
      </w:r>
      <w:r w:rsidR="00411D53" w:rsidRPr="00333687">
        <w:rPr>
          <w:rFonts w:asciiTheme="minorHAnsi" w:hAnsiTheme="minorHAnsi" w:cstheme="minorHAnsi"/>
          <w:i/>
          <w:sz w:val="20"/>
          <w:lang w:val="en-GB"/>
        </w:rPr>
        <w:t xml:space="preserve"> CEST (Paris, Brussels) </w:t>
      </w:r>
    </w:p>
    <w:p w14:paraId="41CFA19A" w14:textId="77777777" w:rsidR="001825D7" w:rsidRPr="00333687" w:rsidRDefault="001825D7" w:rsidP="001825D7">
      <w:pPr>
        <w:rPr>
          <w:rFonts w:ascii="Arial Narrow" w:hAnsi="Arial Narrow"/>
          <w:bCs/>
          <w:color w:val="FFFFFF" w:themeColor="background1"/>
          <w:szCs w:val="20"/>
          <w:lang w:val="en-GB"/>
        </w:rPr>
      </w:pPr>
    </w:p>
    <w:tbl>
      <w:tblPr>
        <w:tblStyle w:val="TableGrid"/>
        <w:tblW w:w="0" w:type="auto"/>
        <w:tblLook w:val="04A0" w:firstRow="1" w:lastRow="0" w:firstColumn="1" w:lastColumn="0" w:noHBand="0" w:noVBand="1"/>
      </w:tblPr>
      <w:tblGrid>
        <w:gridCol w:w="9016"/>
      </w:tblGrid>
      <w:tr w:rsidR="00E265DC" w:rsidRPr="00333687" w14:paraId="2B8AFF39" w14:textId="77777777" w:rsidTr="00E265DC">
        <w:tc>
          <w:tcPr>
            <w:tcW w:w="9016" w:type="dxa"/>
            <w:shd w:val="clear" w:color="auto" w:fill="002060"/>
          </w:tcPr>
          <w:p w14:paraId="557769BC" w14:textId="77777777" w:rsidR="008C5B62" w:rsidRPr="00333687" w:rsidRDefault="00E265DC" w:rsidP="00E265DC">
            <w:pPr>
              <w:rPr>
                <w:rFonts w:ascii="Gadugi" w:eastAsiaTheme="minorHAnsi" w:hAnsi="Gadugi" w:cs="Calibri"/>
                <w:b/>
                <w:bCs/>
                <w:color w:val="FFFFFF" w:themeColor="background1"/>
                <w:sz w:val="22"/>
                <w:szCs w:val="20"/>
                <w:lang w:val="en-GB"/>
              </w:rPr>
            </w:pPr>
            <w:r w:rsidRPr="00333687">
              <w:rPr>
                <w:rFonts w:ascii="Gadugi" w:hAnsi="Gadugi"/>
                <w:bCs/>
                <w:color w:val="FFFFFF" w:themeColor="background1"/>
                <w:sz w:val="22"/>
                <w:szCs w:val="20"/>
                <w:lang w:val="en-GB"/>
              </w:rPr>
              <w:t>14:00</w:t>
            </w:r>
            <w:r w:rsidRPr="00333687">
              <w:rPr>
                <w:rFonts w:ascii="Gadugi" w:hAnsi="Gadugi"/>
                <w:b/>
                <w:bCs/>
                <w:color w:val="FFFFFF" w:themeColor="background1"/>
                <w:sz w:val="22"/>
                <w:szCs w:val="20"/>
                <w:lang w:val="en-GB"/>
              </w:rPr>
              <w:t xml:space="preserve">   Welcome and opening remarks</w:t>
            </w:r>
          </w:p>
          <w:p w14:paraId="61203480" w14:textId="77777777" w:rsidR="00E265DC" w:rsidRPr="00333687" w:rsidRDefault="00E265DC" w:rsidP="00E265DC">
            <w:pPr>
              <w:rPr>
                <w:rFonts w:ascii="Gadugi" w:eastAsiaTheme="minorHAnsi" w:hAnsi="Gadugi" w:cs="Calibri"/>
                <w:b/>
                <w:bCs/>
                <w:color w:val="FFFFFF" w:themeColor="background1"/>
                <w:sz w:val="22"/>
                <w:szCs w:val="20"/>
                <w:lang w:val="en-GB"/>
              </w:rPr>
            </w:pPr>
          </w:p>
        </w:tc>
      </w:tr>
      <w:tr w:rsidR="006113E4" w:rsidRPr="00333687" w14:paraId="315481F9" w14:textId="77777777" w:rsidTr="006113E4">
        <w:tc>
          <w:tcPr>
            <w:tcW w:w="9016" w:type="dxa"/>
          </w:tcPr>
          <w:p w14:paraId="0E6DF6B1" w14:textId="77777777" w:rsidR="00E265DC" w:rsidRPr="00333687" w:rsidRDefault="00E265DC" w:rsidP="00A06433">
            <w:pPr>
              <w:spacing w:after="120"/>
              <w:jc w:val="both"/>
              <w:rPr>
                <w:rFonts w:ascii="Arial Narrow" w:hAnsi="Arial Narrow" w:cs="Times New Roman"/>
                <w:i/>
                <w:sz w:val="22"/>
                <w:szCs w:val="27"/>
                <w:lang w:val="en-GB"/>
              </w:rPr>
            </w:pPr>
            <w:r w:rsidRPr="00333687">
              <w:rPr>
                <w:rFonts w:ascii="Arial Narrow" w:hAnsi="Arial Narrow" w:cs="Times New Roman"/>
                <w:i/>
                <w:sz w:val="22"/>
                <w:szCs w:val="27"/>
                <w:lang w:val="en-GB"/>
              </w:rPr>
              <w:t>Brief welcome a</w:t>
            </w:r>
            <w:r w:rsidR="00C218CB" w:rsidRPr="00333687">
              <w:rPr>
                <w:rFonts w:ascii="Arial Narrow" w:hAnsi="Arial Narrow" w:cs="Times New Roman"/>
                <w:i/>
                <w:sz w:val="22"/>
                <w:szCs w:val="27"/>
                <w:lang w:val="en-GB"/>
              </w:rPr>
              <w:t>nd opening remarks from the</w:t>
            </w:r>
            <w:r w:rsidRPr="00333687">
              <w:rPr>
                <w:rFonts w:ascii="Arial Narrow" w:hAnsi="Arial Narrow" w:cs="Times New Roman"/>
                <w:i/>
                <w:sz w:val="22"/>
                <w:szCs w:val="27"/>
                <w:lang w:val="en-GB"/>
              </w:rPr>
              <w:t xml:space="preserve"> APT to set the scene for the workshop.</w:t>
            </w:r>
          </w:p>
          <w:p w14:paraId="2B9D94A2" w14:textId="77777777" w:rsidR="00E265DC" w:rsidRPr="00333687" w:rsidRDefault="00E265DC" w:rsidP="00A06433">
            <w:pPr>
              <w:jc w:val="both"/>
              <w:rPr>
                <w:rFonts w:ascii="Arial Narrow" w:hAnsi="Arial Narrow"/>
                <w:sz w:val="27"/>
                <w:szCs w:val="27"/>
                <w:lang w:val="en-GB"/>
              </w:rPr>
            </w:pPr>
            <w:r w:rsidRPr="00333687">
              <w:rPr>
                <w:rFonts w:ascii="Arial Narrow" w:hAnsi="Arial Narrow"/>
                <w:sz w:val="27"/>
                <w:szCs w:val="27"/>
                <w:lang w:val="en-GB"/>
              </w:rPr>
              <w:t xml:space="preserve">Moderation of the event by [Speaker TBD], OECD Directorate for Science, </w:t>
            </w:r>
            <w:proofErr w:type="gramStart"/>
            <w:r w:rsidRPr="00333687">
              <w:rPr>
                <w:rFonts w:ascii="Arial Narrow" w:hAnsi="Arial Narrow"/>
                <w:sz w:val="27"/>
                <w:szCs w:val="27"/>
                <w:lang w:val="en-GB"/>
              </w:rPr>
              <w:t>Technology</w:t>
            </w:r>
            <w:proofErr w:type="gramEnd"/>
            <w:r w:rsidRPr="00333687">
              <w:rPr>
                <w:rFonts w:ascii="Arial Narrow" w:hAnsi="Arial Narrow"/>
                <w:sz w:val="27"/>
                <w:szCs w:val="27"/>
                <w:lang w:val="en-GB"/>
              </w:rPr>
              <w:t xml:space="preserve"> and Innovation</w:t>
            </w:r>
          </w:p>
          <w:p w14:paraId="575BC465" w14:textId="77777777" w:rsidR="006113E4" w:rsidRPr="00333687" w:rsidRDefault="006113E4" w:rsidP="00A06433">
            <w:pPr>
              <w:spacing w:after="120"/>
              <w:jc w:val="both"/>
              <w:rPr>
                <w:rFonts w:ascii="Arial Narrow" w:hAnsi="Arial Narrow" w:cs="Times New Roman"/>
                <w:sz w:val="27"/>
                <w:szCs w:val="27"/>
                <w:lang w:val="en-GB"/>
              </w:rPr>
            </w:pPr>
            <w:r w:rsidRPr="00333687">
              <w:rPr>
                <w:rFonts w:ascii="Arial Narrow" w:hAnsi="Arial Narrow" w:cs="Times New Roman"/>
                <w:sz w:val="27"/>
                <w:szCs w:val="27"/>
                <w:lang w:val="en-GB"/>
              </w:rPr>
              <w:t xml:space="preserve">Opening remarks by: </w:t>
            </w:r>
          </w:p>
          <w:p w14:paraId="768A43B6" w14:textId="73AF3153" w:rsidR="006113E4" w:rsidRPr="00333687" w:rsidRDefault="006113E4" w:rsidP="00C218CB">
            <w:pPr>
              <w:pStyle w:val="ListParagraph"/>
              <w:numPr>
                <w:ilvl w:val="0"/>
                <w:numId w:val="4"/>
              </w:numPr>
              <w:spacing w:after="120"/>
              <w:rPr>
                <w:rFonts w:ascii="Arial Narrow" w:hAnsi="Arial Narrow" w:cstheme="minorHAnsi"/>
                <w:sz w:val="27"/>
                <w:szCs w:val="27"/>
                <w:lang w:val="en-GB"/>
              </w:rPr>
            </w:pPr>
            <w:r w:rsidRPr="00333687">
              <w:rPr>
                <w:rFonts w:ascii="Arial Narrow" w:hAnsi="Arial Narrow" w:cstheme="minorHAnsi"/>
                <w:b/>
                <w:sz w:val="27"/>
                <w:szCs w:val="27"/>
                <w:lang w:val="en-GB"/>
              </w:rPr>
              <w:t>Mr. Masanori Kondo</w:t>
            </w:r>
            <w:r w:rsidRPr="00333687">
              <w:rPr>
                <w:rFonts w:ascii="Arial Narrow" w:hAnsi="Arial Narrow" w:cstheme="minorHAnsi"/>
                <w:sz w:val="27"/>
                <w:szCs w:val="27"/>
                <w:lang w:val="en-GB"/>
              </w:rPr>
              <w:t xml:space="preserve">, Secretary General, </w:t>
            </w:r>
            <w:r w:rsidRPr="00333687">
              <w:rPr>
                <w:rFonts w:ascii="Arial Narrow" w:eastAsia="Times New Roman" w:hAnsi="Arial Narrow" w:cstheme="minorHAnsi"/>
                <w:sz w:val="27"/>
                <w:szCs w:val="27"/>
                <w:lang w:val="en-GB"/>
              </w:rPr>
              <w:t>Asia-Pacific Telecommunity</w:t>
            </w:r>
          </w:p>
        </w:tc>
      </w:tr>
      <w:tr w:rsidR="00E265DC" w:rsidRPr="00333687" w14:paraId="493861E8" w14:textId="77777777" w:rsidTr="00E265DC">
        <w:tc>
          <w:tcPr>
            <w:tcW w:w="9016" w:type="dxa"/>
            <w:shd w:val="clear" w:color="auto" w:fill="002060"/>
          </w:tcPr>
          <w:p w14:paraId="120AF3D1" w14:textId="77777777" w:rsidR="00E265DC" w:rsidRPr="00333687" w:rsidRDefault="00E265DC" w:rsidP="00E265DC">
            <w:pPr>
              <w:spacing w:after="120"/>
              <w:rPr>
                <w:color w:val="FFFFFF" w:themeColor="background1"/>
                <w:lang w:val="en-GB"/>
              </w:rPr>
            </w:pPr>
            <w:r w:rsidRPr="00333687">
              <w:rPr>
                <w:rFonts w:ascii="Gadugi" w:hAnsi="Gadugi"/>
                <w:bCs/>
                <w:color w:val="FFFFFF" w:themeColor="background1"/>
                <w:sz w:val="22"/>
                <w:szCs w:val="20"/>
                <w:shd w:val="clear" w:color="auto" w:fill="002060"/>
                <w:lang w:val="en-GB"/>
              </w:rPr>
              <w:t>14:20</w:t>
            </w:r>
            <w:r w:rsidRPr="00333687">
              <w:rPr>
                <w:rFonts w:ascii="Gadugi" w:hAnsi="Gadugi"/>
                <w:b/>
                <w:bCs/>
                <w:color w:val="FFFFFF" w:themeColor="background1"/>
                <w:sz w:val="22"/>
                <w:szCs w:val="20"/>
                <w:shd w:val="clear" w:color="auto" w:fill="002060"/>
                <w:lang w:val="en-GB"/>
              </w:rPr>
              <w:t xml:space="preserve">   Keynote Presentation</w:t>
            </w:r>
          </w:p>
        </w:tc>
      </w:tr>
      <w:tr w:rsidR="006113E4" w:rsidRPr="00333687" w14:paraId="3E3D5682" w14:textId="77777777" w:rsidTr="006113E4">
        <w:tc>
          <w:tcPr>
            <w:tcW w:w="9016" w:type="dxa"/>
          </w:tcPr>
          <w:p w14:paraId="1310D7FA" w14:textId="77777777" w:rsidR="006113E4" w:rsidRPr="00724081" w:rsidRDefault="006113E4" w:rsidP="00716E48">
            <w:pPr>
              <w:spacing w:after="120"/>
              <w:jc w:val="both"/>
              <w:rPr>
                <w:rFonts w:ascii="Arial Narrow" w:hAnsi="Arial Narrow" w:cstheme="minorBidi" w:hint="cs"/>
                <w:i/>
                <w:szCs w:val="27"/>
                <w:cs/>
                <w:lang w:val="en-GB" w:bidi="th-TH"/>
              </w:rPr>
            </w:pPr>
            <w:r w:rsidRPr="00333687">
              <w:rPr>
                <w:rFonts w:ascii="Arial Narrow" w:hAnsi="Arial Narrow" w:cs="Times New Roman"/>
                <w:i/>
                <w:sz w:val="22"/>
                <w:lang w:val="en-GB"/>
              </w:rPr>
              <w:t xml:space="preserve">The OECD will present its </w:t>
            </w:r>
            <w:hyperlink r:id="rId24" w:history="1">
              <w:r w:rsidRPr="00333687">
                <w:rPr>
                  <w:rStyle w:val="Hyperlink"/>
                  <w:rFonts w:ascii="Arial Narrow" w:hAnsi="Arial Narrow" w:cs="Times New Roman"/>
                  <w:i/>
                  <w:sz w:val="22"/>
                  <w:lang w:val="en-GB"/>
                </w:rPr>
                <w:t>Recommendation on Broadband Connectivity</w:t>
              </w:r>
            </w:hyperlink>
            <w:r w:rsidRPr="00333687">
              <w:rPr>
                <w:rFonts w:ascii="Arial Narrow" w:hAnsi="Arial Narrow" w:cs="Times New Roman"/>
                <w:i/>
                <w:sz w:val="22"/>
                <w:lang w:val="en-GB"/>
              </w:rPr>
              <w:t>, revised in 2021, outlining the key pillars of the recommendation and the best practice seen around OECD countries to expand broadband connectivi</w:t>
            </w:r>
            <w:r w:rsidR="00C218CB" w:rsidRPr="00333687">
              <w:rPr>
                <w:rFonts w:ascii="Arial Narrow" w:hAnsi="Arial Narrow" w:cs="Times New Roman"/>
                <w:i/>
                <w:sz w:val="22"/>
                <w:lang w:val="en-GB"/>
              </w:rPr>
              <w:t xml:space="preserve">ty in their countries. The presentation </w:t>
            </w:r>
            <w:r w:rsidRPr="00333687">
              <w:rPr>
                <w:rFonts w:ascii="Arial Narrow" w:hAnsi="Arial Narrow" w:cs="Times New Roman"/>
                <w:i/>
                <w:sz w:val="22"/>
                <w:lang w:val="en-GB"/>
              </w:rPr>
              <w:t xml:space="preserve">will highlight </w:t>
            </w:r>
            <w:r w:rsidR="00C218CB" w:rsidRPr="00333687">
              <w:rPr>
                <w:rFonts w:ascii="Arial Narrow" w:hAnsi="Arial Narrow" w:cs="Times New Roman"/>
                <w:i/>
                <w:sz w:val="22"/>
                <w:lang w:val="en-GB"/>
              </w:rPr>
              <w:t>its</w:t>
            </w:r>
            <w:r w:rsidRPr="00333687">
              <w:rPr>
                <w:rFonts w:ascii="Arial Narrow" w:hAnsi="Arial Narrow" w:cs="Times New Roman"/>
                <w:i/>
                <w:sz w:val="22"/>
                <w:lang w:val="en-GB"/>
              </w:rPr>
              <w:t xml:space="preserve"> relevance an</w:t>
            </w:r>
            <w:r w:rsidR="00D67181">
              <w:rPr>
                <w:rFonts w:ascii="Arial Narrow" w:hAnsi="Arial Narrow" w:cs="Times New Roman"/>
                <w:i/>
                <w:sz w:val="22"/>
                <w:lang w:val="en-GB"/>
              </w:rPr>
              <w:t>d applicability to</w:t>
            </w:r>
            <w:r w:rsidRPr="00333687">
              <w:rPr>
                <w:rFonts w:ascii="Arial Narrow" w:hAnsi="Arial Narrow" w:cs="Times New Roman"/>
                <w:i/>
                <w:sz w:val="22"/>
                <w:lang w:val="en-GB"/>
              </w:rPr>
              <w:t xml:space="preserve"> Asia</w:t>
            </w:r>
            <w:r w:rsidR="00D67181">
              <w:rPr>
                <w:rFonts w:ascii="Arial Narrow" w:hAnsi="Arial Narrow" w:cs="Times New Roman"/>
                <w:i/>
                <w:sz w:val="22"/>
                <w:lang w:val="en-GB"/>
              </w:rPr>
              <w:t xml:space="preserve"> Pacific</w:t>
            </w:r>
            <w:r w:rsidRPr="00333687">
              <w:rPr>
                <w:rFonts w:ascii="Arial Narrow" w:hAnsi="Arial Narrow" w:cs="Times New Roman"/>
                <w:i/>
                <w:sz w:val="22"/>
                <w:lang w:val="en-GB"/>
              </w:rPr>
              <w:t>.</w:t>
            </w:r>
            <w:r w:rsidR="00C218CB" w:rsidRPr="00333687">
              <w:rPr>
                <w:rFonts w:ascii="Arial Narrow" w:hAnsi="Arial Narrow" w:cs="Times New Roman"/>
                <w:i/>
                <w:sz w:val="22"/>
                <w:lang w:val="en-GB"/>
              </w:rPr>
              <w:t xml:space="preserve"> The OECD will close by presenting</w:t>
            </w:r>
            <w:r w:rsidRPr="00333687">
              <w:rPr>
                <w:rFonts w:ascii="Arial Narrow" w:hAnsi="Arial Narrow" w:cs="Times New Roman"/>
                <w:i/>
                <w:sz w:val="22"/>
                <w:lang w:val="en-GB"/>
              </w:rPr>
              <w:t xml:space="preserve"> a specific project aimed at developing tailored recommendations to countries in the Southeast Asia region</w:t>
            </w:r>
            <w:r w:rsidRPr="00333687">
              <w:rPr>
                <w:rFonts w:ascii="Arial Narrow" w:hAnsi="Arial Narrow" w:cs="Times New Roman"/>
                <w:i/>
                <w:szCs w:val="27"/>
                <w:lang w:val="en-GB"/>
              </w:rPr>
              <w:t xml:space="preserve">.    </w:t>
            </w:r>
          </w:p>
          <w:p w14:paraId="083A4B5E" w14:textId="77777777" w:rsidR="006113E4" w:rsidRPr="00333687" w:rsidRDefault="006113E4" w:rsidP="006113E4">
            <w:pPr>
              <w:spacing w:after="120"/>
              <w:rPr>
                <w:rFonts w:ascii="Arial Narrow" w:hAnsi="Arial Narrow" w:cs="Times New Roman"/>
                <w:sz w:val="27"/>
                <w:szCs w:val="27"/>
                <w:lang w:val="en-GB"/>
              </w:rPr>
            </w:pPr>
            <w:r w:rsidRPr="00333687">
              <w:rPr>
                <w:rFonts w:ascii="Arial Narrow" w:hAnsi="Arial Narrow" w:cs="Times New Roman"/>
                <w:sz w:val="27"/>
                <w:szCs w:val="27"/>
                <w:lang w:val="en-GB"/>
              </w:rPr>
              <w:t xml:space="preserve">Presentation by: </w:t>
            </w:r>
          </w:p>
          <w:p w14:paraId="3F6A1BCE" w14:textId="77777777" w:rsidR="006113E4" w:rsidRPr="00333687" w:rsidRDefault="006113E4" w:rsidP="006113E4">
            <w:pPr>
              <w:pStyle w:val="ListParagraph"/>
              <w:numPr>
                <w:ilvl w:val="0"/>
                <w:numId w:val="4"/>
              </w:numPr>
              <w:spacing w:after="120"/>
              <w:rPr>
                <w:rFonts w:ascii="Arial Narrow" w:hAnsi="Arial Narrow" w:cstheme="minorHAnsi"/>
                <w:sz w:val="27"/>
                <w:szCs w:val="27"/>
                <w:lang w:val="en-GB"/>
              </w:rPr>
            </w:pPr>
            <w:r w:rsidRPr="00333687">
              <w:rPr>
                <w:rFonts w:ascii="Arial Narrow" w:hAnsi="Arial Narrow" w:cstheme="minorHAnsi"/>
                <w:sz w:val="27"/>
                <w:szCs w:val="27"/>
                <w:lang w:val="en-GB"/>
              </w:rPr>
              <w:t xml:space="preserve">[Speaker, TBD], OECD Directorate for Science, </w:t>
            </w:r>
            <w:proofErr w:type="gramStart"/>
            <w:r w:rsidRPr="00333687">
              <w:rPr>
                <w:rFonts w:ascii="Arial Narrow" w:hAnsi="Arial Narrow" w:cstheme="minorHAnsi"/>
                <w:sz w:val="27"/>
                <w:szCs w:val="27"/>
                <w:lang w:val="en-GB"/>
              </w:rPr>
              <w:t>Technology</w:t>
            </w:r>
            <w:proofErr w:type="gramEnd"/>
            <w:r w:rsidRPr="00333687">
              <w:rPr>
                <w:rFonts w:ascii="Arial Narrow" w:hAnsi="Arial Narrow" w:cstheme="minorHAnsi"/>
                <w:sz w:val="27"/>
                <w:szCs w:val="27"/>
                <w:lang w:val="en-GB"/>
              </w:rPr>
              <w:t xml:space="preserve"> and Innovation</w:t>
            </w:r>
          </w:p>
          <w:p w14:paraId="64B992B0" w14:textId="77777777" w:rsidR="006113E4" w:rsidRPr="00333687" w:rsidRDefault="00C218CB" w:rsidP="00C218CB">
            <w:pPr>
              <w:spacing w:after="120"/>
              <w:rPr>
                <w:rFonts w:ascii="Arial Narrow" w:hAnsi="Arial Narrow" w:cstheme="minorHAnsi"/>
                <w:sz w:val="27"/>
                <w:szCs w:val="27"/>
                <w:lang w:val="en-GB"/>
              </w:rPr>
            </w:pPr>
            <w:r w:rsidRPr="00333687">
              <w:rPr>
                <w:rFonts w:ascii="Arial Narrow" w:hAnsi="Arial Narrow" w:cs="Times New Roman"/>
                <w:sz w:val="27"/>
                <w:szCs w:val="27"/>
                <w:lang w:val="en-GB"/>
              </w:rPr>
              <w:t>Floor opened for questions from participants</w:t>
            </w:r>
          </w:p>
        </w:tc>
      </w:tr>
      <w:tr w:rsidR="006113E4" w:rsidRPr="00333687" w14:paraId="143517CA" w14:textId="77777777" w:rsidTr="00E265DC">
        <w:tc>
          <w:tcPr>
            <w:tcW w:w="9016" w:type="dxa"/>
            <w:shd w:val="clear" w:color="auto" w:fill="002060"/>
          </w:tcPr>
          <w:p w14:paraId="522C9AA2" w14:textId="77777777" w:rsidR="006113E4" w:rsidRPr="00333687" w:rsidRDefault="006113E4" w:rsidP="006113E4">
            <w:pPr>
              <w:spacing w:after="120"/>
              <w:rPr>
                <w:rFonts w:ascii="Gadugi" w:hAnsi="Gadugi"/>
                <w:b/>
                <w:bCs/>
                <w:color w:val="4F81BD"/>
                <w:sz w:val="22"/>
                <w:szCs w:val="20"/>
                <w:lang w:val="en-GB"/>
              </w:rPr>
            </w:pPr>
            <w:r w:rsidRPr="00333687">
              <w:rPr>
                <w:rFonts w:ascii="Gadugi" w:hAnsi="Gadugi"/>
                <w:bCs/>
                <w:color w:val="FFFFFF" w:themeColor="background1"/>
                <w:sz w:val="22"/>
                <w:szCs w:val="20"/>
                <w:lang w:val="en-GB"/>
              </w:rPr>
              <w:lastRenderedPageBreak/>
              <w:t>14:50</w:t>
            </w:r>
            <w:r w:rsidRPr="00333687">
              <w:rPr>
                <w:rFonts w:ascii="Gadugi" w:hAnsi="Gadugi"/>
                <w:b/>
                <w:bCs/>
                <w:color w:val="FFFFFF" w:themeColor="background1"/>
                <w:sz w:val="22"/>
                <w:szCs w:val="20"/>
                <w:lang w:val="en-GB"/>
              </w:rPr>
              <w:t xml:space="preserve"> </w:t>
            </w:r>
            <w:r w:rsidR="00E265DC" w:rsidRPr="00333687">
              <w:rPr>
                <w:rFonts w:ascii="Gadugi" w:hAnsi="Gadugi"/>
                <w:b/>
                <w:bCs/>
                <w:color w:val="FFFFFF" w:themeColor="background1"/>
                <w:sz w:val="22"/>
                <w:szCs w:val="20"/>
                <w:lang w:val="en-GB"/>
              </w:rPr>
              <w:t xml:space="preserve">  </w:t>
            </w:r>
            <w:r w:rsidRPr="00333687">
              <w:rPr>
                <w:rFonts w:ascii="Gadugi" w:hAnsi="Gadugi"/>
                <w:b/>
                <w:bCs/>
                <w:color w:val="FFFFFF" w:themeColor="background1"/>
                <w:sz w:val="22"/>
                <w:szCs w:val="20"/>
                <w:lang w:val="en-GB"/>
              </w:rPr>
              <w:t xml:space="preserve">Coffee Break </w:t>
            </w:r>
          </w:p>
        </w:tc>
      </w:tr>
      <w:tr w:rsidR="00E265DC" w:rsidRPr="00333687" w14:paraId="1410076A" w14:textId="77777777" w:rsidTr="00E265DC">
        <w:tc>
          <w:tcPr>
            <w:tcW w:w="9016" w:type="dxa"/>
            <w:shd w:val="clear" w:color="auto" w:fill="002060"/>
          </w:tcPr>
          <w:p w14:paraId="53DE592D" w14:textId="77777777" w:rsidR="00E265DC" w:rsidRPr="00333687" w:rsidRDefault="00E265DC" w:rsidP="006113E4">
            <w:pPr>
              <w:spacing w:after="120"/>
              <w:rPr>
                <w:rFonts w:ascii="Gadugi" w:hAnsi="Gadugi"/>
                <w:b/>
                <w:bCs/>
                <w:color w:val="FFFFFF" w:themeColor="background1"/>
                <w:sz w:val="22"/>
                <w:szCs w:val="20"/>
                <w:lang w:val="en-GB"/>
              </w:rPr>
            </w:pPr>
            <w:r w:rsidRPr="00333687">
              <w:rPr>
                <w:rFonts w:ascii="Gadugi" w:hAnsi="Gadugi"/>
                <w:bCs/>
                <w:color w:val="FFFFFF" w:themeColor="background1"/>
                <w:sz w:val="22"/>
                <w:szCs w:val="20"/>
                <w:lang w:val="en-GB"/>
              </w:rPr>
              <w:t>15:20</w:t>
            </w:r>
            <w:r w:rsidRPr="00333687">
              <w:rPr>
                <w:rFonts w:ascii="Gadugi" w:hAnsi="Gadugi"/>
                <w:b/>
                <w:bCs/>
                <w:color w:val="FFFFFF" w:themeColor="background1"/>
                <w:sz w:val="22"/>
                <w:szCs w:val="20"/>
                <w:lang w:val="en-GB"/>
              </w:rPr>
              <w:t xml:space="preserve">   Panel discussion with Q&amp;A: Challenges policy makers face to expanding connecti</w:t>
            </w:r>
            <w:r w:rsidR="00EC66E2" w:rsidRPr="00333687">
              <w:rPr>
                <w:rFonts w:ascii="Gadugi" w:hAnsi="Gadugi"/>
                <w:b/>
                <w:bCs/>
                <w:color w:val="FFFFFF" w:themeColor="background1"/>
                <w:sz w:val="22"/>
                <w:szCs w:val="20"/>
                <w:lang w:val="en-GB"/>
              </w:rPr>
              <w:t xml:space="preserve">vity in the Asia </w:t>
            </w:r>
            <w:r w:rsidRPr="00333687">
              <w:rPr>
                <w:rFonts w:ascii="Gadugi" w:hAnsi="Gadugi"/>
                <w:b/>
                <w:bCs/>
                <w:color w:val="FFFFFF" w:themeColor="background1"/>
                <w:sz w:val="22"/>
                <w:szCs w:val="20"/>
                <w:lang w:val="en-GB"/>
              </w:rPr>
              <w:t>Pacific region</w:t>
            </w:r>
          </w:p>
        </w:tc>
      </w:tr>
      <w:tr w:rsidR="006113E4" w:rsidRPr="00333687" w14:paraId="40EC0AE0" w14:textId="77777777" w:rsidTr="006113E4">
        <w:tc>
          <w:tcPr>
            <w:tcW w:w="9016" w:type="dxa"/>
          </w:tcPr>
          <w:p w14:paraId="45F92ED8" w14:textId="77777777" w:rsidR="006113E4" w:rsidRPr="00333687" w:rsidRDefault="006113E4" w:rsidP="00716E48">
            <w:pPr>
              <w:spacing w:after="120"/>
              <w:jc w:val="both"/>
              <w:rPr>
                <w:lang w:val="en-GB"/>
              </w:rPr>
            </w:pPr>
            <w:r w:rsidRPr="00333687">
              <w:rPr>
                <w:rFonts w:ascii="Arial Narrow" w:hAnsi="Arial Narrow" w:cs="Times New Roman"/>
                <w:i/>
                <w:sz w:val="22"/>
                <w:szCs w:val="27"/>
                <w:lang w:val="en-GB"/>
              </w:rPr>
              <w:t xml:space="preserve">The OECD moderator will introduce the panellists and lead the discussion. Each panellist will be encouraged to describe the state of connectivity in their country, explain the challenges policy makers face to expand and improve broadband connectivity and describe current policy initiatives aimed at overcoming such challenges and their effectiveness. The composition of the panel will include a regional representation </w:t>
            </w:r>
            <w:r w:rsidR="00D67181">
              <w:rPr>
                <w:rFonts w:ascii="Arial Narrow" w:hAnsi="Arial Narrow" w:cs="Times New Roman"/>
                <w:i/>
                <w:sz w:val="22"/>
                <w:szCs w:val="27"/>
                <w:lang w:val="en-GB"/>
              </w:rPr>
              <w:t>across Asia Pacific, targeting</w:t>
            </w:r>
            <w:r w:rsidRPr="00333687">
              <w:rPr>
                <w:rFonts w:ascii="Arial Narrow" w:hAnsi="Arial Narrow" w:cs="Times New Roman"/>
                <w:i/>
                <w:sz w:val="22"/>
                <w:szCs w:val="27"/>
                <w:lang w:val="en-GB"/>
              </w:rPr>
              <w:t xml:space="preserve"> regul</w:t>
            </w:r>
            <w:r w:rsidRPr="00333687">
              <w:rPr>
                <w:rFonts w:ascii="Arial Narrow" w:hAnsi="Arial Narrow" w:cs="Times New Roman"/>
                <w:i/>
                <w:sz w:val="22"/>
                <w:lang w:val="en-GB"/>
              </w:rPr>
              <w:t>ators and policy makers in ministries and government agencies, as well as industry and civil society representatives.</w:t>
            </w:r>
          </w:p>
          <w:p w14:paraId="0386FD4C" w14:textId="77777777" w:rsidR="006113E4" w:rsidRPr="00333687" w:rsidRDefault="006113E4" w:rsidP="006113E4">
            <w:pPr>
              <w:spacing w:after="120"/>
              <w:rPr>
                <w:rFonts w:ascii="Arial Narrow" w:hAnsi="Arial Narrow" w:cs="Times New Roman"/>
                <w:sz w:val="27"/>
                <w:szCs w:val="27"/>
                <w:lang w:val="en-GB"/>
              </w:rPr>
            </w:pPr>
            <w:r w:rsidRPr="00333687">
              <w:rPr>
                <w:rFonts w:ascii="Arial Narrow" w:hAnsi="Arial Narrow" w:cs="Times New Roman"/>
                <w:sz w:val="27"/>
                <w:szCs w:val="27"/>
                <w:lang w:val="en-GB"/>
              </w:rPr>
              <w:t xml:space="preserve">Panel discussion with: </w:t>
            </w:r>
          </w:p>
          <w:p w14:paraId="6CB00481" w14:textId="77777777" w:rsidR="006113E4" w:rsidRPr="00333687" w:rsidRDefault="006113E4" w:rsidP="006113E4">
            <w:pPr>
              <w:pStyle w:val="ListParagraph"/>
              <w:numPr>
                <w:ilvl w:val="0"/>
                <w:numId w:val="4"/>
              </w:numPr>
              <w:spacing w:after="120"/>
              <w:rPr>
                <w:color w:val="000000" w:themeColor="text1"/>
                <w:szCs w:val="24"/>
                <w:lang w:val="en-GB"/>
              </w:rPr>
            </w:pPr>
            <w:r w:rsidRPr="00333687">
              <w:rPr>
                <w:rFonts w:ascii="Arial Narrow" w:hAnsi="Arial Narrow" w:cstheme="minorHAnsi"/>
                <w:sz w:val="27"/>
                <w:szCs w:val="27"/>
                <w:lang w:val="en-GB"/>
              </w:rPr>
              <w:t xml:space="preserve">[Speaker, TBD], East and Northeast Asia </w:t>
            </w:r>
            <w:r w:rsidR="009F3CAF" w:rsidRPr="00333687">
              <w:rPr>
                <w:rFonts w:ascii="Arial Narrow" w:hAnsi="Arial Narrow" w:cstheme="minorHAnsi"/>
                <w:sz w:val="27"/>
                <w:szCs w:val="27"/>
                <w:lang w:val="en-GB"/>
              </w:rPr>
              <w:t>region</w:t>
            </w:r>
          </w:p>
          <w:p w14:paraId="37A9B609" w14:textId="77777777" w:rsidR="006113E4" w:rsidRPr="00333687" w:rsidRDefault="006113E4" w:rsidP="006113E4">
            <w:pPr>
              <w:pStyle w:val="ListParagraph"/>
              <w:numPr>
                <w:ilvl w:val="0"/>
                <w:numId w:val="4"/>
              </w:numPr>
              <w:spacing w:after="120"/>
              <w:rPr>
                <w:color w:val="000000" w:themeColor="text1"/>
                <w:szCs w:val="24"/>
                <w:lang w:val="en-GB"/>
              </w:rPr>
            </w:pPr>
            <w:r w:rsidRPr="00333687">
              <w:rPr>
                <w:rFonts w:ascii="Arial Narrow" w:hAnsi="Arial Narrow" w:cstheme="minorHAnsi"/>
                <w:sz w:val="27"/>
                <w:szCs w:val="27"/>
                <w:lang w:val="en-GB"/>
              </w:rPr>
              <w:t xml:space="preserve">[Speaker, TBD], Pacific region </w:t>
            </w:r>
          </w:p>
          <w:p w14:paraId="04B943C6" w14:textId="77777777" w:rsidR="006113E4" w:rsidRPr="00333687" w:rsidRDefault="006113E4" w:rsidP="006113E4">
            <w:pPr>
              <w:pStyle w:val="ListParagraph"/>
              <w:numPr>
                <w:ilvl w:val="0"/>
                <w:numId w:val="4"/>
              </w:numPr>
              <w:spacing w:after="120"/>
              <w:rPr>
                <w:color w:val="000000" w:themeColor="text1"/>
                <w:szCs w:val="24"/>
                <w:lang w:val="en-GB"/>
              </w:rPr>
            </w:pPr>
            <w:r w:rsidRPr="00333687">
              <w:rPr>
                <w:rFonts w:ascii="Arial Narrow" w:hAnsi="Arial Narrow" w:cstheme="minorHAnsi"/>
                <w:sz w:val="27"/>
                <w:szCs w:val="27"/>
                <w:lang w:val="en-GB"/>
              </w:rPr>
              <w:t xml:space="preserve">[Speaker, TBD], South and Southwest Asia region </w:t>
            </w:r>
          </w:p>
          <w:p w14:paraId="5269C7DD" w14:textId="77777777" w:rsidR="006113E4" w:rsidRPr="00333687" w:rsidRDefault="006113E4" w:rsidP="006113E4">
            <w:pPr>
              <w:pStyle w:val="ListParagraph"/>
              <w:numPr>
                <w:ilvl w:val="0"/>
                <w:numId w:val="4"/>
              </w:numPr>
              <w:spacing w:after="120"/>
              <w:rPr>
                <w:color w:val="000000" w:themeColor="text1"/>
                <w:szCs w:val="24"/>
                <w:lang w:val="en-GB"/>
              </w:rPr>
            </w:pPr>
            <w:r w:rsidRPr="00333687">
              <w:rPr>
                <w:rFonts w:ascii="Arial Narrow" w:hAnsi="Arial Narrow" w:cstheme="minorHAnsi"/>
                <w:sz w:val="27"/>
                <w:szCs w:val="27"/>
                <w:lang w:val="en-GB"/>
              </w:rPr>
              <w:t xml:space="preserve">[Speaker, TBD], Southeast </w:t>
            </w:r>
            <w:r w:rsidR="00D67181">
              <w:rPr>
                <w:rFonts w:ascii="Arial Narrow" w:hAnsi="Arial Narrow" w:cstheme="minorHAnsi"/>
                <w:sz w:val="27"/>
                <w:szCs w:val="27"/>
                <w:lang w:val="en-GB"/>
              </w:rPr>
              <w:t xml:space="preserve">Asia </w:t>
            </w:r>
            <w:r w:rsidRPr="00333687">
              <w:rPr>
                <w:rFonts w:ascii="Arial Narrow" w:hAnsi="Arial Narrow" w:cstheme="minorHAnsi"/>
                <w:sz w:val="27"/>
                <w:szCs w:val="27"/>
                <w:lang w:val="en-GB"/>
              </w:rPr>
              <w:t xml:space="preserve">region </w:t>
            </w:r>
          </w:p>
          <w:p w14:paraId="3F254752" w14:textId="77777777" w:rsidR="008C5B62" w:rsidRPr="00333687" w:rsidRDefault="006113E4" w:rsidP="006113E4">
            <w:pPr>
              <w:pStyle w:val="ListParagraph"/>
              <w:numPr>
                <w:ilvl w:val="0"/>
                <w:numId w:val="4"/>
              </w:numPr>
              <w:spacing w:after="120"/>
              <w:rPr>
                <w:color w:val="000000" w:themeColor="text1"/>
                <w:szCs w:val="24"/>
                <w:lang w:val="en-GB"/>
              </w:rPr>
            </w:pPr>
            <w:r w:rsidRPr="00333687">
              <w:rPr>
                <w:rFonts w:ascii="Arial Narrow" w:hAnsi="Arial Narrow" w:cstheme="minorHAnsi"/>
                <w:sz w:val="27"/>
                <w:szCs w:val="27"/>
                <w:lang w:val="en-GB"/>
              </w:rPr>
              <w:t xml:space="preserve">[Speaker, TBD], Industry representative and/or civil society </w:t>
            </w:r>
          </w:p>
          <w:p w14:paraId="142DED0F" w14:textId="77777777" w:rsidR="006113E4" w:rsidRPr="00333687" w:rsidRDefault="00C218CB" w:rsidP="008C5B62">
            <w:pPr>
              <w:spacing w:after="120"/>
              <w:rPr>
                <w:rFonts w:ascii="Arial Narrow" w:hAnsi="Arial Narrow" w:cs="Times New Roman"/>
                <w:sz w:val="27"/>
                <w:szCs w:val="27"/>
                <w:lang w:val="en-GB"/>
              </w:rPr>
            </w:pPr>
            <w:r w:rsidRPr="00333687">
              <w:rPr>
                <w:rFonts w:ascii="Arial Narrow" w:hAnsi="Arial Narrow" w:cs="Times New Roman"/>
                <w:sz w:val="27"/>
                <w:szCs w:val="27"/>
                <w:lang w:val="en-GB"/>
              </w:rPr>
              <w:t>Floor opened for p</w:t>
            </w:r>
            <w:r w:rsidR="006113E4" w:rsidRPr="00333687">
              <w:rPr>
                <w:rFonts w:ascii="Arial Narrow" w:hAnsi="Arial Narrow" w:cs="Times New Roman"/>
                <w:sz w:val="27"/>
                <w:szCs w:val="27"/>
                <w:lang w:val="en-GB"/>
              </w:rPr>
              <w:t>anel Q&amp;A</w:t>
            </w:r>
          </w:p>
        </w:tc>
      </w:tr>
      <w:tr w:rsidR="00E265DC" w:rsidRPr="00333687" w14:paraId="12F1187D" w14:textId="77777777" w:rsidTr="00E265DC">
        <w:tc>
          <w:tcPr>
            <w:tcW w:w="9016" w:type="dxa"/>
            <w:shd w:val="clear" w:color="auto" w:fill="002060"/>
          </w:tcPr>
          <w:p w14:paraId="3A6A1695" w14:textId="77777777" w:rsidR="00E265DC" w:rsidRPr="00333687" w:rsidRDefault="00E265DC" w:rsidP="00E265DC">
            <w:pPr>
              <w:shd w:val="clear" w:color="auto" w:fill="002060"/>
              <w:rPr>
                <w:rFonts w:ascii="Gadugi" w:eastAsiaTheme="minorHAnsi" w:hAnsi="Gadugi" w:cs="Calibri"/>
                <w:b/>
                <w:bCs/>
                <w:color w:val="FFFFFF" w:themeColor="background1"/>
                <w:sz w:val="22"/>
                <w:szCs w:val="20"/>
                <w:lang w:val="en-GB"/>
              </w:rPr>
            </w:pPr>
            <w:r w:rsidRPr="00333687">
              <w:rPr>
                <w:rFonts w:ascii="Gadugi" w:hAnsi="Gadugi"/>
                <w:b/>
                <w:bCs/>
                <w:color w:val="FFFFFF" w:themeColor="background1"/>
                <w:sz w:val="22"/>
                <w:szCs w:val="20"/>
                <w:lang w:val="en-GB"/>
              </w:rPr>
              <w:t xml:space="preserve">16:45 – Closing remarks </w:t>
            </w:r>
          </w:p>
        </w:tc>
      </w:tr>
      <w:tr w:rsidR="006113E4" w:rsidRPr="00333687" w14:paraId="1F8F403B" w14:textId="77777777" w:rsidTr="006113E4">
        <w:tc>
          <w:tcPr>
            <w:tcW w:w="9016" w:type="dxa"/>
          </w:tcPr>
          <w:p w14:paraId="46453C64" w14:textId="7C7CEB2C" w:rsidR="006113E4" w:rsidRPr="00333687" w:rsidRDefault="006113E4" w:rsidP="006113E4">
            <w:pPr>
              <w:spacing w:after="120"/>
              <w:rPr>
                <w:rFonts w:ascii="Arial Narrow" w:hAnsi="Arial Narrow" w:cs="Times New Roman"/>
                <w:i/>
                <w:szCs w:val="27"/>
                <w:lang w:val="en-GB"/>
              </w:rPr>
            </w:pPr>
            <w:r w:rsidRPr="00333687">
              <w:rPr>
                <w:rFonts w:ascii="Arial Narrow" w:hAnsi="Arial Narrow" w:cs="Times New Roman"/>
                <w:i/>
                <w:szCs w:val="27"/>
                <w:lang w:val="en-GB"/>
              </w:rPr>
              <w:t>Closing</w:t>
            </w:r>
            <w:r w:rsidR="00C218CB" w:rsidRPr="00333687">
              <w:rPr>
                <w:rFonts w:ascii="Arial Narrow" w:hAnsi="Arial Narrow" w:cs="Times New Roman"/>
                <w:i/>
                <w:szCs w:val="27"/>
                <w:lang w:val="en-GB"/>
              </w:rPr>
              <w:t xml:space="preserve"> remarks from the</w:t>
            </w:r>
            <w:r w:rsidRPr="00333687">
              <w:rPr>
                <w:rFonts w:ascii="Arial Narrow" w:hAnsi="Arial Narrow" w:cs="Times New Roman"/>
                <w:i/>
                <w:szCs w:val="27"/>
                <w:lang w:val="en-GB"/>
              </w:rPr>
              <w:t xml:space="preserve"> </w:t>
            </w:r>
            <w:r w:rsidR="00A06433">
              <w:rPr>
                <w:rFonts w:ascii="Arial Narrow" w:hAnsi="Arial Narrow" w:cs="Times New Roman"/>
                <w:i/>
                <w:szCs w:val="27"/>
              </w:rPr>
              <w:t>OECD</w:t>
            </w:r>
            <w:r w:rsidRPr="00333687">
              <w:rPr>
                <w:rFonts w:ascii="Arial Narrow" w:hAnsi="Arial Narrow" w:cs="Times New Roman"/>
                <w:i/>
                <w:szCs w:val="27"/>
                <w:lang w:val="en-GB"/>
              </w:rPr>
              <w:t xml:space="preserve"> to wrap up the discussion from the workshop.</w:t>
            </w:r>
          </w:p>
          <w:p w14:paraId="692A9F05" w14:textId="77777777" w:rsidR="006113E4" w:rsidRPr="00333687" w:rsidRDefault="006113E4" w:rsidP="006113E4">
            <w:pPr>
              <w:spacing w:after="120"/>
              <w:rPr>
                <w:rFonts w:ascii="Arial Narrow" w:hAnsi="Arial Narrow" w:cs="Times New Roman"/>
                <w:sz w:val="27"/>
                <w:szCs w:val="27"/>
                <w:lang w:val="en-GB"/>
              </w:rPr>
            </w:pPr>
            <w:r w:rsidRPr="00333687">
              <w:rPr>
                <w:rFonts w:ascii="Arial Narrow" w:hAnsi="Arial Narrow" w:cs="Times New Roman"/>
                <w:sz w:val="27"/>
                <w:szCs w:val="27"/>
                <w:lang w:val="en-GB"/>
              </w:rPr>
              <w:t xml:space="preserve">Closing remarks by: </w:t>
            </w:r>
          </w:p>
          <w:p w14:paraId="232362BA" w14:textId="28DAC1C1" w:rsidR="009C2B96" w:rsidRPr="00333687" w:rsidRDefault="00A06433" w:rsidP="00C218CB">
            <w:pPr>
              <w:pStyle w:val="ListParagraph"/>
              <w:numPr>
                <w:ilvl w:val="0"/>
                <w:numId w:val="4"/>
              </w:numPr>
              <w:spacing w:after="120"/>
              <w:rPr>
                <w:rFonts w:ascii="Arial Narrow" w:hAnsi="Arial Narrow" w:cstheme="minorHAnsi"/>
                <w:sz w:val="27"/>
                <w:szCs w:val="27"/>
                <w:lang w:val="en-GB"/>
              </w:rPr>
            </w:pPr>
            <w:r w:rsidRPr="00A06433">
              <w:rPr>
                <w:rFonts w:ascii="Arial Narrow" w:hAnsi="Arial Narrow" w:cstheme="minorHAnsi"/>
                <w:b/>
                <w:sz w:val="27"/>
                <w:szCs w:val="27"/>
                <w:lang w:val="en-GB"/>
              </w:rPr>
              <w:t>Organisation for Economic Co-operation and Development (OECD)</w:t>
            </w:r>
          </w:p>
        </w:tc>
      </w:tr>
    </w:tbl>
    <w:p w14:paraId="559FD5EC" w14:textId="77777777" w:rsidR="006113E4" w:rsidRPr="00333687" w:rsidRDefault="006113E4" w:rsidP="001825D7">
      <w:pPr>
        <w:rPr>
          <w:rFonts w:ascii="Arial Narrow" w:hAnsi="Arial Narrow"/>
          <w:bCs/>
          <w:szCs w:val="20"/>
          <w:lang w:val="en-GB"/>
        </w:rPr>
      </w:pPr>
    </w:p>
    <w:p w14:paraId="6FDEAB4E" w14:textId="77777777" w:rsidR="006113E4" w:rsidRPr="00333687" w:rsidRDefault="006113E4" w:rsidP="001825D7">
      <w:pPr>
        <w:rPr>
          <w:rFonts w:ascii="Arial Narrow" w:hAnsi="Arial Narrow"/>
          <w:bCs/>
          <w:szCs w:val="20"/>
          <w:lang w:val="en-GB"/>
        </w:rPr>
      </w:pPr>
    </w:p>
    <w:p w14:paraId="4C5EB0BE" w14:textId="77777777" w:rsidR="001825D7" w:rsidRPr="00333687" w:rsidRDefault="001825D7" w:rsidP="001825D7">
      <w:pPr>
        <w:rPr>
          <w:rFonts w:ascii="Gadugi" w:hAnsi="Gadugi"/>
          <w:b/>
          <w:bCs/>
          <w:color w:val="4F81BD"/>
          <w:sz w:val="22"/>
          <w:szCs w:val="20"/>
          <w:lang w:val="en-GB"/>
        </w:rPr>
      </w:pPr>
    </w:p>
    <w:p w14:paraId="67AF47F5" w14:textId="77777777" w:rsidR="002E23F7" w:rsidRPr="00333687" w:rsidRDefault="002E23F7" w:rsidP="00B324B2">
      <w:pPr>
        <w:spacing w:after="120"/>
        <w:ind w:firstLine="720"/>
        <w:rPr>
          <w:lang w:val="en-GB"/>
        </w:rPr>
      </w:pPr>
    </w:p>
    <w:p w14:paraId="4A68612A" w14:textId="77777777" w:rsidR="002E23F7" w:rsidRPr="00333687" w:rsidRDefault="002E23F7" w:rsidP="006113E4">
      <w:pPr>
        <w:rPr>
          <w:rFonts w:ascii="Arial Narrow" w:hAnsi="Arial Narrow" w:cstheme="minorHAnsi"/>
          <w:sz w:val="27"/>
          <w:szCs w:val="27"/>
          <w:lang w:val="en-GB"/>
        </w:rPr>
      </w:pPr>
    </w:p>
    <w:p w14:paraId="216455F6" w14:textId="77777777" w:rsidR="002E23F7" w:rsidRPr="00333687" w:rsidRDefault="002E23F7" w:rsidP="00B324B2">
      <w:pPr>
        <w:spacing w:after="120"/>
        <w:ind w:firstLine="720"/>
        <w:rPr>
          <w:lang w:val="en-GB"/>
        </w:rPr>
      </w:pPr>
    </w:p>
    <w:sectPr w:rsidR="002E23F7" w:rsidRPr="00333687" w:rsidSect="00724081">
      <w:footerReference w:type="default" r:id="rId25"/>
      <w:pgSz w:w="11906" w:h="16838"/>
      <w:pgMar w:top="956" w:right="1133" w:bottom="568" w:left="144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5052" w14:textId="77777777" w:rsidR="007537E9" w:rsidRDefault="007537E9" w:rsidP="00E265DC">
      <w:r>
        <w:separator/>
      </w:r>
    </w:p>
  </w:endnote>
  <w:endnote w:type="continuationSeparator" w:id="0">
    <w:p w14:paraId="20B51283" w14:textId="77777777" w:rsidR="007537E9" w:rsidRDefault="007537E9" w:rsidP="00E265DC">
      <w:r>
        <w:continuationSeparator/>
      </w:r>
    </w:p>
  </w:endnote>
  <w:endnote w:type="continuationNotice" w:id="1">
    <w:p w14:paraId="0D209E02" w14:textId="77777777" w:rsidR="007537E9" w:rsidRDefault="00753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default"/>
  </w:font>
  <w:font w:name="Gadugi">
    <w:panose1 w:val="020B0502040204020203"/>
    <w:charset w:val="00"/>
    <w:family w:val="swiss"/>
    <w:pitch w:val="variable"/>
    <w:sig w:usb0="80000003" w:usb1="02000000" w:usb2="00003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549646"/>
      <w:docPartObj>
        <w:docPartGallery w:val="Page Numbers (Bottom of Page)"/>
        <w:docPartUnique/>
      </w:docPartObj>
    </w:sdtPr>
    <w:sdtEndPr>
      <w:rPr>
        <w:rFonts w:asciiTheme="minorHAnsi" w:hAnsiTheme="minorHAnsi" w:cstheme="minorHAnsi"/>
        <w:noProof/>
        <w:sz w:val="22"/>
      </w:rPr>
    </w:sdtEndPr>
    <w:sdtContent>
      <w:p w14:paraId="007CF82C" w14:textId="77777777" w:rsidR="00E265DC" w:rsidRPr="00E265DC" w:rsidRDefault="00E265DC">
        <w:pPr>
          <w:pStyle w:val="Footer"/>
          <w:jc w:val="right"/>
          <w:rPr>
            <w:rFonts w:asciiTheme="minorHAnsi" w:hAnsiTheme="minorHAnsi" w:cstheme="minorHAnsi"/>
            <w:sz w:val="22"/>
          </w:rPr>
        </w:pPr>
        <w:r w:rsidRPr="00E265DC">
          <w:rPr>
            <w:rFonts w:asciiTheme="minorHAnsi" w:hAnsiTheme="minorHAnsi" w:cstheme="minorHAnsi"/>
            <w:sz w:val="22"/>
          </w:rPr>
          <w:fldChar w:fldCharType="begin"/>
        </w:r>
        <w:r w:rsidRPr="00E265DC">
          <w:rPr>
            <w:rFonts w:asciiTheme="minorHAnsi" w:hAnsiTheme="minorHAnsi" w:cstheme="minorHAnsi"/>
            <w:sz w:val="22"/>
          </w:rPr>
          <w:instrText xml:space="preserve"> PAGE   \* MERGEFORMAT </w:instrText>
        </w:r>
        <w:r w:rsidRPr="00E265DC">
          <w:rPr>
            <w:rFonts w:asciiTheme="minorHAnsi" w:hAnsiTheme="minorHAnsi" w:cstheme="minorHAnsi"/>
            <w:sz w:val="22"/>
          </w:rPr>
          <w:fldChar w:fldCharType="separate"/>
        </w:r>
        <w:r w:rsidR="000378C4">
          <w:rPr>
            <w:rFonts w:asciiTheme="minorHAnsi" w:hAnsiTheme="minorHAnsi" w:cstheme="minorHAnsi"/>
            <w:noProof/>
            <w:sz w:val="22"/>
          </w:rPr>
          <w:t>1</w:t>
        </w:r>
        <w:r w:rsidRPr="00E265DC">
          <w:rPr>
            <w:rFonts w:asciiTheme="minorHAnsi" w:hAnsiTheme="minorHAnsi" w:cstheme="minorHAnsi"/>
            <w:noProof/>
            <w:sz w:val="22"/>
          </w:rPr>
          <w:fldChar w:fldCharType="end"/>
        </w:r>
      </w:p>
    </w:sdtContent>
  </w:sdt>
  <w:p w14:paraId="55496E06" w14:textId="77777777" w:rsidR="00E265DC" w:rsidRDefault="00E2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E2D4" w14:textId="77777777" w:rsidR="007537E9" w:rsidRDefault="007537E9" w:rsidP="00E265DC">
      <w:r>
        <w:separator/>
      </w:r>
    </w:p>
  </w:footnote>
  <w:footnote w:type="continuationSeparator" w:id="0">
    <w:p w14:paraId="39100C30" w14:textId="77777777" w:rsidR="007537E9" w:rsidRDefault="007537E9" w:rsidP="00E265DC">
      <w:r>
        <w:continuationSeparator/>
      </w:r>
    </w:p>
  </w:footnote>
  <w:footnote w:type="continuationNotice" w:id="1">
    <w:p w14:paraId="06CFD0F3" w14:textId="77777777" w:rsidR="007537E9" w:rsidRDefault="007537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449"/>
    <w:multiLevelType w:val="hybridMultilevel"/>
    <w:tmpl w:val="35B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77FBC"/>
    <w:multiLevelType w:val="hybridMultilevel"/>
    <w:tmpl w:val="3E4C3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B17272"/>
    <w:multiLevelType w:val="hybridMultilevel"/>
    <w:tmpl w:val="B3904F72"/>
    <w:lvl w:ilvl="0" w:tplc="D2907B16">
      <w:start w:val="1"/>
      <w:numFmt w:val="bullet"/>
      <w:lvlText w:val=""/>
      <w:lvlJc w:val="left"/>
      <w:pPr>
        <w:ind w:left="578"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C0B9C"/>
    <w:multiLevelType w:val="hybridMultilevel"/>
    <w:tmpl w:val="5F86EE38"/>
    <w:lvl w:ilvl="0" w:tplc="89809776">
      <w:numFmt w:val="bullet"/>
      <w:lvlText w:val=""/>
      <w:lvlJc w:val="left"/>
      <w:pPr>
        <w:ind w:left="414" w:hanging="284"/>
      </w:pPr>
      <w:rPr>
        <w:rFonts w:ascii="Wingdings 2" w:eastAsia="Wingdings 2" w:hAnsi="Wingdings 2" w:cs="Wingdings 2" w:hint="default"/>
        <w:b/>
        <w:bCs/>
        <w:color w:val="2E6CA4"/>
        <w:w w:val="99"/>
        <w:sz w:val="20"/>
        <w:szCs w:val="20"/>
        <w:lang w:val="en-GB" w:eastAsia="en-US" w:bidi="ar-SA"/>
      </w:rPr>
    </w:lvl>
    <w:lvl w:ilvl="1" w:tplc="D28CE194">
      <w:numFmt w:val="bullet"/>
      <w:lvlText w:val="•"/>
      <w:lvlJc w:val="left"/>
      <w:pPr>
        <w:ind w:left="1374" w:hanging="284"/>
      </w:pPr>
      <w:rPr>
        <w:rFonts w:hint="default"/>
        <w:lang w:val="en-GB" w:eastAsia="en-US" w:bidi="ar-SA"/>
      </w:rPr>
    </w:lvl>
    <w:lvl w:ilvl="2" w:tplc="A1DAC8C2">
      <w:numFmt w:val="bullet"/>
      <w:lvlText w:val="•"/>
      <w:lvlJc w:val="left"/>
      <w:pPr>
        <w:ind w:left="2329" w:hanging="284"/>
      </w:pPr>
      <w:rPr>
        <w:rFonts w:hint="default"/>
        <w:lang w:val="en-GB" w:eastAsia="en-US" w:bidi="ar-SA"/>
      </w:rPr>
    </w:lvl>
    <w:lvl w:ilvl="3" w:tplc="2CD8ACDE">
      <w:numFmt w:val="bullet"/>
      <w:lvlText w:val="•"/>
      <w:lvlJc w:val="left"/>
      <w:pPr>
        <w:ind w:left="3283" w:hanging="284"/>
      </w:pPr>
      <w:rPr>
        <w:rFonts w:hint="default"/>
        <w:lang w:val="en-GB" w:eastAsia="en-US" w:bidi="ar-SA"/>
      </w:rPr>
    </w:lvl>
    <w:lvl w:ilvl="4" w:tplc="6B9EE364">
      <w:numFmt w:val="bullet"/>
      <w:lvlText w:val="•"/>
      <w:lvlJc w:val="left"/>
      <w:pPr>
        <w:ind w:left="4238" w:hanging="284"/>
      </w:pPr>
      <w:rPr>
        <w:rFonts w:hint="default"/>
        <w:lang w:val="en-GB" w:eastAsia="en-US" w:bidi="ar-SA"/>
      </w:rPr>
    </w:lvl>
    <w:lvl w:ilvl="5" w:tplc="0FC437E6">
      <w:numFmt w:val="bullet"/>
      <w:lvlText w:val="•"/>
      <w:lvlJc w:val="left"/>
      <w:pPr>
        <w:ind w:left="5193" w:hanging="284"/>
      </w:pPr>
      <w:rPr>
        <w:rFonts w:hint="default"/>
        <w:lang w:val="en-GB" w:eastAsia="en-US" w:bidi="ar-SA"/>
      </w:rPr>
    </w:lvl>
    <w:lvl w:ilvl="6" w:tplc="FD623D6E">
      <w:numFmt w:val="bullet"/>
      <w:lvlText w:val="•"/>
      <w:lvlJc w:val="left"/>
      <w:pPr>
        <w:ind w:left="6147" w:hanging="284"/>
      </w:pPr>
      <w:rPr>
        <w:rFonts w:hint="default"/>
        <w:lang w:val="en-GB" w:eastAsia="en-US" w:bidi="ar-SA"/>
      </w:rPr>
    </w:lvl>
    <w:lvl w:ilvl="7" w:tplc="1A9081B0">
      <w:numFmt w:val="bullet"/>
      <w:lvlText w:val="•"/>
      <w:lvlJc w:val="left"/>
      <w:pPr>
        <w:ind w:left="7102" w:hanging="284"/>
      </w:pPr>
      <w:rPr>
        <w:rFonts w:hint="default"/>
        <w:lang w:val="en-GB" w:eastAsia="en-US" w:bidi="ar-SA"/>
      </w:rPr>
    </w:lvl>
    <w:lvl w:ilvl="8" w:tplc="B93236AE">
      <w:numFmt w:val="bullet"/>
      <w:lvlText w:val="•"/>
      <w:lvlJc w:val="left"/>
      <w:pPr>
        <w:ind w:left="8057" w:hanging="284"/>
      </w:pPr>
      <w:rPr>
        <w:rFonts w:hint="default"/>
        <w:lang w:val="en-GB" w:eastAsia="en-US" w:bidi="ar-SA"/>
      </w:rPr>
    </w:lvl>
  </w:abstractNum>
  <w:abstractNum w:abstractNumId="4" w15:restartNumberingAfterBreak="0">
    <w:nsid w:val="7B4C5FC8"/>
    <w:multiLevelType w:val="hybridMultilevel"/>
    <w:tmpl w:val="79FAE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96775222">
    <w:abstractNumId w:val="0"/>
  </w:num>
  <w:num w:numId="2" w16cid:durableId="1613587755">
    <w:abstractNumId w:val="1"/>
  </w:num>
  <w:num w:numId="3" w16cid:durableId="1489903042">
    <w:abstractNumId w:val="2"/>
  </w:num>
  <w:num w:numId="4" w16cid:durableId="705955458">
    <w:abstractNumId w:val="4"/>
  </w:num>
  <w:num w:numId="5" w16cid:durableId="472992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9"/>
    <w:rsid w:val="000316EF"/>
    <w:rsid w:val="000378C4"/>
    <w:rsid w:val="000468D3"/>
    <w:rsid w:val="00147B62"/>
    <w:rsid w:val="00170D32"/>
    <w:rsid w:val="001825D7"/>
    <w:rsid w:val="00186CB8"/>
    <w:rsid w:val="001E498E"/>
    <w:rsid w:val="002472BF"/>
    <w:rsid w:val="002477FC"/>
    <w:rsid w:val="00251D80"/>
    <w:rsid w:val="00253BFB"/>
    <w:rsid w:val="00272705"/>
    <w:rsid w:val="002A3E03"/>
    <w:rsid w:val="002B5A88"/>
    <w:rsid w:val="002D3684"/>
    <w:rsid w:val="002E23F7"/>
    <w:rsid w:val="00333687"/>
    <w:rsid w:val="00397FF0"/>
    <w:rsid w:val="00411D53"/>
    <w:rsid w:val="00413641"/>
    <w:rsid w:val="00414DD7"/>
    <w:rsid w:val="004171AB"/>
    <w:rsid w:val="00465293"/>
    <w:rsid w:val="004832E1"/>
    <w:rsid w:val="00486325"/>
    <w:rsid w:val="004F138A"/>
    <w:rsid w:val="004F419B"/>
    <w:rsid w:val="00527716"/>
    <w:rsid w:val="005634F9"/>
    <w:rsid w:val="005841F8"/>
    <w:rsid w:val="005A557D"/>
    <w:rsid w:val="006113E4"/>
    <w:rsid w:val="007049FC"/>
    <w:rsid w:val="007147E8"/>
    <w:rsid w:val="00716E48"/>
    <w:rsid w:val="00724081"/>
    <w:rsid w:val="007537E9"/>
    <w:rsid w:val="00787ABF"/>
    <w:rsid w:val="007915D8"/>
    <w:rsid w:val="00804736"/>
    <w:rsid w:val="00823589"/>
    <w:rsid w:val="008868E5"/>
    <w:rsid w:val="00895168"/>
    <w:rsid w:val="008A24F6"/>
    <w:rsid w:val="008A4183"/>
    <w:rsid w:val="008C2D0F"/>
    <w:rsid w:val="008C5B62"/>
    <w:rsid w:val="00991707"/>
    <w:rsid w:val="009C2B96"/>
    <w:rsid w:val="009D7D31"/>
    <w:rsid w:val="009E418E"/>
    <w:rsid w:val="009F3CAF"/>
    <w:rsid w:val="00A06433"/>
    <w:rsid w:val="00A62DF9"/>
    <w:rsid w:val="00A9495A"/>
    <w:rsid w:val="00AB6E32"/>
    <w:rsid w:val="00B2502D"/>
    <w:rsid w:val="00B324B2"/>
    <w:rsid w:val="00B3521C"/>
    <w:rsid w:val="00B46E07"/>
    <w:rsid w:val="00B608C0"/>
    <w:rsid w:val="00B77940"/>
    <w:rsid w:val="00BC1156"/>
    <w:rsid w:val="00BE5F89"/>
    <w:rsid w:val="00C14C7A"/>
    <w:rsid w:val="00C15BF2"/>
    <w:rsid w:val="00C218CB"/>
    <w:rsid w:val="00C705E6"/>
    <w:rsid w:val="00CA0FE6"/>
    <w:rsid w:val="00CC455D"/>
    <w:rsid w:val="00CC6B33"/>
    <w:rsid w:val="00D42DF0"/>
    <w:rsid w:val="00D67181"/>
    <w:rsid w:val="00D82A6D"/>
    <w:rsid w:val="00DD132D"/>
    <w:rsid w:val="00DF7C3A"/>
    <w:rsid w:val="00E163C2"/>
    <w:rsid w:val="00E265DC"/>
    <w:rsid w:val="00E369D2"/>
    <w:rsid w:val="00EC66E2"/>
    <w:rsid w:val="00F73058"/>
    <w:rsid w:val="00FB60D0"/>
    <w:rsid w:val="00FF2850"/>
    <w:rsid w:val="00FF65A4"/>
    <w:rsid w:val="07B310AC"/>
    <w:rsid w:val="19168CCB"/>
    <w:rsid w:val="20E5C437"/>
    <w:rsid w:val="35F9F8C6"/>
    <w:rsid w:val="42E06954"/>
    <w:rsid w:val="4C874B9A"/>
    <w:rsid w:val="5FA5501D"/>
    <w:rsid w:val="684E89AC"/>
    <w:rsid w:val="6A3D64A5"/>
    <w:rsid w:val="7A80B8C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1C435"/>
  <w15:chartTrackingRefBased/>
  <w15:docId w15:val="{D9DF417D-69CC-4F67-89ED-6B1A7CE4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DF9"/>
    <w:pPr>
      <w:spacing w:after="0" w:line="240" w:lineRule="auto"/>
    </w:pPr>
    <w:rPr>
      <w:rFonts w:ascii="Times New Roman" w:eastAsia="MS Mincho" w:hAnsi="Times New Roman" w:cs="Cordia New"/>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F9"/>
    <w:rPr>
      <w:color w:val="0563C1" w:themeColor="hyperlink"/>
      <w:u w:val="single"/>
    </w:rPr>
  </w:style>
  <w:style w:type="paragraph" w:styleId="ListParagraph">
    <w:name w:val="List Paragraph"/>
    <w:aliases w:val="Table Heading,List Paragraph (numbered (a)),Dot pt,F5 List Paragraph,List Paragraph1,Colorful List - Accent 11,No Spacing1,List Paragraph Char Char Char,Indicator Text,Numbered Para 1,Bullet 1,Bullet Points,List Paragraph2,MAIN CONTENT"/>
    <w:basedOn w:val="Normal"/>
    <w:link w:val="ListParagraphChar"/>
    <w:uiPriority w:val="34"/>
    <w:qFormat/>
    <w:rsid w:val="00B3521C"/>
    <w:pPr>
      <w:ind w:left="720"/>
      <w:contextualSpacing/>
    </w:pPr>
  </w:style>
  <w:style w:type="character" w:styleId="CommentReference">
    <w:name w:val="annotation reference"/>
    <w:basedOn w:val="DefaultParagraphFont"/>
    <w:uiPriority w:val="99"/>
    <w:semiHidden/>
    <w:unhideWhenUsed/>
    <w:rsid w:val="00CC455D"/>
    <w:rPr>
      <w:sz w:val="16"/>
      <w:szCs w:val="16"/>
    </w:rPr>
  </w:style>
  <w:style w:type="paragraph" w:styleId="CommentText">
    <w:name w:val="annotation text"/>
    <w:basedOn w:val="Normal"/>
    <w:link w:val="CommentTextChar"/>
    <w:uiPriority w:val="99"/>
    <w:semiHidden/>
    <w:unhideWhenUsed/>
    <w:rsid w:val="00CC455D"/>
    <w:rPr>
      <w:sz w:val="20"/>
      <w:szCs w:val="20"/>
    </w:rPr>
  </w:style>
  <w:style w:type="character" w:customStyle="1" w:styleId="CommentTextChar">
    <w:name w:val="Comment Text Char"/>
    <w:basedOn w:val="DefaultParagraphFont"/>
    <w:link w:val="CommentText"/>
    <w:uiPriority w:val="99"/>
    <w:semiHidden/>
    <w:rsid w:val="00CC455D"/>
    <w:rPr>
      <w:rFonts w:ascii="Times New Roman" w:eastAsia="MS Mincho" w:hAnsi="Times New Roman" w:cs="Cordia New"/>
      <w:sz w:val="20"/>
      <w:szCs w:val="20"/>
      <w:lang w:val="en-US"/>
    </w:rPr>
  </w:style>
  <w:style w:type="paragraph" w:styleId="CommentSubject">
    <w:name w:val="annotation subject"/>
    <w:basedOn w:val="CommentText"/>
    <w:next w:val="CommentText"/>
    <w:link w:val="CommentSubjectChar"/>
    <w:uiPriority w:val="99"/>
    <w:semiHidden/>
    <w:unhideWhenUsed/>
    <w:rsid w:val="00CC455D"/>
    <w:rPr>
      <w:b/>
      <w:bCs/>
    </w:rPr>
  </w:style>
  <w:style w:type="character" w:customStyle="1" w:styleId="CommentSubjectChar">
    <w:name w:val="Comment Subject Char"/>
    <w:basedOn w:val="CommentTextChar"/>
    <w:link w:val="CommentSubject"/>
    <w:uiPriority w:val="99"/>
    <w:semiHidden/>
    <w:rsid w:val="00CC455D"/>
    <w:rPr>
      <w:rFonts w:ascii="Times New Roman" w:eastAsia="MS Mincho" w:hAnsi="Times New Roman" w:cs="Cordia New"/>
      <w:b/>
      <w:bCs/>
      <w:sz w:val="20"/>
      <w:szCs w:val="20"/>
      <w:lang w:val="en-US"/>
    </w:rPr>
  </w:style>
  <w:style w:type="paragraph" w:styleId="BalloonText">
    <w:name w:val="Balloon Text"/>
    <w:basedOn w:val="Normal"/>
    <w:link w:val="BalloonTextChar"/>
    <w:uiPriority w:val="99"/>
    <w:semiHidden/>
    <w:unhideWhenUsed/>
    <w:rsid w:val="00CC4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55D"/>
    <w:rPr>
      <w:rFonts w:ascii="Segoe UI" w:eastAsia="MS Mincho" w:hAnsi="Segoe UI" w:cs="Segoe UI"/>
      <w:sz w:val="18"/>
      <w:szCs w:val="18"/>
      <w:lang w:val="en-US"/>
    </w:rPr>
  </w:style>
  <w:style w:type="character" w:customStyle="1" w:styleId="ListParagraphChar">
    <w:name w:val="List Paragraph Char"/>
    <w:aliases w:val="Table Heading Char,List Paragraph (numbered (a)) Char,Dot pt Char,F5 List Paragraph Char,List Paragraph1 Char,Colorful List - Accent 11 Char,No Spacing1 Char,List Paragraph Char Char Char Char,Indicator Text Char,Numbered Para 1 Char"/>
    <w:basedOn w:val="DefaultParagraphFont"/>
    <w:link w:val="ListParagraph"/>
    <w:uiPriority w:val="34"/>
    <w:locked/>
    <w:rsid w:val="00DF7C3A"/>
    <w:rPr>
      <w:rFonts w:ascii="Times New Roman" w:eastAsia="MS Mincho" w:hAnsi="Times New Roman" w:cs="Cordia New"/>
      <w:sz w:val="24"/>
      <w:lang w:val="en-US"/>
    </w:rPr>
  </w:style>
  <w:style w:type="table" w:styleId="TableGrid">
    <w:name w:val="Table Grid"/>
    <w:basedOn w:val="TableNormal"/>
    <w:uiPriority w:val="59"/>
    <w:rsid w:val="00411D5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11D53"/>
    <w:pPr>
      <w:autoSpaceDE w:val="0"/>
      <w:autoSpaceDN w:val="0"/>
      <w:spacing w:line="288" w:lineRule="auto"/>
    </w:pPr>
    <w:rPr>
      <w:rFonts w:ascii="MinionPro-Regular" w:eastAsiaTheme="minorHAnsi" w:hAnsi="MinionPro-Regular" w:cs="Times New Roman"/>
      <w:color w:val="000000"/>
      <w:szCs w:val="24"/>
      <w:lang w:val="en-GB"/>
    </w:rPr>
  </w:style>
  <w:style w:type="paragraph" w:styleId="Header">
    <w:name w:val="header"/>
    <w:basedOn w:val="Normal"/>
    <w:link w:val="HeaderChar"/>
    <w:uiPriority w:val="99"/>
    <w:unhideWhenUsed/>
    <w:rsid w:val="00E265DC"/>
    <w:pPr>
      <w:tabs>
        <w:tab w:val="center" w:pos="4513"/>
        <w:tab w:val="right" w:pos="9026"/>
      </w:tabs>
    </w:pPr>
  </w:style>
  <w:style w:type="character" w:customStyle="1" w:styleId="HeaderChar">
    <w:name w:val="Header Char"/>
    <w:basedOn w:val="DefaultParagraphFont"/>
    <w:link w:val="Header"/>
    <w:uiPriority w:val="99"/>
    <w:rsid w:val="00E265DC"/>
    <w:rPr>
      <w:rFonts w:ascii="Times New Roman" w:eastAsia="MS Mincho" w:hAnsi="Times New Roman" w:cs="Cordia New"/>
      <w:sz w:val="24"/>
      <w:lang w:val="en-US"/>
    </w:rPr>
  </w:style>
  <w:style w:type="paragraph" w:styleId="Footer">
    <w:name w:val="footer"/>
    <w:basedOn w:val="Normal"/>
    <w:link w:val="FooterChar"/>
    <w:uiPriority w:val="99"/>
    <w:unhideWhenUsed/>
    <w:rsid w:val="00E265DC"/>
    <w:pPr>
      <w:tabs>
        <w:tab w:val="center" w:pos="4513"/>
        <w:tab w:val="right" w:pos="9026"/>
      </w:tabs>
    </w:pPr>
  </w:style>
  <w:style w:type="character" w:customStyle="1" w:styleId="FooterChar">
    <w:name w:val="Footer Char"/>
    <w:basedOn w:val="DefaultParagraphFont"/>
    <w:link w:val="Footer"/>
    <w:uiPriority w:val="99"/>
    <w:rsid w:val="00E265DC"/>
    <w:rPr>
      <w:rFonts w:ascii="Times New Roman" w:eastAsia="MS Mincho" w:hAnsi="Times New Roman" w:cs="Cordia New"/>
      <w:sz w:val="24"/>
      <w:lang w:val="en-US"/>
    </w:rPr>
  </w:style>
  <w:style w:type="character" w:styleId="FollowedHyperlink">
    <w:name w:val="FollowedHyperlink"/>
    <w:basedOn w:val="DefaultParagraphFont"/>
    <w:uiPriority w:val="99"/>
    <w:semiHidden/>
    <w:unhideWhenUsed/>
    <w:rsid w:val="00527716"/>
    <w:rPr>
      <w:color w:val="954F72" w:themeColor="followedHyperlink"/>
      <w:u w:val="single"/>
    </w:rPr>
  </w:style>
  <w:style w:type="paragraph" w:styleId="Revision">
    <w:name w:val="Revision"/>
    <w:hidden/>
    <w:uiPriority w:val="99"/>
    <w:semiHidden/>
    <w:rsid w:val="002472BF"/>
    <w:pPr>
      <w:spacing w:after="0" w:line="240" w:lineRule="auto"/>
    </w:pPr>
    <w:rPr>
      <w:rFonts w:ascii="Times New Roman" w:eastAsia="MS Mincho" w:hAnsi="Times New Roman" w:cs="Cordia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8003">
      <w:bodyDiv w:val="1"/>
      <w:marLeft w:val="0"/>
      <w:marRight w:val="0"/>
      <w:marTop w:val="0"/>
      <w:marBottom w:val="0"/>
      <w:divBdr>
        <w:top w:val="none" w:sz="0" w:space="0" w:color="auto"/>
        <w:left w:val="none" w:sz="0" w:space="0" w:color="auto"/>
        <w:bottom w:val="none" w:sz="0" w:space="0" w:color="auto"/>
        <w:right w:val="none" w:sz="0" w:space="0" w:color="auto"/>
      </w:divBdr>
    </w:div>
    <w:div w:id="318655256">
      <w:bodyDiv w:val="1"/>
      <w:marLeft w:val="0"/>
      <w:marRight w:val="0"/>
      <w:marTop w:val="0"/>
      <w:marBottom w:val="0"/>
      <w:divBdr>
        <w:top w:val="none" w:sz="0" w:space="0" w:color="auto"/>
        <w:left w:val="none" w:sz="0" w:space="0" w:color="auto"/>
        <w:bottom w:val="none" w:sz="0" w:space="0" w:color="auto"/>
        <w:right w:val="none" w:sz="0" w:space="0" w:color="auto"/>
      </w:divBdr>
    </w:div>
    <w:div w:id="324359278">
      <w:bodyDiv w:val="1"/>
      <w:marLeft w:val="0"/>
      <w:marRight w:val="0"/>
      <w:marTop w:val="0"/>
      <w:marBottom w:val="0"/>
      <w:divBdr>
        <w:top w:val="none" w:sz="0" w:space="0" w:color="auto"/>
        <w:left w:val="none" w:sz="0" w:space="0" w:color="auto"/>
        <w:bottom w:val="none" w:sz="0" w:space="0" w:color="auto"/>
        <w:right w:val="none" w:sz="0" w:space="0" w:color="auto"/>
      </w:divBdr>
    </w:div>
    <w:div w:id="1000737385">
      <w:bodyDiv w:val="1"/>
      <w:marLeft w:val="0"/>
      <w:marRight w:val="0"/>
      <w:marTop w:val="0"/>
      <w:marBottom w:val="0"/>
      <w:divBdr>
        <w:top w:val="none" w:sz="0" w:space="0" w:color="auto"/>
        <w:left w:val="none" w:sz="0" w:space="0" w:color="auto"/>
        <w:bottom w:val="none" w:sz="0" w:space="0" w:color="auto"/>
        <w:right w:val="none" w:sz="0" w:space="0" w:color="auto"/>
      </w:divBdr>
    </w:div>
    <w:div w:id="11625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oecd.org/southeast-asia/cooper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ecd.org/sti/ieconomy/telecomandinternetreport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ecd.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pt.int/sites/default/files/Upload-files/GA-MC-DOCS/2020-GA15-MC44/Strategic_Plan_2021-2023.pdf" TargetMode="External"/><Relationship Id="rId20" Type="http://schemas.openxmlformats.org/officeDocument/2006/relationships/hyperlink" Target="https://legalinstruments.oecd.org/en/instruments/OECD-LEGAL-032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legalinstruments.oecd.org/en/instruments/OECD-LEGAL-0322" TargetMode="External"/><Relationship Id="rId5" Type="http://schemas.openxmlformats.org/officeDocument/2006/relationships/customXml" Target="../customXml/item5.xml"/><Relationship Id="rId15" Type="http://schemas.openxmlformats.org/officeDocument/2006/relationships/hyperlink" Target="https://www.apt.int/APT-Introduction" TargetMode="External"/><Relationship Id="rId23"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https://www.oecd.org/southeast-asia/countries/thailan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oecd.org/sti/broadband/broadband-statistic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c260a8-2c91-44a3-87e7-93526cb8b782" xsi:nil="true"/>
    <lcf76f155ced4ddcb4097134ff3c332f xmlns="d6bbd7c0-75ef-49b8-a1aa-2a05e17442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3" ma:contentTypeDescription="Create a new document." ma:contentTypeScope="" ma:versionID="b21077e0fe8c29a2ab393180f4877cd4">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df1b6a284f1e44a4c9716056da7be772"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c24836-d84c-4498-bd5c-e1aaa097d28d}"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Props1.xml><?xml version="1.0" encoding="utf-8"?>
<ds:datastoreItem xmlns:ds="http://schemas.openxmlformats.org/officeDocument/2006/customXml" ds:itemID="{8441C584-8536-41EF-B196-1BEAE36BDB76}">
  <ds:schemaRefs>
    <ds:schemaRef ds:uri="http://schemas.microsoft.com/office/2006/metadata/properties"/>
    <ds:schemaRef ds:uri="http://schemas.microsoft.com/office/infopath/2007/PartnerControls"/>
    <ds:schemaRef ds:uri="dec260a8-2c91-44a3-87e7-93526cb8b782"/>
    <ds:schemaRef ds:uri="d6bbd7c0-75ef-49b8-a1aa-2a05e174427a"/>
  </ds:schemaRefs>
</ds:datastoreItem>
</file>

<file path=customXml/itemProps2.xml><?xml version="1.0" encoding="utf-8"?>
<ds:datastoreItem xmlns:ds="http://schemas.openxmlformats.org/officeDocument/2006/customXml" ds:itemID="{D055550D-14D4-422C-A22E-09EC7353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67257-0CF5-463E-937D-9A8A5BC2B427}">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4AEE1954-5E3D-478B-BEE2-AADF808F5397}">
  <ds:schemaRefs>
    <ds:schemaRef ds:uri="http://schemas.microsoft.com/sharepoint/v3/contenttype/forms"/>
  </ds:schemaRefs>
</ds:datastoreItem>
</file>

<file path=customXml/itemProps5.xml><?xml version="1.0" encoding="utf-8"?>
<ds:datastoreItem xmlns:ds="http://schemas.openxmlformats.org/officeDocument/2006/customXml" ds:itemID="{F4A00ACA-A330-4239-8683-A4B895ACB347}">
  <ds:schemaRefs>
    <ds:schemaRef ds:uri="http://schemas.microsoft.com/sharepoint/events"/>
  </ds:schemaRefs>
</ds:datastoreItem>
</file>

<file path=customXml/itemProps6.xml><?xml version="1.0" encoding="utf-8"?>
<ds:datastoreItem xmlns:ds="http://schemas.openxmlformats.org/officeDocument/2006/customXml" ds:itemID="{F5EC08E5-EBB4-48A5-B7A2-F8D3DDAD01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12</cp:revision>
  <dcterms:created xsi:type="dcterms:W3CDTF">2022-06-13T10:55:00Z</dcterms:created>
  <dcterms:modified xsi:type="dcterms:W3CDTF">2022-06-28T07:39:00Z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Country">
    <vt:lpwstr/>
  </property>
  <property fmtid="{D5CDD505-2E9C-101B-9397-08002B2CF9AE}" pid="3" name="OECDTopic">
    <vt:lpwstr>1977;#Communication policy|54d26bee-2ed6-4de8-b29f-cc85103179a7;#995;#Infrastructure|fa2be406-7928-4743-87c0-365e113d22ff</vt:lpwstr>
  </property>
  <property fmtid="{D5CDD505-2E9C-101B-9397-08002B2CF9AE}" pid="4" name="OECDCommittee">
    <vt:lpwstr>37;#Committee on Digital Economy Policy|f39135c8-7ca9-4e02-ad53-7154f0c5a009</vt:lpwstr>
  </property>
  <property fmtid="{D5CDD505-2E9C-101B-9397-08002B2CF9AE}" pid="5" name="ContentTypeId">
    <vt:lpwstr>0x01010091D3EA4D6DF8BA409C329C09D9409752</vt:lpwstr>
  </property>
  <property fmtid="{D5CDD505-2E9C-101B-9397-08002B2CF9AE}" pid="6" name="OECDPWB">
    <vt:lpwstr>1555;#1.3.1 Digital Economy|9211f24e-fd4e-4dbd-bb29-742852a9026d</vt:lpwstr>
  </property>
  <property fmtid="{D5CDD505-2E9C-101B-9397-08002B2CF9AE}" pid="7" name="eShareOrganisationTaxHTField0">
    <vt:lpwstr/>
  </property>
  <property fmtid="{D5CDD505-2E9C-101B-9397-08002B2CF9AE}" pid="8" name="OECDKeywords">
    <vt:lpwstr>1344;#Communications Infrastructure and Services Policy|0fc659d3-75e1-4af7-ac2b-768edfd165df</vt:lpwstr>
  </property>
  <property fmtid="{D5CDD505-2E9C-101B-9397-08002B2CF9AE}" pid="9" name="OECDHorizontalProjects">
    <vt:lpwstr/>
  </property>
  <property fmtid="{D5CDD505-2E9C-101B-9397-08002B2CF9AE}" pid="10" name="OECDProjectOwnerStructure">
    <vt:lpwstr>1451;#STI/DEP/WPCISP|c5058c12-7f03-4756-b583-154f689b0acb</vt:lpwstr>
  </property>
  <property fmtid="{D5CDD505-2E9C-101B-9397-08002B2CF9AE}" pid="11" name="OECDOrganisation">
    <vt:lpwstr/>
  </property>
  <property fmtid="{D5CDD505-2E9C-101B-9397-08002B2CF9AE}" pid="12" name="MediaServiceImageTags">
    <vt:lpwstr/>
  </property>
</Properties>
</file>