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F10FE5" w:rsidRPr="00891D0B" w14:paraId="3E65FB5C" w14:textId="77777777" w:rsidTr="00F374FF">
        <w:trPr>
          <w:cantSplit/>
          <w:trHeight w:val="288"/>
        </w:trPr>
        <w:tc>
          <w:tcPr>
            <w:tcW w:w="1399" w:type="dxa"/>
            <w:vMerge w:val="restart"/>
          </w:tcPr>
          <w:p w14:paraId="23BCA440" w14:textId="77777777" w:rsidR="00F10FE5" w:rsidRPr="00891D0B" w:rsidRDefault="00F10FE5" w:rsidP="00F374F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76EB354" wp14:editId="2CE2612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6F5F19C" w14:textId="77777777" w:rsidR="00F10FE5" w:rsidRPr="00891D0B" w:rsidRDefault="00F10FE5" w:rsidP="00F374F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442B6A6" w14:textId="77777777" w:rsidR="00F10FE5" w:rsidRPr="00891D0B" w:rsidRDefault="00F10FE5" w:rsidP="00F374FF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F10FE5" w:rsidRPr="007E1FDD" w14:paraId="2CE8C89A" w14:textId="77777777" w:rsidTr="00F374FF">
        <w:trPr>
          <w:cantSplit/>
          <w:trHeight w:val="504"/>
        </w:trPr>
        <w:tc>
          <w:tcPr>
            <w:tcW w:w="1399" w:type="dxa"/>
            <w:vMerge/>
          </w:tcPr>
          <w:p w14:paraId="6968D867" w14:textId="77777777" w:rsidR="00F10FE5" w:rsidRPr="00891D0B" w:rsidRDefault="00F10FE5" w:rsidP="00F374FF"/>
        </w:tc>
        <w:tc>
          <w:tcPr>
            <w:tcW w:w="5760" w:type="dxa"/>
            <w:vAlign w:val="center"/>
          </w:tcPr>
          <w:p w14:paraId="7DE80583" w14:textId="1753B9EB" w:rsidR="00F10FE5" w:rsidRPr="00E14040" w:rsidRDefault="00F10FE5" w:rsidP="00F374FF">
            <w:pPr>
              <w:rPr>
                <w:b/>
              </w:rPr>
            </w:pPr>
            <w:r>
              <w:rPr>
                <w:b/>
              </w:rPr>
              <w:t>The Meeting of the SATRC Working Group on</w:t>
            </w:r>
            <w:r w:rsidR="00E14040">
              <w:rPr>
                <w:b/>
              </w:rPr>
              <w:t xml:space="preserve"> Spectrum</w:t>
            </w:r>
          </w:p>
        </w:tc>
        <w:tc>
          <w:tcPr>
            <w:tcW w:w="2160" w:type="dxa"/>
          </w:tcPr>
          <w:p w14:paraId="49285F9C" w14:textId="1629F50F" w:rsidR="00F10FE5" w:rsidRPr="007E1FDD" w:rsidRDefault="00F10FE5" w:rsidP="00F374FF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E14040">
              <w:rPr>
                <w:b/>
                <w:bCs/>
                <w:lang w:val="en-GB"/>
              </w:rPr>
              <w:t>SPEC</w:t>
            </w:r>
            <w:r w:rsidRPr="001026CF">
              <w:rPr>
                <w:b/>
                <w:bCs/>
                <w:lang w:val="en-GB"/>
              </w:rPr>
              <w:t>1/</w:t>
            </w:r>
            <w:r w:rsidR="008A1093">
              <w:rPr>
                <w:b/>
                <w:bCs/>
                <w:lang w:val="en-GB"/>
              </w:rPr>
              <w:t xml:space="preserve"> OUT-03</w:t>
            </w:r>
          </w:p>
        </w:tc>
      </w:tr>
      <w:tr w:rsidR="00F10FE5" w:rsidRPr="007E1FDD" w14:paraId="7D761E20" w14:textId="77777777" w:rsidTr="00F374FF">
        <w:trPr>
          <w:cantSplit/>
          <w:trHeight w:val="288"/>
        </w:trPr>
        <w:tc>
          <w:tcPr>
            <w:tcW w:w="1399" w:type="dxa"/>
            <w:vMerge/>
          </w:tcPr>
          <w:p w14:paraId="7964891E" w14:textId="77777777" w:rsidR="00F10FE5" w:rsidRPr="007E1FDD" w:rsidRDefault="00F10FE5" w:rsidP="00F374F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0ED478D" w14:textId="46E88240" w:rsidR="00F10FE5" w:rsidRPr="00712451" w:rsidRDefault="00F10FE5" w:rsidP="00F374FF">
            <w:pPr>
              <w:rPr>
                <w:b/>
              </w:rPr>
            </w:pPr>
            <w:r>
              <w:t>2</w:t>
            </w:r>
            <w:r w:rsidR="00E14040">
              <w:t>1</w:t>
            </w:r>
            <w:r>
              <w:t xml:space="preserve"> – 2</w:t>
            </w:r>
            <w:r w:rsidR="00E14040">
              <w:t>3</w:t>
            </w:r>
            <w:r>
              <w:t xml:space="preserve"> </w:t>
            </w:r>
            <w:r w:rsidR="00E14040">
              <w:t>June</w:t>
            </w:r>
            <w:r>
              <w:t xml:space="preserve"> 2022</w:t>
            </w:r>
            <w:r w:rsidRPr="00891D0B">
              <w:t xml:space="preserve">, </w:t>
            </w:r>
            <w:r w:rsidR="00E14040">
              <w:t>New Delhi</w:t>
            </w:r>
            <w:r>
              <w:t xml:space="preserve">, </w:t>
            </w:r>
            <w:r w:rsidR="00E14040">
              <w:t>India</w:t>
            </w:r>
          </w:p>
        </w:tc>
        <w:tc>
          <w:tcPr>
            <w:tcW w:w="2160" w:type="dxa"/>
            <w:vAlign w:val="bottom"/>
          </w:tcPr>
          <w:p w14:paraId="49DEA53E" w14:textId="1BFD7CFE" w:rsidR="00F10FE5" w:rsidRPr="007E1FDD" w:rsidRDefault="008A1093" w:rsidP="00F374FF">
            <w:r>
              <w:t>2</w:t>
            </w:r>
            <w:r w:rsidR="00056D4F">
              <w:t>8</w:t>
            </w:r>
            <w:r w:rsidR="00F10FE5">
              <w:t xml:space="preserve"> </w:t>
            </w:r>
            <w:r w:rsidR="00E14040">
              <w:t>June</w:t>
            </w:r>
            <w:r w:rsidR="00F10FE5">
              <w:t xml:space="preserve"> 2022</w:t>
            </w:r>
          </w:p>
        </w:tc>
      </w:tr>
    </w:tbl>
    <w:p w14:paraId="46C4E459" w14:textId="58B9954C" w:rsidR="000925AA" w:rsidRDefault="000925AA" w:rsidP="00D01E21">
      <w:pPr>
        <w:rPr>
          <w:lang w:eastAsia="ko-KR"/>
        </w:rPr>
      </w:pPr>
    </w:p>
    <w:p w14:paraId="15F19651" w14:textId="77777777" w:rsidR="002F0F71" w:rsidRDefault="002F0F71" w:rsidP="00D01E21">
      <w:pPr>
        <w:rPr>
          <w:lang w:eastAsia="ko-KR"/>
        </w:rPr>
      </w:pPr>
    </w:p>
    <w:p w14:paraId="538B1DBA" w14:textId="1E376C16" w:rsidR="00D01E21" w:rsidRDefault="008A1093" w:rsidP="008A1093">
      <w:pPr>
        <w:jc w:val="center"/>
        <w:rPr>
          <w:lang w:eastAsia="ko-KR"/>
        </w:rPr>
      </w:pPr>
      <w:r>
        <w:rPr>
          <w:lang w:eastAsia="ko-KR"/>
        </w:rPr>
        <w:t>Work Group on Spectrum</w:t>
      </w:r>
    </w:p>
    <w:p w14:paraId="4B20A40A" w14:textId="77777777" w:rsidR="00E21523" w:rsidRPr="00BE55E6" w:rsidRDefault="00E21523" w:rsidP="00E21523">
      <w:pPr>
        <w:rPr>
          <w:rFonts w:ascii="Arial" w:hAnsi="Arial" w:cs="Arial"/>
          <w:b/>
          <w:bCs/>
          <w:sz w:val="26"/>
          <w:szCs w:val="26"/>
        </w:rPr>
      </w:pPr>
      <w:bookmarkStart w:id="0" w:name="_Hlk106377411"/>
    </w:p>
    <w:p w14:paraId="22462A50" w14:textId="73A4AEC5" w:rsidR="008A1093" w:rsidRDefault="00EB6A63" w:rsidP="00EB6A63">
      <w:pPr>
        <w:jc w:val="center"/>
        <w:rPr>
          <w:b/>
          <w:bCs/>
        </w:rPr>
      </w:pPr>
      <w:r>
        <w:rPr>
          <w:b/>
          <w:bCs/>
        </w:rPr>
        <w:t xml:space="preserve">QUESTIONNAIRE ON </w:t>
      </w:r>
      <w:r w:rsidR="008A1093">
        <w:rPr>
          <w:b/>
          <w:bCs/>
        </w:rPr>
        <w:t xml:space="preserve">WORK ITEM </w:t>
      </w:r>
    </w:p>
    <w:p w14:paraId="1B26F66B" w14:textId="694F4CE7" w:rsidR="00E21523" w:rsidRPr="00DB71A2" w:rsidRDefault="00DB71A2" w:rsidP="00EB6A63">
      <w:pPr>
        <w:jc w:val="center"/>
        <w:rPr>
          <w:b/>
          <w:bCs/>
        </w:rPr>
      </w:pPr>
      <w:r w:rsidRPr="00DB71A2">
        <w:rPr>
          <w:b/>
          <w:bCs/>
        </w:rPr>
        <w:t>REGULATORY APPROACHES FOR SHARING, TRADING AND LEASING OF SPECTRUM</w:t>
      </w:r>
      <w:r w:rsidRPr="00DB71A2">
        <w:rPr>
          <w:b/>
          <w:bCs/>
        </w:rPr>
        <w:br/>
      </w:r>
    </w:p>
    <w:p w14:paraId="71A3EEF0" w14:textId="77777777" w:rsidR="00E21523" w:rsidRPr="008A1093" w:rsidRDefault="00E21523" w:rsidP="00E21523">
      <w:pPr>
        <w:spacing w:line="360" w:lineRule="auto"/>
        <w:ind w:left="567" w:hanging="578"/>
        <w:jc w:val="both"/>
      </w:pPr>
    </w:p>
    <w:p w14:paraId="5A289D2A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Licensing regime</w:t>
      </w:r>
    </w:p>
    <w:p w14:paraId="63222F5E" w14:textId="77777777" w:rsidR="00E21523" w:rsidRPr="008A1093" w:rsidRDefault="00E21523" w:rsidP="00E21523">
      <w:pPr>
        <w:pStyle w:val="ListParagraph"/>
        <w:spacing w:line="360" w:lineRule="auto"/>
        <w:ind w:left="1080"/>
        <w:jc w:val="both"/>
        <w:rPr>
          <w:b/>
          <w:bCs/>
          <w:szCs w:val="24"/>
        </w:rPr>
      </w:pPr>
    </w:p>
    <w:p w14:paraId="3180248E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Whether service license is required for offering mobile services? What is the tenure of such license?</w:t>
      </w:r>
    </w:p>
    <w:p w14:paraId="1C073BA6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Whether Mobile license is granted for national operation or regional basis? In case of regional, kindly provide details</w:t>
      </w:r>
    </w:p>
    <w:p w14:paraId="5C87FD89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Whether spectrum is assigned along with the service license (in bundled manner)?</w:t>
      </w:r>
    </w:p>
    <w:p w14:paraId="68164D61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 xml:space="preserve">If yes, </w:t>
      </w:r>
    </w:p>
    <w:p w14:paraId="3AA36F8F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>a) how much spectrum is assigned along with the license?</w:t>
      </w:r>
    </w:p>
    <w:p w14:paraId="2AFB9B50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>b) what is the mechanism to acquire additional spectrum?</w:t>
      </w:r>
    </w:p>
    <w:p w14:paraId="11822827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>c) what is the validity period of service license and spectrum?</w:t>
      </w:r>
    </w:p>
    <w:p w14:paraId="494B1CB6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If spectrum assignment is delinked with the service license, when was it done?</w:t>
      </w:r>
    </w:p>
    <w:p w14:paraId="619942F7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>a) In which year was it done?</w:t>
      </w:r>
    </w:p>
    <w:p w14:paraId="4FAAD732" w14:textId="77777777" w:rsidR="00E21523" w:rsidRPr="008A1093" w:rsidRDefault="00E21523" w:rsidP="00E21523">
      <w:pPr>
        <w:spacing w:line="360" w:lineRule="auto"/>
        <w:ind w:left="720"/>
        <w:jc w:val="both"/>
      </w:pPr>
      <w:r w:rsidRPr="008A1093">
        <w:tab/>
        <w:t>b) How is access spectrum assigned and what is the validity period?</w:t>
      </w:r>
    </w:p>
    <w:p w14:paraId="680E6E5B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Is spectrum assigned to telecom operators technology specific or technology agnostic? In case it is technology specific, what is the procedure to change the technology?</w:t>
      </w:r>
    </w:p>
    <w:p w14:paraId="0CAC870F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 xml:space="preserve">Which spectrum bands are used for </w:t>
      </w:r>
      <w:proofErr w:type="gramStart"/>
      <w:r w:rsidRPr="008A1093">
        <w:rPr>
          <w:szCs w:val="24"/>
        </w:rPr>
        <w:t>backhaul</w:t>
      </w:r>
      <w:proofErr w:type="gramEnd"/>
      <w:r w:rsidRPr="008A1093">
        <w:rPr>
          <w:szCs w:val="24"/>
        </w:rPr>
        <w:t xml:space="preserve"> purpose?</w:t>
      </w:r>
    </w:p>
    <w:p w14:paraId="51C5F070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What is mechanism for assignment of backhaul spectrum?</w:t>
      </w:r>
    </w:p>
    <w:p w14:paraId="31A5D60D" w14:textId="02A82EB9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t>Whether mobile operators demand for more access spectrum?</w:t>
      </w:r>
      <w:r w:rsidR="00105EFD">
        <w:rPr>
          <w:szCs w:val="24"/>
        </w:rPr>
        <w:t xml:space="preserve"> Kindly provide details.</w:t>
      </w:r>
    </w:p>
    <w:p w14:paraId="421170A3" w14:textId="2FCC8C92" w:rsidR="00E21523" w:rsidRPr="0028416E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28416E">
        <w:rPr>
          <w:szCs w:val="24"/>
        </w:rPr>
        <w:t>Ho</w:t>
      </w:r>
      <w:r w:rsidR="0028416E" w:rsidRPr="0028416E">
        <w:rPr>
          <w:szCs w:val="24"/>
        </w:rPr>
        <w:t xml:space="preserve">w is the mobile quality of service rated in your country? Key QoS parameters, prescribed benchmarks and </w:t>
      </w:r>
      <w:proofErr w:type="gramStart"/>
      <w:r w:rsidR="0028416E" w:rsidRPr="0028416E">
        <w:rPr>
          <w:szCs w:val="24"/>
        </w:rPr>
        <w:t>actually achieved</w:t>
      </w:r>
      <w:proofErr w:type="gramEnd"/>
      <w:r w:rsidR="0028416E" w:rsidRPr="0028416E">
        <w:rPr>
          <w:szCs w:val="24"/>
        </w:rPr>
        <w:t xml:space="preserve"> by the mobile operators may also be provide.</w:t>
      </w:r>
    </w:p>
    <w:p w14:paraId="321AF4BB" w14:textId="77777777" w:rsidR="00E21523" w:rsidRPr="008A1093" w:rsidRDefault="00E21523" w:rsidP="00E21523">
      <w:pPr>
        <w:pStyle w:val="ListParagraph"/>
        <w:numPr>
          <w:ilvl w:val="0"/>
          <w:numId w:val="17"/>
        </w:numPr>
        <w:autoSpaceDE/>
        <w:autoSpaceDN/>
        <w:spacing w:line="360" w:lineRule="auto"/>
        <w:ind w:hanging="513"/>
        <w:contextualSpacing/>
        <w:jc w:val="both"/>
        <w:rPr>
          <w:szCs w:val="24"/>
        </w:rPr>
      </w:pPr>
      <w:r w:rsidRPr="008A1093">
        <w:rPr>
          <w:szCs w:val="24"/>
        </w:rPr>
        <w:lastRenderedPageBreak/>
        <w:t>Whether 5G services launched in your country? If yes, kindly share details. If no, what are the plans?</w:t>
      </w:r>
    </w:p>
    <w:p w14:paraId="44034897" w14:textId="2D8C9103" w:rsidR="00E21523" w:rsidRDefault="00E21523" w:rsidP="00E21523">
      <w:pPr>
        <w:spacing w:line="360" w:lineRule="auto"/>
      </w:pPr>
    </w:p>
    <w:p w14:paraId="04A3E4F4" w14:textId="77777777" w:rsidR="00BB3A02" w:rsidRPr="008A1093" w:rsidRDefault="00BB3A02" w:rsidP="00E21523">
      <w:pPr>
        <w:spacing w:line="360" w:lineRule="auto"/>
      </w:pPr>
    </w:p>
    <w:p w14:paraId="4D048EB0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Mobile Services in the country</w:t>
      </w:r>
    </w:p>
    <w:p w14:paraId="42E2DADE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tbl>
      <w:tblPr>
        <w:tblW w:w="10510" w:type="dxa"/>
        <w:tblInd w:w="-746" w:type="dxa"/>
        <w:tblLook w:val="04A0" w:firstRow="1" w:lastRow="0" w:firstColumn="1" w:lastColumn="0" w:noHBand="0" w:noVBand="1"/>
      </w:tblPr>
      <w:tblGrid>
        <w:gridCol w:w="1271"/>
        <w:gridCol w:w="1217"/>
        <w:gridCol w:w="1043"/>
        <w:gridCol w:w="1310"/>
        <w:gridCol w:w="1844"/>
        <w:gridCol w:w="1444"/>
        <w:gridCol w:w="1057"/>
        <w:gridCol w:w="1324"/>
      </w:tblGrid>
      <w:tr w:rsidR="00E21523" w:rsidRPr="008A1093" w14:paraId="48E61287" w14:textId="77777777" w:rsidTr="00E21523">
        <w:trPr>
          <w:trHeight w:val="6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F343D4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Name of the operator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7DD2EF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Area(s) of operation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7F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Quantum of Access spectrum held 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583C6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Mobile technology(</w:t>
            </w:r>
            <w:proofErr w:type="spellStart"/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ies</w:t>
            </w:r>
            <w:proofErr w:type="spellEnd"/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) being offered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D2263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No. of mobile subscribers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198A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Monthly mobile data usage in GB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99A6C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Average mobile data usage per subscriber per month in MB</w:t>
            </w:r>
          </w:p>
        </w:tc>
      </w:tr>
      <w:tr w:rsidR="00E21523" w:rsidRPr="008A1093" w14:paraId="019785F7" w14:textId="77777777" w:rsidTr="00E21523">
        <w:trPr>
          <w:trHeight w:val="64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9118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2D91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0A70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FDD bands (paired)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40B4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TDD bands (unpaired)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2750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5ED86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EFC5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13FD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E21523" w:rsidRPr="008A1093" w14:paraId="2BE412C4" w14:textId="77777777" w:rsidTr="00E21523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8EC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54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94B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1F6B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3D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058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41C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EA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1F19ECA0" w14:textId="77777777" w:rsidTr="00E21523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FB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45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C5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9E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A7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6A1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8B5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B2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0649518B" w14:textId="77777777" w:rsidTr="00E21523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314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EA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B9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08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4E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CC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CC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6E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2C47AE1E" w14:textId="77777777" w:rsidTr="00E21523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68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FF1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47B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555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EC4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A94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6C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EA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</w:tbl>
    <w:p w14:paraId="54EF8260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03696FAD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7EEDE84E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License fee, spectrum charges and other levies</w:t>
      </w:r>
    </w:p>
    <w:p w14:paraId="02CB123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Kindly provide details of the applicable License Fee, Spectrum charges and other regulatory levies</w:t>
      </w:r>
    </w:p>
    <w:p w14:paraId="4385A64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7949191B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Spectrum bands earmarked for IMT services</w:t>
      </w:r>
    </w:p>
    <w:tbl>
      <w:tblPr>
        <w:tblW w:w="8898" w:type="dxa"/>
        <w:tblInd w:w="562" w:type="dxa"/>
        <w:tblLook w:val="04A0" w:firstRow="1" w:lastRow="0" w:firstColumn="1" w:lastColumn="0" w:noHBand="0" w:noVBand="1"/>
      </w:tblPr>
      <w:tblGrid>
        <w:gridCol w:w="1838"/>
        <w:gridCol w:w="2060"/>
        <w:gridCol w:w="1700"/>
        <w:gridCol w:w="1660"/>
        <w:gridCol w:w="1640"/>
      </w:tblGrid>
      <w:tr w:rsidR="00E21523" w:rsidRPr="008A1093" w14:paraId="079FBE6D" w14:textId="77777777" w:rsidTr="008B4F0C">
        <w:trPr>
          <w:trHeight w:val="11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28CF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Spectrum band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3463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Uplink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93BB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Downlink frequency range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37A4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Band plan adopted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5BB" w14:textId="77777777" w:rsidR="00E21523" w:rsidRPr="00BB3A02" w:rsidRDefault="00E21523" w:rsidP="00BB3A02">
            <w:pPr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Quantum of spectrum assigned to the mobile operators</w:t>
            </w:r>
          </w:p>
        </w:tc>
      </w:tr>
      <w:tr w:rsidR="00E21523" w:rsidRPr="008A1093" w14:paraId="26781ACB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48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FC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73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261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32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46969FC8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39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53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421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03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0A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64DFA5BD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BC2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BA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EAC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4B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66A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589FC0DE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D91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1D3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FBA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5A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9E8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5A3C2397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A98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9C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03B4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17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E90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516CEDEB" w14:textId="77777777" w:rsidTr="008B4F0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4A6C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0A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B8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6F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EC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</w:tbl>
    <w:p w14:paraId="5AF03599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Average access spectrum holding per mobile operator (spectrum in FDD bands may be counted as 2x)</w:t>
      </w:r>
    </w:p>
    <w:p w14:paraId="4C4517A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tbl>
      <w:tblPr>
        <w:tblW w:w="6760" w:type="dxa"/>
        <w:tblInd w:w="562" w:type="dxa"/>
        <w:tblLook w:val="04A0" w:firstRow="1" w:lastRow="0" w:firstColumn="1" w:lastColumn="0" w:noHBand="0" w:noVBand="1"/>
      </w:tblPr>
      <w:tblGrid>
        <w:gridCol w:w="4700"/>
        <w:gridCol w:w="2060"/>
      </w:tblGrid>
      <w:tr w:rsidR="00E21523" w:rsidRPr="008A1093" w14:paraId="60A25EDF" w14:textId="77777777" w:rsidTr="008B4F0C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EA8" w14:textId="77777777" w:rsidR="00E21523" w:rsidRPr="008A1093" w:rsidRDefault="00E21523" w:rsidP="008B4F0C">
            <w:pPr>
              <w:spacing w:line="360" w:lineRule="auto"/>
              <w:ind w:left="459" w:hanging="459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lastRenderedPageBreak/>
              <w:t>Sub-1 GHz bands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DD7B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3EF8FA26" w14:textId="77777777" w:rsidTr="008B4F0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AC6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Mid-bands (1-6 GHz)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EFF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11C2B612" w14:textId="77777777" w:rsidTr="008B4F0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1A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&gt;6 GHz bands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94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</w:tbl>
    <w:p w14:paraId="75CF973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37E83E0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63A00C2C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Mobile Data usage</w:t>
      </w:r>
    </w:p>
    <w:p w14:paraId="0DFFE35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977"/>
        <w:gridCol w:w="1701"/>
        <w:gridCol w:w="1276"/>
        <w:gridCol w:w="1276"/>
        <w:gridCol w:w="1417"/>
      </w:tblGrid>
      <w:tr w:rsidR="00E21523" w:rsidRPr="00BB3A02" w14:paraId="5E326812" w14:textId="77777777" w:rsidTr="00BB3A02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436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529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2G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2EB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3G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FEF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4G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75D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Average</w:t>
            </w:r>
          </w:p>
        </w:tc>
      </w:tr>
      <w:tr w:rsidR="00E21523" w:rsidRPr="00BB3A02" w14:paraId="355B62FA" w14:textId="77777777" w:rsidTr="00BB3A02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59D9" w14:textId="77777777" w:rsidR="00E21523" w:rsidRPr="00BB3A02" w:rsidRDefault="00E21523" w:rsidP="00BB3A02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Monthly mobile data usage in GB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579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C0E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84B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2D4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E21523" w:rsidRPr="00BB3A02" w14:paraId="1E12787B" w14:textId="77777777" w:rsidTr="00BB3A02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E0FF" w14:textId="77777777" w:rsidR="00E21523" w:rsidRPr="00BB3A02" w:rsidRDefault="00E21523" w:rsidP="00BB3A02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Average mobile data usage per subscriber per month in MB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7BF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4AB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EBE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B26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E21523" w:rsidRPr="00BB3A02" w14:paraId="500CEC13" w14:textId="77777777" w:rsidTr="00BB3A02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896" w14:textId="77777777" w:rsidR="00E21523" w:rsidRPr="00BB3A02" w:rsidRDefault="00E21523" w:rsidP="00BB3A02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Average Data speed (in Mbps)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B48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C5C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224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E6B" w14:textId="77777777" w:rsidR="00E21523" w:rsidRPr="00BB3A02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</w:pPr>
            <w:r w:rsidRPr="00BB3A02">
              <w:rPr>
                <w:rFonts w:eastAsia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</w:tbl>
    <w:p w14:paraId="1AC982C0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3FA9BE2A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Spectrum sharing</w:t>
      </w:r>
    </w:p>
    <w:p w14:paraId="6DF136D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59D27B73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Whether spectrum sharing is permitted in your country?</w:t>
      </w:r>
    </w:p>
    <w:p w14:paraId="7AD6C96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1CF9AAC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yes, </w:t>
      </w:r>
    </w:p>
    <w:p w14:paraId="311A0C1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when was it permitted?</w:t>
      </w:r>
    </w:p>
    <w:p w14:paraId="4F4E4F6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b) what type of spectrum sharing is permitted?</w:t>
      </w:r>
    </w:p>
    <w:p w14:paraId="0A49111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what are the key terms and conditions?</w:t>
      </w:r>
    </w:p>
    <w:p w14:paraId="30215DB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d) whether there is any regulatory financial levy post spectrum sharing? If yes, kindly share details.</w:t>
      </w:r>
    </w:p>
    <w:p w14:paraId="0B14544D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e) How has been the uptake of spectrum sharing?</w:t>
      </w:r>
    </w:p>
    <w:p w14:paraId="25F2D143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f) Kindly share a copy of the spectrum sharing guidelines in your country</w:t>
      </w:r>
    </w:p>
    <w:p w14:paraId="6F52AF2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g) Is spectrum sharing permitted among more than two operators?</w:t>
      </w:r>
    </w:p>
    <w:p w14:paraId="52169E1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48BBF5A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no, </w:t>
      </w:r>
    </w:p>
    <w:p w14:paraId="6DCB057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whether telecom operators have ever demanded for permitting spectrum sharing? If yes, kindly share details</w:t>
      </w:r>
    </w:p>
    <w:p w14:paraId="209CA5BB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b) whether the need for spectrum sharing has been examined? What was the outcome? </w:t>
      </w:r>
    </w:p>
    <w:p w14:paraId="348EBD24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whether permitting spectrum sharing among telecom operators in plan? If yes, kindly share details</w:t>
      </w:r>
    </w:p>
    <w:p w14:paraId="62FAEF7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4FC246FB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lastRenderedPageBreak/>
        <w:t>Spectrum trading (when right to use of spectrum is transferred by the spectrum holding telecom operator to another telecom operator for the remaining validity period)</w:t>
      </w:r>
    </w:p>
    <w:p w14:paraId="6B29EA5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420FFFAB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Whether spectrum trading is permitted in your country?</w:t>
      </w:r>
    </w:p>
    <w:p w14:paraId="7AD02AE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1F0A82FD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yes, </w:t>
      </w:r>
    </w:p>
    <w:p w14:paraId="714FD7AF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when was it permitted?</w:t>
      </w:r>
    </w:p>
    <w:p w14:paraId="1F12421F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b) what </w:t>
      </w:r>
      <w:proofErr w:type="gramStart"/>
      <w:r w:rsidRPr="008A1093">
        <w:rPr>
          <w:szCs w:val="24"/>
        </w:rPr>
        <w:t>is</w:t>
      </w:r>
      <w:proofErr w:type="gramEnd"/>
      <w:r w:rsidRPr="008A1093">
        <w:rPr>
          <w:szCs w:val="24"/>
        </w:rPr>
        <w:t xml:space="preserve"> the eligibility criteria? </w:t>
      </w:r>
    </w:p>
    <w:p w14:paraId="1A7F685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what are the key terms and conditions?</w:t>
      </w:r>
    </w:p>
    <w:p w14:paraId="24D1C91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d) whether there is any regulatory financial levy upon spectrum trading? If yes, kindly share details</w:t>
      </w:r>
    </w:p>
    <w:p w14:paraId="1F1C2CC8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e) How has been the uptake of spectrum trading?</w:t>
      </w:r>
    </w:p>
    <w:p w14:paraId="16EEBBB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f) Kindly share a copy of the spectrum trading guidelines in your country</w:t>
      </w:r>
    </w:p>
    <w:p w14:paraId="5FA3304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g) Is change of spectrum use (technology) permitted upon transfer?</w:t>
      </w:r>
    </w:p>
    <w:p w14:paraId="127F9F0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4504D930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no, </w:t>
      </w:r>
    </w:p>
    <w:p w14:paraId="660CD3C3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whether telecom operators have ever demanded for permitting spectrum trading? If yes, kindly share details</w:t>
      </w:r>
    </w:p>
    <w:p w14:paraId="1524CB1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b) whether the need for spectrum trading has been examined? What was the outcome? </w:t>
      </w:r>
    </w:p>
    <w:p w14:paraId="3F8EFBE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whether permitting spectrum trading among telecom operators in plan? If yes, kindly share details</w:t>
      </w:r>
    </w:p>
    <w:p w14:paraId="443C70BF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d) whether telecom operators are permitted to surrender spectrum before the expiry of the validity period of right to use of spectrum? If yes, kindly share details as well as a copy of the guidelines.</w:t>
      </w:r>
    </w:p>
    <w:p w14:paraId="61F8B67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1D7D95E1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Spectrum leasing (when right to use of spectrum is transferred by the spectrum holding telecom operator to another telecom operator or a private entity for a certain period)</w:t>
      </w:r>
    </w:p>
    <w:p w14:paraId="75EBA29D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6A7C9BF3" w14:textId="4598D6F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Whether spectrum leasing is permitted in your country?</w:t>
      </w:r>
    </w:p>
    <w:p w14:paraId="137B984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49779CEF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yes, </w:t>
      </w:r>
    </w:p>
    <w:p w14:paraId="0CCC46A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when was it permitted?</w:t>
      </w:r>
    </w:p>
    <w:p w14:paraId="13BE651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lastRenderedPageBreak/>
        <w:t xml:space="preserve">b) what </w:t>
      </w:r>
      <w:proofErr w:type="gramStart"/>
      <w:r w:rsidRPr="008A1093">
        <w:rPr>
          <w:szCs w:val="24"/>
        </w:rPr>
        <w:t>is</w:t>
      </w:r>
      <w:proofErr w:type="gramEnd"/>
      <w:r w:rsidRPr="008A1093">
        <w:rPr>
          <w:szCs w:val="24"/>
        </w:rPr>
        <w:t xml:space="preserve"> the eligibility criteria? </w:t>
      </w:r>
    </w:p>
    <w:p w14:paraId="0A3995C1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what are the key terms and conditions?</w:t>
      </w:r>
    </w:p>
    <w:p w14:paraId="5E32B187" w14:textId="561C1EF6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d) whether there is any </w:t>
      </w:r>
      <w:r w:rsidR="00FC01BC" w:rsidRPr="008A1093">
        <w:rPr>
          <w:szCs w:val="24"/>
        </w:rPr>
        <w:t>regulatory</w:t>
      </w:r>
      <w:r w:rsidRPr="008A1093">
        <w:rPr>
          <w:szCs w:val="24"/>
        </w:rPr>
        <w:t xml:space="preserve"> financial levy upon spectrum leasing? If yes, kindly share details</w:t>
      </w:r>
    </w:p>
    <w:p w14:paraId="59D16C85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e) How has been the uptake of spectrum leasing?</w:t>
      </w:r>
    </w:p>
    <w:p w14:paraId="523D1A6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f) Kindly share a copy of the spectrum leasing guidelines in your country</w:t>
      </w:r>
    </w:p>
    <w:p w14:paraId="0D2AFDC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g) Is change of spectrum use (technology) permitted upon leasing?</w:t>
      </w:r>
    </w:p>
    <w:p w14:paraId="455731CF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</w:p>
    <w:p w14:paraId="3D1E9C9B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If no, </w:t>
      </w:r>
    </w:p>
    <w:p w14:paraId="5A6AA7F2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a) whether telecom operators or private entitles have ever demanded for permitting spectrum leasing? If yes, kindly share details</w:t>
      </w:r>
    </w:p>
    <w:p w14:paraId="48B9CD40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 xml:space="preserve">b) whether the need for spectrum leasing has been examined? What was the outcome? </w:t>
      </w:r>
    </w:p>
    <w:p w14:paraId="1B03DE0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c) whether permitting spectrum leasing in plan? If yes, kindly share details</w:t>
      </w:r>
    </w:p>
    <w:p w14:paraId="7E697AD8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d) whether there is a demand from private entities for spectrum for captive use, particularly for Industry 4.0? If yes, kindly share details</w:t>
      </w:r>
    </w:p>
    <w:p w14:paraId="2F9ABB89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5E19556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0CEE3A12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 xml:space="preserve">Delicensed / License-Exempt Spectrum for </w:t>
      </w:r>
      <w:proofErr w:type="spellStart"/>
      <w:r w:rsidRPr="008A1093">
        <w:rPr>
          <w:b/>
          <w:bCs/>
          <w:szCs w:val="24"/>
        </w:rPr>
        <w:t>WiFi</w:t>
      </w:r>
      <w:proofErr w:type="spellEnd"/>
      <w:r w:rsidRPr="008A1093">
        <w:rPr>
          <w:b/>
          <w:bCs/>
          <w:szCs w:val="24"/>
        </w:rPr>
        <w:t xml:space="preserve"> use</w:t>
      </w:r>
    </w:p>
    <w:p w14:paraId="2A367C5D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tbl>
      <w:tblPr>
        <w:tblW w:w="6449" w:type="dxa"/>
        <w:tblInd w:w="704" w:type="dxa"/>
        <w:tblLook w:val="04A0" w:firstRow="1" w:lastRow="0" w:firstColumn="1" w:lastColumn="0" w:noHBand="0" w:noVBand="1"/>
      </w:tblPr>
      <w:tblGrid>
        <w:gridCol w:w="2689"/>
        <w:gridCol w:w="2060"/>
        <w:gridCol w:w="1700"/>
      </w:tblGrid>
      <w:tr w:rsidR="00E21523" w:rsidRPr="008A1093" w14:paraId="6406B15D" w14:textId="77777777" w:rsidTr="008B4F0C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BBA1" w14:textId="77777777" w:rsidR="00E21523" w:rsidRPr="008A1093" w:rsidRDefault="00E21523" w:rsidP="00BB3A02">
            <w:pPr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Spectrum band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B9AC" w14:textId="77777777" w:rsidR="00E21523" w:rsidRPr="008A1093" w:rsidRDefault="00E21523" w:rsidP="00BB3A02">
            <w:pPr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 xml:space="preserve">Frequency range delicensed for </w:t>
            </w:r>
            <w:proofErr w:type="spellStart"/>
            <w:r w:rsidRPr="008A1093">
              <w:rPr>
                <w:rFonts w:eastAsia="Times New Roman"/>
                <w:color w:val="000000"/>
                <w:lang w:eastAsia="en-IN" w:bidi="hi-IN"/>
              </w:rPr>
              <w:t>WiFi</w:t>
            </w:r>
            <w:proofErr w:type="spellEnd"/>
            <w:r w:rsidRPr="008A1093">
              <w:rPr>
                <w:rFonts w:eastAsia="Times New Roman"/>
                <w:color w:val="000000"/>
                <w:lang w:eastAsia="en-IN" w:bidi="hi-IN"/>
              </w:rPr>
              <w:t xml:space="preserve"> applications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71" w14:textId="77777777" w:rsidR="00E21523" w:rsidRPr="008A1093" w:rsidRDefault="00E21523" w:rsidP="00BB3A02">
            <w:pPr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Restrictions for indoor and outdoor use</w:t>
            </w:r>
          </w:p>
        </w:tc>
      </w:tr>
      <w:tr w:rsidR="00E21523" w:rsidRPr="008A1093" w14:paraId="2A028F29" w14:textId="77777777" w:rsidTr="008B4F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94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99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F5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2F2EB4A9" w14:textId="77777777" w:rsidTr="008B4F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BF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4ED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BE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20A802C0" w14:textId="77777777" w:rsidTr="008B4F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5C5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041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7B7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  <w:tr w:rsidR="00E21523" w:rsidRPr="008A1093" w14:paraId="61E84217" w14:textId="77777777" w:rsidTr="008B4F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D3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CDE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F79" w14:textId="77777777" w:rsidR="00E21523" w:rsidRPr="008A1093" w:rsidRDefault="00E21523" w:rsidP="008B4F0C">
            <w:pPr>
              <w:spacing w:line="360" w:lineRule="auto"/>
              <w:jc w:val="both"/>
              <w:rPr>
                <w:rFonts w:eastAsia="Times New Roman"/>
                <w:color w:val="000000"/>
                <w:lang w:eastAsia="en-IN" w:bidi="hi-IN"/>
              </w:rPr>
            </w:pPr>
            <w:r w:rsidRPr="008A1093">
              <w:rPr>
                <w:rFonts w:eastAsia="Times New Roman"/>
                <w:color w:val="000000"/>
                <w:lang w:eastAsia="en-IN" w:bidi="hi-IN"/>
              </w:rPr>
              <w:t> </w:t>
            </w:r>
          </w:p>
        </w:tc>
      </w:tr>
    </w:tbl>
    <w:p w14:paraId="75D8AA3B" w14:textId="563EF080" w:rsidR="00E21523" w:rsidRPr="008A1093" w:rsidRDefault="00E21523" w:rsidP="00E21523">
      <w:pPr>
        <w:rPr>
          <w:b/>
          <w:bCs/>
        </w:rPr>
      </w:pPr>
    </w:p>
    <w:p w14:paraId="14079E82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Spectrum Cap (maximum quantum of spectrum a Telecom Operator can hold)</w:t>
      </w:r>
    </w:p>
    <w:p w14:paraId="0358AB7C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7BB767BE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Whether any spectrum cap has been prescribed for access spectrum bands? Kindly provide details</w:t>
      </w:r>
    </w:p>
    <w:p w14:paraId="4613F0F7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061000D6" w14:textId="77777777" w:rsidR="00E21523" w:rsidRPr="008A1093" w:rsidRDefault="00E21523" w:rsidP="00E21523">
      <w:pPr>
        <w:pStyle w:val="ListParagraph"/>
        <w:numPr>
          <w:ilvl w:val="0"/>
          <w:numId w:val="18"/>
        </w:numPr>
        <w:autoSpaceDE/>
        <w:autoSpaceDN/>
        <w:spacing w:after="160" w:line="360" w:lineRule="auto"/>
        <w:ind w:left="567" w:hanging="578"/>
        <w:contextualSpacing/>
        <w:jc w:val="both"/>
        <w:rPr>
          <w:b/>
          <w:bCs/>
          <w:szCs w:val="24"/>
        </w:rPr>
      </w:pPr>
      <w:r w:rsidRPr="008A1093">
        <w:rPr>
          <w:b/>
          <w:bCs/>
          <w:szCs w:val="24"/>
        </w:rPr>
        <w:t>Efficient Use of Spectrum</w:t>
      </w:r>
    </w:p>
    <w:p w14:paraId="2EFCC1B3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b/>
          <w:bCs/>
          <w:szCs w:val="24"/>
        </w:rPr>
      </w:pPr>
    </w:p>
    <w:p w14:paraId="319FAD18" w14:textId="77777777" w:rsidR="00E21523" w:rsidRPr="008A1093" w:rsidRDefault="00E21523" w:rsidP="00E21523">
      <w:pPr>
        <w:pStyle w:val="ListParagraph"/>
        <w:spacing w:line="360" w:lineRule="auto"/>
        <w:ind w:left="567"/>
        <w:jc w:val="both"/>
        <w:rPr>
          <w:szCs w:val="24"/>
        </w:rPr>
      </w:pPr>
      <w:r w:rsidRPr="008A1093">
        <w:rPr>
          <w:szCs w:val="24"/>
        </w:rPr>
        <w:t>How is efficient use of spectrum ensured? Provide details of practice adopted.</w:t>
      </w:r>
      <w:bookmarkEnd w:id="0"/>
    </w:p>
    <w:p w14:paraId="6DF6D1D9" w14:textId="0959B6B8" w:rsidR="000925AA" w:rsidRPr="008A1093" w:rsidRDefault="000925AA" w:rsidP="00E21523">
      <w:pPr>
        <w:jc w:val="center"/>
        <w:rPr>
          <w:b/>
          <w:bCs/>
          <w:caps/>
        </w:rPr>
      </w:pPr>
    </w:p>
    <w:sectPr w:rsidR="000925AA" w:rsidRPr="008A1093" w:rsidSect="008F189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C301" w14:textId="77777777" w:rsidR="00467AC9" w:rsidRDefault="00467AC9">
      <w:r>
        <w:separator/>
      </w:r>
    </w:p>
  </w:endnote>
  <w:endnote w:type="continuationSeparator" w:id="0">
    <w:p w14:paraId="25D8DBE3" w14:textId="77777777" w:rsidR="00467AC9" w:rsidRDefault="004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3365EE81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E21523">
      <w:t>I</w:t>
    </w:r>
    <w:r w:rsidRPr="009F5536">
      <w:t>-</w:t>
    </w:r>
    <w:r w:rsidR="00732CD4">
      <w:t>SPEC</w:t>
    </w:r>
    <w:r w:rsidRPr="009F5536">
      <w:t>1/</w:t>
    </w:r>
    <w:r w:rsidR="00BB3A02">
      <w:t>OUT-03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148"/>
      <w:gridCol w:w="2916"/>
    </w:tblGrid>
    <w:tr w:rsidR="008F189A" w:rsidRPr="008F189A" w14:paraId="386A7114" w14:textId="77777777" w:rsidTr="00731A88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5148" w:type="dxa"/>
        </w:tcPr>
        <w:p w14:paraId="16043D6E" w14:textId="02E9182F" w:rsidR="00DB0905" w:rsidRPr="00C71362" w:rsidRDefault="00731A88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Mrs. Sonia Madan</w:t>
          </w:r>
          <w:r>
            <w:rPr>
              <w:rFonts w:eastAsia="Batang" w:cs="Angsana New"/>
              <w:szCs w:val="22"/>
              <w:lang w:bidi="th-TH"/>
            </w:rPr>
            <w:br/>
            <w:t>Lead Expert on Work Item</w:t>
          </w:r>
          <w:r>
            <w:rPr>
              <w:rFonts w:eastAsia="Batang" w:cs="Angsana New"/>
              <w:szCs w:val="22"/>
              <w:lang w:bidi="th-TH"/>
            </w:rPr>
            <w:br/>
            <w:t xml:space="preserve">Deputy Advisor, TRAI </w:t>
          </w:r>
        </w:p>
      </w:tc>
      <w:tc>
        <w:tcPr>
          <w:tcW w:w="2916" w:type="dxa"/>
        </w:tcPr>
        <w:p w14:paraId="3BB56181" w14:textId="0910276D" w:rsidR="008F189A" w:rsidRPr="00F10FE5" w:rsidRDefault="008F189A" w:rsidP="008F189A">
          <w:pPr>
            <w:rPr>
              <w:b/>
              <w:bCs/>
              <w:lang w:eastAsia="ja-JP"/>
            </w:rPr>
          </w:pPr>
          <w:r w:rsidRPr="00F10FE5">
            <w:rPr>
              <w:b/>
              <w:bCs/>
            </w:rPr>
            <w:t>Email</w:t>
          </w:r>
          <w:r w:rsidRPr="00F10FE5">
            <w:rPr>
              <w:rFonts w:hint="eastAsia"/>
              <w:b/>
              <w:bCs/>
            </w:rPr>
            <w:t>:</w:t>
          </w:r>
          <w:r w:rsidR="00731A88">
            <w:rPr>
              <w:b/>
              <w:bCs/>
            </w:rPr>
            <w:t xml:space="preserve"> </w:t>
          </w:r>
          <w:hyperlink r:id="rId1" w:history="1">
            <w:r w:rsidR="00731A88" w:rsidRPr="006D7504">
              <w:rPr>
                <w:rStyle w:val="Hyperlink"/>
              </w:rPr>
              <w:t>smadan@trai.gov.in</w:t>
            </w:r>
          </w:hyperlink>
          <w:r w:rsidR="00731A88">
            <w:t xml:space="preserve"> </w:t>
          </w:r>
        </w:p>
      </w:tc>
    </w:tr>
  </w:tbl>
  <w:p w14:paraId="52938ADF" w14:textId="77777777" w:rsidR="0097693B" w:rsidRPr="008F189A" w:rsidRDefault="0097693B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06B4" w14:textId="77777777" w:rsidR="00467AC9" w:rsidRDefault="00467AC9">
      <w:r>
        <w:separator/>
      </w:r>
    </w:p>
  </w:footnote>
  <w:footnote w:type="continuationSeparator" w:id="0">
    <w:p w14:paraId="3F78E906" w14:textId="77777777" w:rsidR="00467AC9" w:rsidRDefault="0046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D12B9"/>
    <w:multiLevelType w:val="hybridMultilevel"/>
    <w:tmpl w:val="EF80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9FF"/>
    <w:multiLevelType w:val="hybridMultilevel"/>
    <w:tmpl w:val="C3400946"/>
    <w:lvl w:ilvl="0" w:tplc="C040CA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F1C63"/>
    <w:multiLevelType w:val="hybridMultilevel"/>
    <w:tmpl w:val="72AED958"/>
    <w:lvl w:ilvl="0" w:tplc="DF72DD90">
      <w:start w:val="25"/>
      <w:numFmt w:val="bullet"/>
      <w:lvlText w:val="-"/>
      <w:lvlJc w:val="left"/>
      <w:pPr>
        <w:ind w:left="3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674F033B"/>
    <w:multiLevelType w:val="hybridMultilevel"/>
    <w:tmpl w:val="1A42B64E"/>
    <w:lvl w:ilvl="0" w:tplc="C03AE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C12460"/>
    <w:multiLevelType w:val="hybridMultilevel"/>
    <w:tmpl w:val="43C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15A7"/>
    <w:multiLevelType w:val="hybridMultilevel"/>
    <w:tmpl w:val="5F5CAF0C"/>
    <w:lvl w:ilvl="0" w:tplc="1C961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6617">
    <w:abstractNumId w:val="8"/>
  </w:num>
  <w:num w:numId="2" w16cid:durableId="1393652225">
    <w:abstractNumId w:val="4"/>
  </w:num>
  <w:num w:numId="3" w16cid:durableId="420415663">
    <w:abstractNumId w:val="3"/>
  </w:num>
  <w:num w:numId="4" w16cid:durableId="883760653">
    <w:abstractNumId w:val="15"/>
  </w:num>
  <w:num w:numId="5" w16cid:durableId="1597135127">
    <w:abstractNumId w:val="7"/>
  </w:num>
  <w:num w:numId="6" w16cid:durableId="103893141">
    <w:abstractNumId w:val="9"/>
  </w:num>
  <w:num w:numId="7" w16cid:durableId="462506145">
    <w:abstractNumId w:val="2"/>
  </w:num>
  <w:num w:numId="8" w16cid:durableId="1648436809">
    <w:abstractNumId w:val="0"/>
  </w:num>
  <w:num w:numId="9" w16cid:durableId="730930042">
    <w:abstractNumId w:val="11"/>
  </w:num>
  <w:num w:numId="10" w16cid:durableId="630793904">
    <w:abstractNumId w:val="6"/>
  </w:num>
  <w:num w:numId="11" w16cid:durableId="1944612674">
    <w:abstractNumId w:val="1"/>
  </w:num>
  <w:num w:numId="12" w16cid:durableId="689836182">
    <w:abstractNumId w:val="10"/>
  </w:num>
  <w:num w:numId="13" w16cid:durableId="1524783506">
    <w:abstractNumId w:val="13"/>
  </w:num>
  <w:num w:numId="14" w16cid:durableId="1890678107">
    <w:abstractNumId w:val="5"/>
  </w:num>
  <w:num w:numId="15" w16cid:durableId="1744647180">
    <w:abstractNumId w:val="17"/>
  </w:num>
  <w:num w:numId="16" w16cid:durableId="1914388917">
    <w:abstractNumId w:val="16"/>
  </w:num>
  <w:num w:numId="17" w16cid:durableId="918444664">
    <w:abstractNumId w:val="14"/>
  </w:num>
  <w:num w:numId="18" w16cid:durableId="1739093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20262"/>
    <w:rsid w:val="00032A21"/>
    <w:rsid w:val="00035814"/>
    <w:rsid w:val="0003595B"/>
    <w:rsid w:val="00056D4F"/>
    <w:rsid w:val="00086193"/>
    <w:rsid w:val="000925AA"/>
    <w:rsid w:val="00097EA8"/>
    <w:rsid w:val="000A27F6"/>
    <w:rsid w:val="000A4256"/>
    <w:rsid w:val="000A55B0"/>
    <w:rsid w:val="000A6769"/>
    <w:rsid w:val="000B72DE"/>
    <w:rsid w:val="000D5677"/>
    <w:rsid w:val="000F5540"/>
    <w:rsid w:val="00105EFD"/>
    <w:rsid w:val="001127BA"/>
    <w:rsid w:val="00113E14"/>
    <w:rsid w:val="001203A9"/>
    <w:rsid w:val="001234D7"/>
    <w:rsid w:val="0012399A"/>
    <w:rsid w:val="00171109"/>
    <w:rsid w:val="0018079A"/>
    <w:rsid w:val="00196568"/>
    <w:rsid w:val="001B18C2"/>
    <w:rsid w:val="001C7041"/>
    <w:rsid w:val="001D1379"/>
    <w:rsid w:val="001D4097"/>
    <w:rsid w:val="001D5D7E"/>
    <w:rsid w:val="00203C79"/>
    <w:rsid w:val="002424D7"/>
    <w:rsid w:val="00242F78"/>
    <w:rsid w:val="002458F8"/>
    <w:rsid w:val="00254A1B"/>
    <w:rsid w:val="00262EAB"/>
    <w:rsid w:val="0028148C"/>
    <w:rsid w:val="0028416E"/>
    <w:rsid w:val="0028454D"/>
    <w:rsid w:val="002926D4"/>
    <w:rsid w:val="00296352"/>
    <w:rsid w:val="00296540"/>
    <w:rsid w:val="002B2E4E"/>
    <w:rsid w:val="002B4436"/>
    <w:rsid w:val="002B59DA"/>
    <w:rsid w:val="002C07DA"/>
    <w:rsid w:val="002C510D"/>
    <w:rsid w:val="002C7EA9"/>
    <w:rsid w:val="002F0F71"/>
    <w:rsid w:val="002F2C66"/>
    <w:rsid w:val="002F68A7"/>
    <w:rsid w:val="00330445"/>
    <w:rsid w:val="003578AB"/>
    <w:rsid w:val="00370BE6"/>
    <w:rsid w:val="003771CA"/>
    <w:rsid w:val="003937C8"/>
    <w:rsid w:val="003A232C"/>
    <w:rsid w:val="003B6263"/>
    <w:rsid w:val="003C21A5"/>
    <w:rsid w:val="003C64A7"/>
    <w:rsid w:val="003D02E2"/>
    <w:rsid w:val="003D3FDA"/>
    <w:rsid w:val="003D4768"/>
    <w:rsid w:val="003D7783"/>
    <w:rsid w:val="003E0E68"/>
    <w:rsid w:val="003F2317"/>
    <w:rsid w:val="00420822"/>
    <w:rsid w:val="00446628"/>
    <w:rsid w:val="0045458F"/>
    <w:rsid w:val="00467AC9"/>
    <w:rsid w:val="00471CE0"/>
    <w:rsid w:val="00486712"/>
    <w:rsid w:val="00486F61"/>
    <w:rsid w:val="004A78D1"/>
    <w:rsid w:val="004C79CD"/>
    <w:rsid w:val="004D347E"/>
    <w:rsid w:val="004D7743"/>
    <w:rsid w:val="004E6516"/>
    <w:rsid w:val="004F050A"/>
    <w:rsid w:val="00530E8C"/>
    <w:rsid w:val="00545CF7"/>
    <w:rsid w:val="00552C9B"/>
    <w:rsid w:val="00552EE6"/>
    <w:rsid w:val="00565863"/>
    <w:rsid w:val="00580DCA"/>
    <w:rsid w:val="00587875"/>
    <w:rsid w:val="0059309F"/>
    <w:rsid w:val="00597B21"/>
    <w:rsid w:val="005A33DF"/>
    <w:rsid w:val="005A7A02"/>
    <w:rsid w:val="005C0CC3"/>
    <w:rsid w:val="005C255B"/>
    <w:rsid w:val="005C7E76"/>
    <w:rsid w:val="006045ED"/>
    <w:rsid w:val="00607E2B"/>
    <w:rsid w:val="00614171"/>
    <w:rsid w:val="00616A23"/>
    <w:rsid w:val="00627E64"/>
    <w:rsid w:val="0063062B"/>
    <w:rsid w:val="00667229"/>
    <w:rsid w:val="0067040A"/>
    <w:rsid w:val="00682BE5"/>
    <w:rsid w:val="006A6684"/>
    <w:rsid w:val="006A7EF3"/>
    <w:rsid w:val="006B2A73"/>
    <w:rsid w:val="006C7574"/>
    <w:rsid w:val="00721D2A"/>
    <w:rsid w:val="00731A88"/>
    <w:rsid w:val="00732CD4"/>
    <w:rsid w:val="0074190C"/>
    <w:rsid w:val="00762576"/>
    <w:rsid w:val="00775F1B"/>
    <w:rsid w:val="007834B8"/>
    <w:rsid w:val="007A2FB0"/>
    <w:rsid w:val="007D4EF3"/>
    <w:rsid w:val="007E6C90"/>
    <w:rsid w:val="007F7740"/>
    <w:rsid w:val="0080570B"/>
    <w:rsid w:val="00806BBC"/>
    <w:rsid w:val="00812E51"/>
    <w:rsid w:val="0081446D"/>
    <w:rsid w:val="008148E1"/>
    <w:rsid w:val="008351FC"/>
    <w:rsid w:val="00845931"/>
    <w:rsid w:val="00852F8B"/>
    <w:rsid w:val="00865017"/>
    <w:rsid w:val="0088109B"/>
    <w:rsid w:val="00890969"/>
    <w:rsid w:val="00895888"/>
    <w:rsid w:val="008A1093"/>
    <w:rsid w:val="008A1703"/>
    <w:rsid w:val="008B3AD7"/>
    <w:rsid w:val="008B57AE"/>
    <w:rsid w:val="008C332C"/>
    <w:rsid w:val="008C59FC"/>
    <w:rsid w:val="008D0E09"/>
    <w:rsid w:val="008D59C3"/>
    <w:rsid w:val="008E27A4"/>
    <w:rsid w:val="008F189A"/>
    <w:rsid w:val="00906EB0"/>
    <w:rsid w:val="00922A59"/>
    <w:rsid w:val="0092354C"/>
    <w:rsid w:val="00973C4C"/>
    <w:rsid w:val="00974F1A"/>
    <w:rsid w:val="0097693B"/>
    <w:rsid w:val="00980057"/>
    <w:rsid w:val="009859F3"/>
    <w:rsid w:val="009A21C9"/>
    <w:rsid w:val="009A4A6D"/>
    <w:rsid w:val="009C3A88"/>
    <w:rsid w:val="009D0984"/>
    <w:rsid w:val="009F5536"/>
    <w:rsid w:val="00A0758E"/>
    <w:rsid w:val="00A2099A"/>
    <w:rsid w:val="00A438A8"/>
    <w:rsid w:val="00A44BFA"/>
    <w:rsid w:val="00A53045"/>
    <w:rsid w:val="00A53EA1"/>
    <w:rsid w:val="00A548EF"/>
    <w:rsid w:val="00A549AE"/>
    <w:rsid w:val="00A57E40"/>
    <w:rsid w:val="00A948CF"/>
    <w:rsid w:val="00AA3C45"/>
    <w:rsid w:val="00AA41DB"/>
    <w:rsid w:val="00AA474C"/>
    <w:rsid w:val="00AB032C"/>
    <w:rsid w:val="00AC4BB3"/>
    <w:rsid w:val="00AC68F2"/>
    <w:rsid w:val="00AD7E5F"/>
    <w:rsid w:val="00B25D6A"/>
    <w:rsid w:val="00B30C81"/>
    <w:rsid w:val="00B360F6"/>
    <w:rsid w:val="00B9675A"/>
    <w:rsid w:val="00BB3A02"/>
    <w:rsid w:val="00BB4D83"/>
    <w:rsid w:val="00BC76D8"/>
    <w:rsid w:val="00BE026A"/>
    <w:rsid w:val="00BF663E"/>
    <w:rsid w:val="00C15633"/>
    <w:rsid w:val="00C3055F"/>
    <w:rsid w:val="00C357AD"/>
    <w:rsid w:val="00C44B10"/>
    <w:rsid w:val="00C67285"/>
    <w:rsid w:val="00C71362"/>
    <w:rsid w:val="00C80317"/>
    <w:rsid w:val="00C81796"/>
    <w:rsid w:val="00C821FE"/>
    <w:rsid w:val="00C83513"/>
    <w:rsid w:val="00CB2FB5"/>
    <w:rsid w:val="00CC0183"/>
    <w:rsid w:val="00CC4FFE"/>
    <w:rsid w:val="00CD5431"/>
    <w:rsid w:val="00CD75B4"/>
    <w:rsid w:val="00CE543D"/>
    <w:rsid w:val="00CE74EB"/>
    <w:rsid w:val="00CF2491"/>
    <w:rsid w:val="00CF3A0D"/>
    <w:rsid w:val="00D01E21"/>
    <w:rsid w:val="00D07087"/>
    <w:rsid w:val="00D16B5F"/>
    <w:rsid w:val="00D203E5"/>
    <w:rsid w:val="00D40798"/>
    <w:rsid w:val="00D4148A"/>
    <w:rsid w:val="00D540DD"/>
    <w:rsid w:val="00D57772"/>
    <w:rsid w:val="00D65EEC"/>
    <w:rsid w:val="00D75A4D"/>
    <w:rsid w:val="00D8478B"/>
    <w:rsid w:val="00D86151"/>
    <w:rsid w:val="00D948B5"/>
    <w:rsid w:val="00D9733B"/>
    <w:rsid w:val="00DA3BCF"/>
    <w:rsid w:val="00DA7595"/>
    <w:rsid w:val="00DB0905"/>
    <w:rsid w:val="00DB0A68"/>
    <w:rsid w:val="00DB71A2"/>
    <w:rsid w:val="00DB76EF"/>
    <w:rsid w:val="00DC43A3"/>
    <w:rsid w:val="00DD68FC"/>
    <w:rsid w:val="00DE4D0D"/>
    <w:rsid w:val="00DF4970"/>
    <w:rsid w:val="00DF78E5"/>
    <w:rsid w:val="00E02A63"/>
    <w:rsid w:val="00E035A1"/>
    <w:rsid w:val="00E11CD0"/>
    <w:rsid w:val="00E14040"/>
    <w:rsid w:val="00E21523"/>
    <w:rsid w:val="00E3442B"/>
    <w:rsid w:val="00E56FF2"/>
    <w:rsid w:val="00E674D3"/>
    <w:rsid w:val="00E70314"/>
    <w:rsid w:val="00E91BC8"/>
    <w:rsid w:val="00EB6A63"/>
    <w:rsid w:val="00EC1A88"/>
    <w:rsid w:val="00EC36D6"/>
    <w:rsid w:val="00EF2EBB"/>
    <w:rsid w:val="00EF3E95"/>
    <w:rsid w:val="00EF405B"/>
    <w:rsid w:val="00F0069D"/>
    <w:rsid w:val="00F0247A"/>
    <w:rsid w:val="00F10FE5"/>
    <w:rsid w:val="00F373F5"/>
    <w:rsid w:val="00F43318"/>
    <w:rsid w:val="00F5405D"/>
    <w:rsid w:val="00F55A54"/>
    <w:rsid w:val="00F80501"/>
    <w:rsid w:val="00F84067"/>
    <w:rsid w:val="00FA165E"/>
    <w:rsid w:val="00FB38DB"/>
    <w:rsid w:val="00FB7F99"/>
    <w:rsid w:val="00FC01BC"/>
    <w:rsid w:val="00FC2CE0"/>
    <w:rsid w:val="00FD592E"/>
    <w:rsid w:val="00FE1665"/>
    <w:rsid w:val="00FE39C5"/>
    <w:rsid w:val="00FE7AB8"/>
    <w:rsid w:val="00FF229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0FE5"/>
    <w:rPr>
      <w:rFonts w:eastAsia="BatangChe"/>
      <w:b/>
      <w:bCs/>
      <w:kern w:val="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D4097"/>
    <w:rPr>
      <w:color w:val="605E5C"/>
      <w:shd w:val="clear" w:color="auto" w:fill="E1DFDD"/>
    </w:rPr>
  </w:style>
  <w:style w:type="paragraph" w:customStyle="1" w:styleId="Equationlegend">
    <w:name w:val="Equation_legend"/>
    <w:basedOn w:val="NormalIndent"/>
    <w:rsid w:val="000925AA"/>
    <w:pPr>
      <w:widowControl/>
      <w:tabs>
        <w:tab w:val="right" w:pos="1701"/>
        <w:tab w:val="left" w:pos="1985"/>
      </w:tabs>
      <w:wordWrap/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madan@trai.gov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737-B9C0-4CE4-83AF-64CA6F0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12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17</cp:revision>
  <cp:lastPrinted>2022-06-17T10:06:00Z</cp:lastPrinted>
  <dcterms:created xsi:type="dcterms:W3CDTF">2022-06-23T04:32:00Z</dcterms:created>
  <dcterms:modified xsi:type="dcterms:W3CDTF">2022-06-29T00:23:00Z</dcterms:modified>
</cp:coreProperties>
</file>