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0A74C" w14:textId="77777777" w:rsidR="005A34B9" w:rsidRPr="005D7525" w:rsidRDefault="005A34B9" w:rsidP="005A34B9">
      <w:pPr>
        <w:tabs>
          <w:tab w:val="left" w:pos="6585"/>
        </w:tabs>
        <w:rPr>
          <w:rFonts w:eastAsia="MS Mincho" w:cs="Cordia New"/>
          <w:b/>
          <w:szCs w:val="30"/>
          <w:cs/>
          <w:lang w:eastAsia="ja-JP" w:bidi="th-TH"/>
        </w:rPr>
      </w:pPr>
    </w:p>
    <w:p w14:paraId="4BCECDC6" w14:textId="77777777" w:rsidR="005A34B9" w:rsidRPr="005D7525" w:rsidRDefault="005A34B9" w:rsidP="005A34B9">
      <w:pPr>
        <w:jc w:val="center"/>
        <w:rPr>
          <w:rFonts w:eastAsia="MS Mincho"/>
          <w:b/>
          <w:lang w:eastAsia="ja-JP"/>
        </w:rPr>
      </w:pPr>
      <w:r w:rsidRPr="005D7525">
        <w:rPr>
          <w:rFonts w:eastAsia="MS Mincho"/>
          <w:b/>
          <w:bCs/>
          <w:noProof/>
          <w:lang w:eastAsia="ja-JP"/>
        </w:rPr>
        <w:drawing>
          <wp:inline distT="0" distB="0" distL="0" distR="0" wp14:anchorId="448920EF" wp14:editId="5BC1512E">
            <wp:extent cx="845185" cy="733425"/>
            <wp:effectExtent l="19050" t="0" r="0" b="0"/>
            <wp:docPr id="19"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11"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p w14:paraId="57B9037D" w14:textId="77777777" w:rsidR="005A34B9" w:rsidRPr="005D7525" w:rsidRDefault="005A34B9" w:rsidP="005A34B9">
      <w:pPr>
        <w:jc w:val="center"/>
        <w:rPr>
          <w:rFonts w:eastAsia="MS Mincho"/>
          <w:b/>
          <w:lang w:eastAsia="ja-JP"/>
        </w:rPr>
      </w:pPr>
    </w:p>
    <w:p w14:paraId="6FC7B517" w14:textId="77777777" w:rsidR="005A34B9" w:rsidRPr="005D7525" w:rsidRDefault="005A34B9" w:rsidP="005A34B9">
      <w:pPr>
        <w:jc w:val="center"/>
        <w:rPr>
          <w:rFonts w:eastAsia="MS Mincho"/>
          <w:b/>
          <w:sz w:val="28"/>
          <w:szCs w:val="28"/>
          <w:lang w:eastAsia="ja-JP"/>
        </w:rPr>
      </w:pPr>
    </w:p>
    <w:p w14:paraId="5B7B15A9" w14:textId="77777777" w:rsidR="005A34B9" w:rsidRPr="005D7525" w:rsidRDefault="005A34B9" w:rsidP="005A34B9">
      <w:pPr>
        <w:jc w:val="center"/>
        <w:rPr>
          <w:rFonts w:eastAsia="MS Mincho"/>
          <w:b/>
          <w:bCs/>
          <w:caps/>
          <w:sz w:val="28"/>
          <w:szCs w:val="28"/>
          <w:lang w:eastAsia="ja-JP"/>
        </w:rPr>
      </w:pPr>
      <w:r w:rsidRPr="005D7525">
        <w:rPr>
          <w:rFonts w:eastAsia="MS Mincho"/>
          <w:b/>
          <w:bCs/>
          <w:caps/>
          <w:sz w:val="28"/>
          <w:szCs w:val="28"/>
          <w:lang w:eastAsia="ja-JP"/>
        </w:rPr>
        <w:t xml:space="preserve">working methods of </w:t>
      </w:r>
    </w:p>
    <w:p w14:paraId="1BFADA39" w14:textId="29332D41" w:rsidR="005A34B9" w:rsidRPr="005D7525" w:rsidRDefault="005A34B9" w:rsidP="005A34B9">
      <w:pPr>
        <w:jc w:val="center"/>
        <w:rPr>
          <w:rFonts w:eastAsia="MS Mincho"/>
          <w:b/>
          <w:bCs/>
          <w:caps/>
          <w:sz w:val="28"/>
          <w:szCs w:val="28"/>
          <w:lang w:eastAsia="ja-JP"/>
        </w:rPr>
      </w:pPr>
      <w:r w:rsidRPr="005D7525">
        <w:rPr>
          <w:rFonts w:eastAsia="MS Mincho"/>
          <w:b/>
          <w:bCs/>
          <w:caps/>
          <w:sz w:val="28"/>
          <w:szCs w:val="28"/>
          <w:lang w:eastAsia="ja-JP"/>
        </w:rPr>
        <w:t xml:space="preserve">the </w:t>
      </w:r>
      <w:r w:rsidRPr="005A34B9">
        <w:rPr>
          <w:rFonts w:eastAsia="MS Mincho"/>
          <w:b/>
          <w:bCs/>
          <w:caps/>
          <w:sz w:val="28"/>
          <w:szCs w:val="28"/>
          <w:lang w:eastAsia="ja-JP"/>
        </w:rPr>
        <w:t>SOUTH ASIAN TELECOMMUNICATION REGULATORS’ COUNCIL (SATRC)</w:t>
      </w:r>
    </w:p>
    <w:p w14:paraId="019290C8" w14:textId="77777777" w:rsidR="005A34B9" w:rsidRPr="005D7525" w:rsidRDefault="005A34B9" w:rsidP="005A34B9">
      <w:pPr>
        <w:jc w:val="center"/>
        <w:rPr>
          <w:rFonts w:eastAsia="MS Mincho"/>
          <w:b/>
          <w:lang w:eastAsia="ja-JP"/>
        </w:rPr>
      </w:pPr>
    </w:p>
    <w:p w14:paraId="6EC8F47D" w14:textId="77777777" w:rsidR="005A34B9" w:rsidRPr="005D7525" w:rsidRDefault="005A34B9" w:rsidP="005A34B9">
      <w:pPr>
        <w:jc w:val="center"/>
        <w:rPr>
          <w:rFonts w:eastAsia="MS Mincho"/>
          <w:b/>
          <w:lang w:eastAsia="ja-JP"/>
        </w:rPr>
      </w:pPr>
    </w:p>
    <w:p w14:paraId="2E584338" w14:textId="77777777" w:rsidR="005A34B9" w:rsidRPr="005D7525" w:rsidRDefault="005A34B9" w:rsidP="005A34B9">
      <w:pPr>
        <w:jc w:val="center"/>
        <w:rPr>
          <w:rFonts w:eastAsia="MS Mincho"/>
          <w:b/>
          <w:lang w:eastAsia="ja-JP"/>
        </w:rPr>
      </w:pPr>
    </w:p>
    <w:p w14:paraId="0B177844" w14:textId="77777777" w:rsidR="005A34B9" w:rsidRPr="005D7525" w:rsidRDefault="005A34B9" w:rsidP="005A34B9">
      <w:pPr>
        <w:jc w:val="center"/>
        <w:rPr>
          <w:rFonts w:eastAsia="MS Mincho"/>
          <w:b/>
          <w:lang w:eastAsia="ja-JP"/>
        </w:rPr>
      </w:pPr>
    </w:p>
    <w:p w14:paraId="1E6D6FAB" w14:textId="77777777" w:rsidR="005A34B9" w:rsidRPr="005D7525" w:rsidRDefault="005A34B9" w:rsidP="005A34B9">
      <w:pPr>
        <w:jc w:val="center"/>
        <w:rPr>
          <w:rFonts w:eastAsia="MS Mincho"/>
          <w:b/>
          <w:lang w:eastAsia="ja-JP"/>
        </w:rPr>
      </w:pPr>
    </w:p>
    <w:p w14:paraId="6761B7FA" w14:textId="77777777" w:rsidR="005A34B9" w:rsidRPr="005D7525" w:rsidRDefault="005A34B9" w:rsidP="005A34B9">
      <w:pPr>
        <w:jc w:val="center"/>
        <w:rPr>
          <w:rFonts w:eastAsia="MS Mincho"/>
          <w:b/>
          <w:lang w:eastAsia="ja-JP"/>
        </w:rPr>
      </w:pPr>
      <w:r w:rsidRPr="005D7525">
        <w:rPr>
          <w:rFonts w:eastAsia="MS Mincho"/>
          <w:b/>
          <w:lang w:eastAsia="ja-JP"/>
        </w:rPr>
        <w:t>Adopted By</w:t>
      </w:r>
    </w:p>
    <w:p w14:paraId="2ADBEF40" w14:textId="77777777" w:rsidR="005A34B9" w:rsidRPr="005D7525" w:rsidRDefault="005A34B9" w:rsidP="005A34B9">
      <w:pPr>
        <w:jc w:val="center"/>
        <w:rPr>
          <w:rFonts w:eastAsia="MS Mincho"/>
          <w:b/>
          <w:lang w:eastAsia="ja-JP"/>
        </w:rPr>
      </w:pPr>
    </w:p>
    <w:p w14:paraId="527646A3" w14:textId="561ABEFE" w:rsidR="005A34B9" w:rsidRPr="005D7525" w:rsidRDefault="005A34B9" w:rsidP="005A34B9">
      <w:pPr>
        <w:jc w:val="center"/>
        <w:rPr>
          <w:rFonts w:eastAsia="MS Mincho"/>
          <w:b/>
          <w:lang w:eastAsia="ja-JP"/>
        </w:rPr>
      </w:pPr>
      <w:r w:rsidRPr="005D7525">
        <w:rPr>
          <w:rFonts w:eastAsia="MS Mincho"/>
          <w:b/>
          <w:lang w:eastAsia="ja-JP"/>
        </w:rPr>
        <w:t>The 2</w:t>
      </w:r>
      <w:r>
        <w:rPr>
          <w:rFonts w:eastAsia="MS Mincho"/>
          <w:b/>
          <w:lang w:eastAsia="ja-JP"/>
        </w:rPr>
        <w:t>3rd</w:t>
      </w:r>
      <w:r>
        <w:rPr>
          <w:rFonts w:eastAsia="MS Mincho"/>
          <w:b/>
          <w:lang w:eastAsia="ja-JP"/>
        </w:rPr>
        <w:t xml:space="preserve"> </w:t>
      </w:r>
      <w:r w:rsidRPr="005D7525">
        <w:rPr>
          <w:rFonts w:eastAsia="MS Mincho"/>
          <w:b/>
          <w:lang w:eastAsia="ja-JP"/>
        </w:rPr>
        <w:t xml:space="preserve">Meeting of the </w:t>
      </w:r>
      <w:r>
        <w:rPr>
          <w:rFonts w:eastAsia="MS Mincho"/>
          <w:b/>
          <w:lang w:eastAsia="ja-JP"/>
        </w:rPr>
        <w:t>South Asian Telecommunication Regulators’ Council</w:t>
      </w:r>
    </w:p>
    <w:p w14:paraId="1E80B3A2" w14:textId="7725CE7D" w:rsidR="005A34B9" w:rsidRPr="005D7525" w:rsidRDefault="005A34B9" w:rsidP="005A34B9">
      <w:pPr>
        <w:jc w:val="center"/>
        <w:rPr>
          <w:rFonts w:eastAsia="MS Mincho"/>
          <w:b/>
          <w:lang w:eastAsia="ja-JP"/>
        </w:rPr>
      </w:pPr>
      <w:r w:rsidRPr="005D7525">
        <w:rPr>
          <w:rFonts w:eastAsia="MS Mincho"/>
          <w:b/>
          <w:lang w:eastAsia="ja-JP"/>
        </w:rPr>
        <w:t>1</w:t>
      </w:r>
      <w:r>
        <w:rPr>
          <w:rFonts w:eastAsia="MS Mincho"/>
          <w:b/>
          <w:lang w:eastAsia="ja-JP"/>
        </w:rPr>
        <w:t>4</w:t>
      </w:r>
      <w:r w:rsidRPr="005D7525">
        <w:rPr>
          <w:rFonts w:eastAsia="MS Mincho"/>
          <w:b/>
          <w:lang w:eastAsia="ja-JP"/>
        </w:rPr>
        <w:t xml:space="preserve"> – </w:t>
      </w:r>
      <w:r>
        <w:rPr>
          <w:rFonts w:eastAsia="MS Mincho"/>
          <w:b/>
          <w:lang w:eastAsia="ja-JP"/>
        </w:rPr>
        <w:t>16</w:t>
      </w:r>
      <w:r w:rsidRPr="005D7525">
        <w:rPr>
          <w:rFonts w:eastAsia="MS Mincho"/>
          <w:b/>
          <w:lang w:eastAsia="ja-JP"/>
        </w:rPr>
        <w:t xml:space="preserve"> </w:t>
      </w:r>
      <w:r>
        <w:rPr>
          <w:rFonts w:eastAsia="MS Mincho"/>
          <w:b/>
          <w:lang w:eastAsia="ja-JP"/>
        </w:rPr>
        <w:t>November</w:t>
      </w:r>
      <w:r w:rsidRPr="005D7525">
        <w:rPr>
          <w:rFonts w:eastAsia="MS Mincho"/>
          <w:b/>
          <w:lang w:eastAsia="ja-JP"/>
        </w:rPr>
        <w:t xml:space="preserve"> 202</w:t>
      </w:r>
      <w:r>
        <w:rPr>
          <w:rFonts w:eastAsia="MS Mincho"/>
          <w:b/>
          <w:lang w:eastAsia="ja-JP"/>
        </w:rPr>
        <w:t>2</w:t>
      </w:r>
    </w:p>
    <w:p w14:paraId="4A780E37" w14:textId="6A8CD3DE" w:rsidR="005A34B9" w:rsidRPr="005D7525" w:rsidRDefault="005A34B9" w:rsidP="005A34B9">
      <w:pPr>
        <w:jc w:val="center"/>
        <w:rPr>
          <w:rFonts w:eastAsia="MS Mincho"/>
          <w:b/>
          <w:lang w:eastAsia="ja-JP"/>
        </w:rPr>
      </w:pPr>
      <w:r>
        <w:rPr>
          <w:rFonts w:eastAsia="MS Mincho"/>
          <w:b/>
          <w:lang w:eastAsia="ja-JP"/>
        </w:rPr>
        <w:t>Tehran</w:t>
      </w:r>
      <w:r>
        <w:rPr>
          <w:rFonts w:eastAsia="MS Mincho"/>
          <w:b/>
          <w:lang w:eastAsia="ja-JP"/>
        </w:rPr>
        <w:t xml:space="preserve">, </w:t>
      </w:r>
      <w:r>
        <w:rPr>
          <w:rFonts w:eastAsia="MS Mincho"/>
          <w:b/>
          <w:lang w:eastAsia="ja-JP"/>
        </w:rPr>
        <w:t>Islamic Republic of Iran</w:t>
      </w:r>
      <w:r>
        <w:rPr>
          <w:rFonts w:eastAsia="MS Mincho"/>
          <w:b/>
          <w:lang w:eastAsia="ja-JP"/>
        </w:rPr>
        <w:t xml:space="preserve"> (Hybrid)</w:t>
      </w:r>
    </w:p>
    <w:p w14:paraId="7AC62EF1" w14:textId="77777777" w:rsidR="005A34B9" w:rsidRPr="005D7525" w:rsidRDefault="005A34B9" w:rsidP="005A34B9">
      <w:pPr>
        <w:jc w:val="center"/>
        <w:rPr>
          <w:rFonts w:eastAsia="MS Mincho"/>
          <w:b/>
          <w:lang w:eastAsia="ja-JP"/>
        </w:rPr>
      </w:pPr>
    </w:p>
    <w:p w14:paraId="2003C106" w14:textId="77777777" w:rsidR="005A34B9" w:rsidRPr="005D7525" w:rsidRDefault="005A34B9" w:rsidP="005A34B9">
      <w:pPr>
        <w:jc w:val="center"/>
        <w:rPr>
          <w:rFonts w:eastAsia="MS Mincho"/>
          <w:b/>
          <w:lang w:eastAsia="ja-JP"/>
        </w:rPr>
      </w:pPr>
    </w:p>
    <w:p w14:paraId="4B10C531" w14:textId="77777777" w:rsidR="005A34B9" w:rsidRPr="005D7525" w:rsidRDefault="005A34B9" w:rsidP="005A34B9">
      <w:pPr>
        <w:jc w:val="center"/>
        <w:rPr>
          <w:rFonts w:eastAsia="MS Mincho"/>
          <w:b/>
          <w:lang w:eastAsia="ja-JP"/>
        </w:rPr>
      </w:pPr>
    </w:p>
    <w:p w14:paraId="5D69C39D" w14:textId="77777777" w:rsidR="005A34B9" w:rsidRPr="005D7525" w:rsidRDefault="005A34B9" w:rsidP="005A34B9">
      <w:pPr>
        <w:jc w:val="center"/>
        <w:rPr>
          <w:rFonts w:eastAsia="MS Mincho"/>
          <w:b/>
          <w:lang w:eastAsia="ja-JP"/>
        </w:rPr>
      </w:pPr>
    </w:p>
    <w:p w14:paraId="3D823D92" w14:textId="77777777" w:rsidR="005A34B9" w:rsidRPr="005D7525" w:rsidRDefault="005A34B9" w:rsidP="005A34B9">
      <w:pPr>
        <w:jc w:val="center"/>
        <w:rPr>
          <w:rFonts w:eastAsia="MS Mincho"/>
          <w:b/>
          <w:lang w:eastAsia="ja-JP"/>
        </w:rPr>
      </w:pPr>
    </w:p>
    <w:p w14:paraId="4880D438" w14:textId="77777777" w:rsidR="005A34B9" w:rsidRPr="005D7525" w:rsidRDefault="005A34B9" w:rsidP="005A34B9">
      <w:pPr>
        <w:jc w:val="center"/>
        <w:rPr>
          <w:rFonts w:eastAsia="MS Mincho"/>
          <w:b/>
          <w:lang w:eastAsia="ja-JP"/>
        </w:rPr>
      </w:pPr>
    </w:p>
    <w:p w14:paraId="115A3B71" w14:textId="77777777" w:rsidR="005A34B9" w:rsidRPr="005D7525" w:rsidRDefault="005A34B9" w:rsidP="005A34B9">
      <w:pPr>
        <w:jc w:val="center"/>
        <w:rPr>
          <w:rFonts w:eastAsia="MS Mincho"/>
          <w:b/>
          <w:lang w:eastAsia="ja-JP"/>
        </w:rPr>
      </w:pPr>
      <w:r w:rsidRPr="005D7525">
        <w:rPr>
          <w:rFonts w:eastAsia="MS Mincho"/>
          <w:b/>
          <w:lang w:eastAsia="ja-JP"/>
        </w:rPr>
        <w:t>Approved By</w:t>
      </w:r>
    </w:p>
    <w:p w14:paraId="4DA72263" w14:textId="77777777" w:rsidR="005A34B9" w:rsidRPr="005D7525" w:rsidRDefault="005A34B9" w:rsidP="005A34B9">
      <w:pPr>
        <w:jc w:val="center"/>
        <w:rPr>
          <w:rFonts w:eastAsia="MS Mincho"/>
          <w:b/>
          <w:lang w:eastAsia="ja-JP"/>
        </w:rPr>
      </w:pPr>
    </w:p>
    <w:p w14:paraId="1FDEFC9E" w14:textId="77777777" w:rsidR="005A34B9" w:rsidRDefault="005A34B9" w:rsidP="005A34B9">
      <w:pPr>
        <w:jc w:val="center"/>
        <w:rPr>
          <w:rFonts w:eastAsia="MS Mincho"/>
          <w:b/>
          <w:lang w:eastAsia="ja-JP"/>
        </w:rPr>
      </w:pPr>
      <w:r w:rsidRPr="005D7525">
        <w:rPr>
          <w:rFonts w:eastAsia="MS Mincho"/>
          <w:b/>
          <w:lang w:eastAsia="ja-JP"/>
        </w:rPr>
        <w:t>The 4</w:t>
      </w:r>
      <w:r>
        <w:rPr>
          <w:rFonts w:eastAsia="MS Mincho"/>
          <w:b/>
          <w:lang w:eastAsia="ja-JP"/>
        </w:rPr>
        <w:t>6</w:t>
      </w:r>
      <w:r w:rsidRPr="005D7525">
        <w:rPr>
          <w:rFonts w:eastAsia="MS Mincho"/>
          <w:b/>
          <w:lang w:eastAsia="ja-JP"/>
        </w:rPr>
        <w:t>th Session of the Management Committee of the Asia-Pacific Telecommunity</w:t>
      </w:r>
    </w:p>
    <w:p w14:paraId="488E0C45" w14:textId="77777777" w:rsidR="005A34B9" w:rsidRPr="005D7525" w:rsidRDefault="005A34B9" w:rsidP="005A34B9">
      <w:pPr>
        <w:jc w:val="center"/>
        <w:rPr>
          <w:rFonts w:eastAsia="MS Mincho"/>
          <w:b/>
          <w:lang w:eastAsia="ja-JP"/>
        </w:rPr>
      </w:pPr>
      <w:r>
        <w:rPr>
          <w:rFonts w:eastAsia="MS Mincho"/>
          <w:b/>
          <w:lang w:eastAsia="ja-JP"/>
        </w:rPr>
        <w:t>13</w:t>
      </w:r>
      <w:r w:rsidRPr="005D7525">
        <w:rPr>
          <w:rFonts w:eastAsia="MS Mincho"/>
          <w:b/>
          <w:lang w:eastAsia="ja-JP"/>
        </w:rPr>
        <w:t xml:space="preserve"> – </w:t>
      </w:r>
      <w:r>
        <w:rPr>
          <w:rFonts w:eastAsia="MS Mincho"/>
          <w:b/>
          <w:lang w:eastAsia="ja-JP"/>
        </w:rPr>
        <w:t>16</w:t>
      </w:r>
      <w:r w:rsidRPr="005D7525">
        <w:rPr>
          <w:rFonts w:eastAsia="MS Mincho"/>
          <w:b/>
          <w:lang w:eastAsia="ja-JP"/>
        </w:rPr>
        <w:t xml:space="preserve"> December 202</w:t>
      </w:r>
      <w:r>
        <w:rPr>
          <w:rFonts w:eastAsia="MS Mincho"/>
          <w:b/>
          <w:lang w:eastAsia="ja-JP"/>
        </w:rPr>
        <w:t>2</w:t>
      </w:r>
      <w:r w:rsidRPr="005D7525">
        <w:rPr>
          <w:rFonts w:eastAsia="MS Mincho"/>
          <w:b/>
          <w:lang w:eastAsia="ja-JP"/>
        </w:rPr>
        <w:t xml:space="preserve"> </w:t>
      </w:r>
      <w:r w:rsidRPr="005D7525">
        <w:rPr>
          <w:rFonts w:eastAsia="MS Mincho"/>
          <w:b/>
          <w:lang w:eastAsia="ja-JP"/>
        </w:rPr>
        <w:br/>
      </w:r>
      <w:r>
        <w:rPr>
          <w:rFonts w:eastAsia="MS Mincho"/>
          <w:b/>
          <w:lang w:eastAsia="ja-JP"/>
        </w:rPr>
        <w:t>Bangkok, Thailand (Hybrid)</w:t>
      </w:r>
    </w:p>
    <w:p w14:paraId="0C7988DD" w14:textId="77777777" w:rsidR="005A34B9" w:rsidRPr="005D7525" w:rsidRDefault="005A34B9" w:rsidP="005A34B9">
      <w:pPr>
        <w:jc w:val="center"/>
        <w:rPr>
          <w:rFonts w:eastAsia="MS Mincho"/>
          <w:b/>
          <w:lang w:eastAsia="ja-JP"/>
        </w:rPr>
      </w:pPr>
    </w:p>
    <w:p w14:paraId="2D8438F0" w14:textId="648431DA" w:rsidR="005A34B9" w:rsidRPr="005D7525" w:rsidRDefault="005A34B9" w:rsidP="005A34B9">
      <w:pPr>
        <w:jc w:val="center"/>
        <w:rPr>
          <w:rFonts w:eastAsia="MS Mincho"/>
          <w:b/>
          <w:lang w:eastAsia="ja-JP"/>
        </w:rPr>
      </w:pPr>
      <w:r w:rsidRPr="005D7525">
        <w:rPr>
          <w:rFonts w:eastAsia="MS Mincho"/>
          <w:b/>
          <w:i/>
          <w:iCs/>
          <w:lang w:eastAsia="ja-JP"/>
        </w:rPr>
        <w:t>(Source: MC-4</w:t>
      </w:r>
      <w:r>
        <w:rPr>
          <w:rFonts w:eastAsia="MS Mincho"/>
          <w:b/>
          <w:i/>
          <w:iCs/>
          <w:lang w:eastAsia="ja-JP"/>
        </w:rPr>
        <w:t>6</w:t>
      </w:r>
      <w:r w:rsidRPr="005D7525">
        <w:rPr>
          <w:rFonts w:eastAsia="MS Mincho"/>
          <w:b/>
          <w:i/>
          <w:iCs/>
          <w:lang w:eastAsia="ja-JP"/>
        </w:rPr>
        <w:t>/OUT-</w:t>
      </w:r>
      <w:r w:rsidRPr="005D7525">
        <w:rPr>
          <w:rFonts w:eastAsia="MS Mincho" w:hint="eastAsia"/>
          <w:b/>
          <w:i/>
          <w:iCs/>
          <w:lang w:eastAsia="ja-JP"/>
        </w:rPr>
        <w:t>0</w:t>
      </w:r>
      <w:r>
        <w:rPr>
          <w:rFonts w:eastAsia="MS Mincho"/>
          <w:b/>
          <w:i/>
          <w:iCs/>
          <w:lang w:eastAsia="ja-JP"/>
        </w:rPr>
        <w:t>5</w:t>
      </w:r>
      <w:r w:rsidRPr="005D7525">
        <w:rPr>
          <w:rFonts w:eastAsia="MS Mincho"/>
          <w:b/>
          <w:i/>
          <w:iCs/>
          <w:lang w:eastAsia="ja-JP"/>
        </w:rPr>
        <w:t>)</w:t>
      </w:r>
    </w:p>
    <w:p w14:paraId="1CA18ACC" w14:textId="77777777" w:rsidR="00E731B0" w:rsidRDefault="00E731B0" w:rsidP="0035324D">
      <w:pPr>
        <w:pStyle w:val="ListParagraph"/>
        <w:ind w:left="0"/>
        <w:jc w:val="center"/>
        <w:rPr>
          <w:bCs/>
        </w:rPr>
      </w:pPr>
    </w:p>
    <w:p w14:paraId="4C1902C7" w14:textId="6EAE1A9F" w:rsidR="00532566" w:rsidRDefault="00532566" w:rsidP="00532566">
      <w:pPr>
        <w:jc w:val="center"/>
        <w:rPr>
          <w:caps/>
        </w:rPr>
      </w:pPr>
    </w:p>
    <w:p w14:paraId="28402A04" w14:textId="4098B6CA" w:rsidR="00C30F0F" w:rsidRDefault="00C30F0F" w:rsidP="00532566">
      <w:pPr>
        <w:jc w:val="center"/>
        <w:rPr>
          <w:caps/>
        </w:rPr>
      </w:pPr>
    </w:p>
    <w:p w14:paraId="3DA94D55" w14:textId="23088993" w:rsidR="00C30F0F" w:rsidRDefault="00C30F0F" w:rsidP="00532566">
      <w:pPr>
        <w:jc w:val="center"/>
        <w:rPr>
          <w:caps/>
        </w:rPr>
      </w:pPr>
    </w:p>
    <w:p w14:paraId="1992A21F" w14:textId="2962514F" w:rsidR="00C30F0F" w:rsidRDefault="00C30F0F" w:rsidP="00532566">
      <w:pPr>
        <w:jc w:val="center"/>
        <w:rPr>
          <w:caps/>
        </w:rPr>
      </w:pPr>
    </w:p>
    <w:p w14:paraId="3BD61991" w14:textId="1F9FAFA9" w:rsidR="00C30F0F" w:rsidRDefault="00C30F0F" w:rsidP="00532566">
      <w:pPr>
        <w:jc w:val="center"/>
        <w:rPr>
          <w:caps/>
        </w:rPr>
      </w:pPr>
    </w:p>
    <w:p w14:paraId="4C22B405" w14:textId="6A61048C" w:rsidR="00C30F0F" w:rsidRDefault="00C30F0F" w:rsidP="00532566">
      <w:pPr>
        <w:jc w:val="center"/>
        <w:rPr>
          <w:caps/>
        </w:rPr>
      </w:pPr>
    </w:p>
    <w:p w14:paraId="26F85BCF" w14:textId="20E6CBB9" w:rsidR="00C30F0F" w:rsidRDefault="00C30F0F" w:rsidP="00532566">
      <w:pPr>
        <w:jc w:val="center"/>
        <w:rPr>
          <w:caps/>
        </w:rPr>
      </w:pPr>
    </w:p>
    <w:p w14:paraId="51224289" w14:textId="2A5F62CE" w:rsidR="00C30F0F" w:rsidRDefault="00C30F0F" w:rsidP="00532566">
      <w:pPr>
        <w:jc w:val="center"/>
        <w:rPr>
          <w:caps/>
        </w:rPr>
      </w:pPr>
    </w:p>
    <w:p w14:paraId="285E34EE" w14:textId="41215BDD" w:rsidR="00C30F0F" w:rsidRDefault="00C30F0F" w:rsidP="00532566">
      <w:pPr>
        <w:jc w:val="center"/>
        <w:rPr>
          <w:caps/>
        </w:rPr>
      </w:pPr>
    </w:p>
    <w:p w14:paraId="37CDF91D" w14:textId="73DAA07A" w:rsidR="00C30F0F" w:rsidRDefault="00C30F0F" w:rsidP="00532566">
      <w:pPr>
        <w:jc w:val="center"/>
        <w:rPr>
          <w:caps/>
        </w:rPr>
      </w:pPr>
    </w:p>
    <w:p w14:paraId="254B6B72" w14:textId="5965C975" w:rsidR="00C30F0F" w:rsidRDefault="00C30F0F" w:rsidP="00532566">
      <w:pPr>
        <w:jc w:val="center"/>
        <w:rPr>
          <w:caps/>
        </w:rPr>
      </w:pPr>
    </w:p>
    <w:p w14:paraId="30EE6D90" w14:textId="45EE01E8" w:rsidR="00C30F0F" w:rsidRDefault="00C30F0F" w:rsidP="00532566">
      <w:pPr>
        <w:jc w:val="center"/>
        <w:rPr>
          <w:caps/>
        </w:rPr>
      </w:pPr>
    </w:p>
    <w:p w14:paraId="56CBFDE4" w14:textId="6AD80125" w:rsidR="00C30F0F" w:rsidRDefault="00C30F0F" w:rsidP="00532566">
      <w:pPr>
        <w:jc w:val="center"/>
        <w:rPr>
          <w:caps/>
        </w:rPr>
      </w:pPr>
    </w:p>
    <w:p w14:paraId="7BB0E92A" w14:textId="4CEDF2DB" w:rsidR="00C30F0F" w:rsidRDefault="00C30F0F" w:rsidP="00532566">
      <w:pPr>
        <w:jc w:val="center"/>
        <w:rPr>
          <w:caps/>
        </w:rPr>
      </w:pPr>
    </w:p>
    <w:p w14:paraId="5F8AAC79" w14:textId="660793E4" w:rsidR="00C30F0F" w:rsidRDefault="00C30F0F" w:rsidP="00532566">
      <w:pPr>
        <w:jc w:val="center"/>
        <w:rPr>
          <w:caps/>
        </w:rPr>
      </w:pPr>
    </w:p>
    <w:p w14:paraId="1391E952" w14:textId="77777777" w:rsidR="005A34B9" w:rsidRDefault="005A34B9" w:rsidP="005A34B9">
      <w:pPr>
        <w:rPr>
          <w:caps/>
        </w:rPr>
      </w:pPr>
    </w:p>
    <w:p w14:paraId="63D874B8" w14:textId="693F4BA8" w:rsidR="00C30F0F" w:rsidRPr="005A34B9" w:rsidRDefault="00064A45" w:rsidP="005A34B9">
      <w:pPr>
        <w:jc w:val="center"/>
        <w:rPr>
          <w:rFonts w:ascii="Times New Roman Bold" w:hAnsi="Times New Roman Bold"/>
          <w:b/>
          <w:bCs/>
          <w:caps/>
          <w:spacing w:val="-4"/>
          <w:sz w:val="28"/>
          <w:szCs w:val="28"/>
        </w:rPr>
      </w:pPr>
      <w:r w:rsidRPr="005A34B9">
        <w:rPr>
          <w:rFonts w:ascii="Times New Roman Bold" w:hAnsi="Times New Roman Bold"/>
          <w:b/>
          <w:bCs/>
          <w:caps/>
          <w:spacing w:val="-4"/>
          <w:sz w:val="28"/>
          <w:szCs w:val="28"/>
        </w:rPr>
        <w:lastRenderedPageBreak/>
        <w:t>Working methods of</w:t>
      </w:r>
    </w:p>
    <w:p w14:paraId="1882F982" w14:textId="34A9741E" w:rsidR="00064A45" w:rsidRPr="005A34B9" w:rsidRDefault="00064A45" w:rsidP="005A34B9">
      <w:pPr>
        <w:jc w:val="center"/>
        <w:rPr>
          <w:rFonts w:ascii="Times New Roman Bold" w:hAnsi="Times New Roman Bold"/>
          <w:spacing w:val="-4"/>
          <w:sz w:val="28"/>
          <w:szCs w:val="28"/>
        </w:rPr>
      </w:pPr>
      <w:r w:rsidRPr="005A34B9">
        <w:rPr>
          <w:rFonts w:ascii="Times New Roman Bold" w:hAnsi="Times New Roman Bold"/>
          <w:b/>
          <w:bCs/>
          <w:caps/>
          <w:spacing w:val="-4"/>
          <w:sz w:val="28"/>
          <w:szCs w:val="28"/>
        </w:rPr>
        <w:t xml:space="preserve">THE </w:t>
      </w:r>
      <w:r w:rsidR="006049B7" w:rsidRPr="005A34B9">
        <w:rPr>
          <w:rFonts w:ascii="Times New Roman Bold" w:hAnsi="Times New Roman Bold"/>
          <w:spacing w:val="-4"/>
          <w:sz w:val="28"/>
          <w:szCs w:val="28"/>
        </w:rPr>
        <w:t>SOUTH ASIAN TELECOMMUNICATION REGULATORS’ COUNCIL</w:t>
      </w:r>
      <w:r w:rsidR="0035324D" w:rsidRPr="005A34B9">
        <w:rPr>
          <w:rFonts w:ascii="Times New Roman Bold" w:hAnsi="Times New Roman Bold"/>
          <w:spacing w:val="-4"/>
          <w:sz w:val="28"/>
          <w:szCs w:val="28"/>
        </w:rPr>
        <w:t xml:space="preserve"> (SATRC)</w:t>
      </w:r>
    </w:p>
    <w:p w14:paraId="1CCE0C45" w14:textId="77777777" w:rsidR="00BA34AB" w:rsidRPr="00BA34AB" w:rsidRDefault="00BA34AB" w:rsidP="00BA34AB">
      <w:pPr>
        <w:widowControl w:val="0"/>
        <w:jc w:val="both"/>
        <w:rPr>
          <w:rFonts w:eastAsia="Calibri" w:cs="Cordia New"/>
          <w:szCs w:val="22"/>
          <w:lang w:val="en-AU"/>
        </w:rPr>
      </w:pPr>
    </w:p>
    <w:p w14:paraId="27B97561" w14:textId="77777777" w:rsidR="00BA34AB" w:rsidRPr="00BA34AB" w:rsidRDefault="00BA34AB" w:rsidP="00BA34AB">
      <w:pPr>
        <w:widowControl w:val="0"/>
        <w:rPr>
          <w:rFonts w:eastAsia="Calibri" w:cs="Cordia New"/>
          <w:bCs/>
          <w:szCs w:val="22"/>
        </w:rPr>
      </w:pPr>
    </w:p>
    <w:p w14:paraId="10D8DA91" w14:textId="77777777" w:rsidR="00BA34AB" w:rsidRPr="00BA34AB" w:rsidRDefault="00BA34AB" w:rsidP="00BA34AB">
      <w:pPr>
        <w:keepNext/>
        <w:numPr>
          <w:ilvl w:val="0"/>
          <w:numId w:val="33"/>
        </w:numPr>
        <w:ind w:hanging="720"/>
        <w:outlineLvl w:val="1"/>
        <w:rPr>
          <w:rFonts w:eastAsia="Malgun Gothic"/>
          <w:b/>
        </w:rPr>
      </w:pPr>
      <w:r w:rsidRPr="00BA34AB">
        <w:rPr>
          <w:rFonts w:eastAsia="Malgun Gothic"/>
          <w:b/>
        </w:rPr>
        <w:t>Introduction</w:t>
      </w:r>
    </w:p>
    <w:p w14:paraId="6A45955C" w14:textId="77777777" w:rsidR="00BA34AB" w:rsidRPr="00BA34AB" w:rsidRDefault="00BA34AB" w:rsidP="00BA34AB">
      <w:pPr>
        <w:widowControl w:val="0"/>
        <w:rPr>
          <w:szCs w:val="22"/>
          <w:lang w:val="en-AU"/>
        </w:rPr>
      </w:pPr>
    </w:p>
    <w:p w14:paraId="0A7FDC77" w14:textId="77777777" w:rsidR="00BA34AB" w:rsidRPr="00BA34AB" w:rsidRDefault="00BA34AB" w:rsidP="00BA34AB">
      <w:pPr>
        <w:widowControl w:val="0"/>
        <w:jc w:val="both"/>
        <w:rPr>
          <w:szCs w:val="22"/>
          <w:lang w:val="en-AU"/>
        </w:rPr>
      </w:pPr>
      <w:r w:rsidRPr="00BA34AB">
        <w:rPr>
          <w:rFonts w:eastAsia="휴먼명조"/>
          <w:bCs/>
          <w:szCs w:val="32"/>
          <w:lang w:val="en-AU"/>
        </w:rPr>
        <w:t xml:space="preserve">The South Asian Telecommunication Regulators’ Council (SATRC) is a key subregional activity of the Asia-Pacific Telecommunity. The SATRC is responsible for discussion and coordination of all the issues relating to regulations in telecommunication and ICT which are of common interest to the telecommunication regulators in South Asian countries. </w:t>
      </w:r>
    </w:p>
    <w:p w14:paraId="6639863D" w14:textId="77777777" w:rsidR="00BA34AB" w:rsidRPr="00BA34AB" w:rsidRDefault="00BA34AB" w:rsidP="00BA34AB">
      <w:pPr>
        <w:widowControl w:val="0"/>
        <w:rPr>
          <w:szCs w:val="22"/>
          <w:lang w:val="en-AU"/>
        </w:rPr>
      </w:pPr>
    </w:p>
    <w:p w14:paraId="47DFB72A" w14:textId="77777777" w:rsidR="00BA34AB" w:rsidRPr="00BA34AB" w:rsidRDefault="00BA34AB" w:rsidP="00BA34AB">
      <w:pPr>
        <w:keepNext/>
        <w:numPr>
          <w:ilvl w:val="0"/>
          <w:numId w:val="33"/>
        </w:numPr>
        <w:ind w:hanging="720"/>
        <w:outlineLvl w:val="1"/>
        <w:rPr>
          <w:rFonts w:eastAsia="Malgun Gothic"/>
          <w:b/>
        </w:rPr>
      </w:pPr>
      <w:r w:rsidRPr="00BA34AB">
        <w:rPr>
          <w:rFonts w:eastAsia="Malgun Gothic"/>
          <w:b/>
        </w:rPr>
        <w:t>Objectives of the SATRC</w:t>
      </w:r>
    </w:p>
    <w:p w14:paraId="6C829A66" w14:textId="77777777" w:rsidR="00BA34AB" w:rsidRPr="00BA34AB" w:rsidRDefault="00BA34AB" w:rsidP="00BA34AB">
      <w:pPr>
        <w:widowControl w:val="0"/>
        <w:rPr>
          <w:szCs w:val="22"/>
          <w:lang w:val="en-AU"/>
        </w:rPr>
      </w:pPr>
    </w:p>
    <w:p w14:paraId="696A3A95" w14:textId="77777777" w:rsidR="00BA34AB" w:rsidRPr="00BA34AB" w:rsidRDefault="00BA34AB" w:rsidP="00BA34AB">
      <w:pPr>
        <w:numPr>
          <w:ilvl w:val="0"/>
          <w:numId w:val="24"/>
        </w:numPr>
        <w:ind w:left="1080"/>
        <w:jc w:val="both"/>
        <w:rPr>
          <w:szCs w:val="22"/>
          <w:lang w:val="en-AU"/>
        </w:rPr>
      </w:pPr>
      <w:r w:rsidRPr="00BA34AB">
        <w:rPr>
          <w:szCs w:val="22"/>
          <w:lang w:val="en-AU"/>
        </w:rPr>
        <w:t>To discuss and co-ordinate all the issues relating to regulations in telecommunications which are of common interest to the telecommunication regulators of the South Asian Countries;</w:t>
      </w:r>
    </w:p>
    <w:p w14:paraId="2B5645F7" w14:textId="77777777" w:rsidR="00BA34AB" w:rsidRPr="00BA34AB" w:rsidRDefault="00BA34AB" w:rsidP="00BA34AB">
      <w:pPr>
        <w:numPr>
          <w:ilvl w:val="0"/>
          <w:numId w:val="24"/>
        </w:numPr>
        <w:ind w:left="1080"/>
        <w:jc w:val="both"/>
        <w:rPr>
          <w:szCs w:val="22"/>
          <w:lang w:val="en-AU"/>
        </w:rPr>
      </w:pPr>
      <w:r w:rsidRPr="00BA34AB">
        <w:rPr>
          <w:szCs w:val="22"/>
          <w:lang w:val="en-AU"/>
        </w:rPr>
        <w:t>To promote areas of potential co-operation in telecommunications among South Asian countries; and</w:t>
      </w:r>
    </w:p>
    <w:p w14:paraId="27C6D46C" w14:textId="77777777" w:rsidR="00BA34AB" w:rsidRPr="00BA34AB" w:rsidRDefault="00BA34AB" w:rsidP="00BA34AB">
      <w:pPr>
        <w:numPr>
          <w:ilvl w:val="0"/>
          <w:numId w:val="24"/>
        </w:numPr>
        <w:ind w:left="1080"/>
        <w:jc w:val="both"/>
        <w:rPr>
          <w:szCs w:val="22"/>
          <w:lang w:val="en-AU"/>
        </w:rPr>
      </w:pPr>
      <w:r w:rsidRPr="00BA34AB">
        <w:rPr>
          <w:szCs w:val="22"/>
          <w:lang w:val="en-AU"/>
        </w:rPr>
        <w:t>To facilitate</w:t>
      </w:r>
      <w:r w:rsidRPr="00BA34AB">
        <w:rPr>
          <w:rFonts w:eastAsia="휴먼명조"/>
          <w:bCs/>
          <w:szCs w:val="32"/>
          <w:lang w:val="en-AU"/>
        </w:rPr>
        <w:t xml:space="preserve"> the exchange of information through activities approved by the SATRC.</w:t>
      </w:r>
    </w:p>
    <w:p w14:paraId="11CFF5D9" w14:textId="77777777" w:rsidR="00BA34AB" w:rsidRPr="00BA34AB" w:rsidRDefault="00BA34AB" w:rsidP="00BA34AB">
      <w:pPr>
        <w:widowControl w:val="0"/>
        <w:jc w:val="both"/>
        <w:rPr>
          <w:szCs w:val="22"/>
          <w:lang w:val="en-AU"/>
        </w:rPr>
      </w:pPr>
    </w:p>
    <w:p w14:paraId="72174BAA" w14:textId="77777777" w:rsidR="00BA34AB" w:rsidRPr="00BA34AB" w:rsidRDefault="00BA34AB" w:rsidP="00BA34AB">
      <w:pPr>
        <w:keepNext/>
        <w:numPr>
          <w:ilvl w:val="0"/>
          <w:numId w:val="33"/>
        </w:numPr>
        <w:ind w:hanging="720"/>
        <w:outlineLvl w:val="1"/>
        <w:rPr>
          <w:rFonts w:eastAsia="Malgun Gothic"/>
          <w:b/>
        </w:rPr>
      </w:pPr>
      <w:r w:rsidRPr="00BA34AB">
        <w:rPr>
          <w:rFonts w:eastAsia="Malgun Gothic"/>
          <w:b/>
        </w:rPr>
        <w:t>Membership</w:t>
      </w:r>
    </w:p>
    <w:p w14:paraId="02BE9DB1" w14:textId="77777777" w:rsidR="00BA34AB" w:rsidRPr="00BA34AB" w:rsidRDefault="00BA34AB" w:rsidP="00BA34AB">
      <w:pPr>
        <w:widowControl w:val="0"/>
        <w:jc w:val="both"/>
        <w:rPr>
          <w:szCs w:val="22"/>
          <w:lang w:val="en-AU"/>
        </w:rPr>
      </w:pPr>
    </w:p>
    <w:p w14:paraId="65B43630" w14:textId="77777777" w:rsidR="00BA34AB" w:rsidRPr="00BA34AB" w:rsidRDefault="00BA34AB" w:rsidP="00BA34AB">
      <w:pPr>
        <w:widowControl w:val="0"/>
        <w:jc w:val="both"/>
        <w:rPr>
          <w:szCs w:val="22"/>
          <w:lang w:val="en-AU"/>
        </w:rPr>
      </w:pPr>
      <w:r w:rsidRPr="00BA34AB">
        <w:rPr>
          <w:szCs w:val="22"/>
          <w:lang w:val="en-AU"/>
        </w:rPr>
        <w:t>The Membership of SATRC (hereafter referred to as “SATRC Members”) consists of the regulatory bodies of the following nine South Asian countries:</w:t>
      </w:r>
    </w:p>
    <w:p w14:paraId="4D8FB3B2" w14:textId="77777777" w:rsidR="00BA34AB" w:rsidRPr="00BA34AB" w:rsidRDefault="00BA34AB" w:rsidP="00BA34AB">
      <w:pPr>
        <w:numPr>
          <w:ilvl w:val="0"/>
          <w:numId w:val="23"/>
        </w:numPr>
        <w:spacing w:before="120"/>
        <w:jc w:val="both"/>
        <w:rPr>
          <w:szCs w:val="22"/>
          <w:lang w:val="en-AU"/>
        </w:rPr>
      </w:pPr>
      <w:r w:rsidRPr="00BA34AB">
        <w:rPr>
          <w:szCs w:val="22"/>
          <w:lang w:val="en-AU"/>
        </w:rPr>
        <w:t>Afghanistan</w:t>
      </w:r>
    </w:p>
    <w:p w14:paraId="1CED7F7E" w14:textId="77777777" w:rsidR="00BA34AB" w:rsidRPr="00BA34AB" w:rsidRDefault="00BA34AB" w:rsidP="00BA34AB">
      <w:pPr>
        <w:numPr>
          <w:ilvl w:val="0"/>
          <w:numId w:val="23"/>
        </w:numPr>
        <w:jc w:val="both"/>
        <w:rPr>
          <w:szCs w:val="22"/>
          <w:lang w:val="en-AU"/>
        </w:rPr>
      </w:pPr>
      <w:r w:rsidRPr="00BA34AB">
        <w:rPr>
          <w:szCs w:val="22"/>
          <w:lang w:val="en-AU"/>
        </w:rPr>
        <w:t>Bangladesh</w:t>
      </w:r>
    </w:p>
    <w:p w14:paraId="5E40D7B8" w14:textId="77777777" w:rsidR="00BA34AB" w:rsidRPr="00BA34AB" w:rsidRDefault="00BA34AB" w:rsidP="00BA34AB">
      <w:pPr>
        <w:numPr>
          <w:ilvl w:val="0"/>
          <w:numId w:val="23"/>
        </w:numPr>
        <w:jc w:val="both"/>
        <w:rPr>
          <w:szCs w:val="22"/>
          <w:lang w:val="en-AU"/>
        </w:rPr>
      </w:pPr>
      <w:r w:rsidRPr="00BA34AB">
        <w:rPr>
          <w:szCs w:val="22"/>
          <w:lang w:val="en-AU"/>
        </w:rPr>
        <w:t>Bhutan</w:t>
      </w:r>
    </w:p>
    <w:p w14:paraId="78A08A9A" w14:textId="77777777" w:rsidR="00BA34AB" w:rsidRPr="00BA34AB" w:rsidRDefault="00BA34AB" w:rsidP="00BA34AB">
      <w:pPr>
        <w:numPr>
          <w:ilvl w:val="0"/>
          <w:numId w:val="23"/>
        </w:numPr>
        <w:jc w:val="both"/>
        <w:rPr>
          <w:szCs w:val="22"/>
          <w:lang w:val="en-AU"/>
        </w:rPr>
      </w:pPr>
      <w:r w:rsidRPr="00BA34AB">
        <w:rPr>
          <w:szCs w:val="22"/>
          <w:lang w:val="en-AU"/>
        </w:rPr>
        <w:t>India</w:t>
      </w:r>
    </w:p>
    <w:p w14:paraId="41F23134" w14:textId="77777777" w:rsidR="00BA34AB" w:rsidRPr="00BA34AB" w:rsidRDefault="00BA34AB" w:rsidP="00BA34AB">
      <w:pPr>
        <w:numPr>
          <w:ilvl w:val="0"/>
          <w:numId w:val="23"/>
        </w:numPr>
        <w:jc w:val="both"/>
        <w:rPr>
          <w:szCs w:val="22"/>
          <w:lang w:val="en-AU"/>
        </w:rPr>
      </w:pPr>
      <w:r w:rsidRPr="00BA34AB">
        <w:rPr>
          <w:szCs w:val="22"/>
          <w:lang w:val="en-AU"/>
        </w:rPr>
        <w:t>Islamic Republic of Iran</w:t>
      </w:r>
    </w:p>
    <w:p w14:paraId="03566A17" w14:textId="77777777" w:rsidR="00BA34AB" w:rsidRPr="00BA34AB" w:rsidRDefault="00BA34AB" w:rsidP="00BA34AB">
      <w:pPr>
        <w:numPr>
          <w:ilvl w:val="0"/>
          <w:numId w:val="23"/>
        </w:numPr>
        <w:jc w:val="both"/>
        <w:rPr>
          <w:szCs w:val="22"/>
          <w:lang w:val="en-AU"/>
        </w:rPr>
      </w:pPr>
      <w:r w:rsidRPr="00BA34AB">
        <w:rPr>
          <w:szCs w:val="22"/>
          <w:lang w:val="en-AU"/>
        </w:rPr>
        <w:t>Maldives</w:t>
      </w:r>
    </w:p>
    <w:p w14:paraId="2530B1CC" w14:textId="77777777" w:rsidR="00BA34AB" w:rsidRPr="00BA34AB" w:rsidRDefault="00BA34AB" w:rsidP="00BA34AB">
      <w:pPr>
        <w:numPr>
          <w:ilvl w:val="0"/>
          <w:numId w:val="23"/>
        </w:numPr>
        <w:jc w:val="both"/>
        <w:rPr>
          <w:szCs w:val="22"/>
          <w:lang w:val="en-AU"/>
        </w:rPr>
      </w:pPr>
      <w:r w:rsidRPr="00BA34AB">
        <w:rPr>
          <w:szCs w:val="22"/>
          <w:lang w:val="en-AU"/>
        </w:rPr>
        <w:t>Nepal</w:t>
      </w:r>
    </w:p>
    <w:p w14:paraId="5821B6D9" w14:textId="77777777" w:rsidR="00BA34AB" w:rsidRPr="00BA34AB" w:rsidRDefault="00BA34AB" w:rsidP="00BA34AB">
      <w:pPr>
        <w:numPr>
          <w:ilvl w:val="0"/>
          <w:numId w:val="23"/>
        </w:numPr>
        <w:jc w:val="both"/>
        <w:rPr>
          <w:szCs w:val="22"/>
          <w:lang w:val="en-AU"/>
        </w:rPr>
      </w:pPr>
      <w:r w:rsidRPr="00BA34AB">
        <w:rPr>
          <w:szCs w:val="22"/>
          <w:lang w:val="en-AU"/>
        </w:rPr>
        <w:t>Pakistan</w:t>
      </w:r>
    </w:p>
    <w:p w14:paraId="20709793" w14:textId="77777777" w:rsidR="00BA34AB" w:rsidRPr="00BA34AB" w:rsidRDefault="00BA34AB" w:rsidP="00BA34AB">
      <w:pPr>
        <w:numPr>
          <w:ilvl w:val="0"/>
          <w:numId w:val="23"/>
        </w:numPr>
        <w:jc w:val="both"/>
        <w:rPr>
          <w:szCs w:val="22"/>
          <w:lang w:val="en-AU"/>
        </w:rPr>
      </w:pPr>
      <w:r w:rsidRPr="00BA34AB">
        <w:rPr>
          <w:szCs w:val="22"/>
          <w:lang w:val="en-AU"/>
        </w:rPr>
        <w:t>Sri Lanka</w:t>
      </w:r>
    </w:p>
    <w:p w14:paraId="1A7395BB" w14:textId="77777777" w:rsidR="00BA34AB" w:rsidRPr="00BA34AB" w:rsidRDefault="00BA34AB" w:rsidP="00BA34AB">
      <w:pPr>
        <w:widowControl w:val="0"/>
        <w:jc w:val="both"/>
        <w:rPr>
          <w:szCs w:val="22"/>
          <w:lang w:val="en-AU"/>
        </w:rPr>
      </w:pPr>
    </w:p>
    <w:p w14:paraId="5F43EAAB" w14:textId="77777777" w:rsidR="00BA34AB" w:rsidRPr="00BA34AB" w:rsidRDefault="00BA34AB" w:rsidP="00BA34AB">
      <w:pPr>
        <w:keepNext/>
        <w:numPr>
          <w:ilvl w:val="0"/>
          <w:numId w:val="33"/>
        </w:numPr>
        <w:ind w:hanging="720"/>
        <w:jc w:val="both"/>
        <w:outlineLvl w:val="1"/>
        <w:rPr>
          <w:rFonts w:eastAsia="Malgun Gothic"/>
          <w:b/>
        </w:rPr>
      </w:pPr>
      <w:r w:rsidRPr="00BA34AB">
        <w:rPr>
          <w:rFonts w:eastAsia="Malgun Gothic"/>
          <w:b/>
        </w:rPr>
        <w:t>Structure</w:t>
      </w:r>
    </w:p>
    <w:p w14:paraId="4B8E83C1" w14:textId="77777777" w:rsidR="00BA34AB" w:rsidRPr="00BA34AB" w:rsidRDefault="00BA34AB" w:rsidP="00BA34AB">
      <w:pPr>
        <w:widowControl w:val="0"/>
        <w:rPr>
          <w:rFonts w:eastAsia="Calibri" w:cs="Cordia New"/>
          <w:szCs w:val="22"/>
          <w:lang w:val="en-AU"/>
        </w:rPr>
      </w:pPr>
    </w:p>
    <w:p w14:paraId="35615097" w14:textId="173B86E1" w:rsidR="00BA34AB" w:rsidRPr="00BA34AB" w:rsidRDefault="00BA34AB" w:rsidP="00BA34AB">
      <w:pPr>
        <w:widowControl w:val="0"/>
        <w:jc w:val="both"/>
        <w:rPr>
          <w:szCs w:val="22"/>
          <w:lang w:val="en-AU"/>
        </w:rPr>
      </w:pPr>
      <w:r w:rsidRPr="00BA34AB">
        <w:rPr>
          <w:szCs w:val="22"/>
          <w:lang w:val="en-AU"/>
        </w:rPr>
        <w:t xml:space="preserve">The SATRC consists of SATRC Members, a Chair and a Vice-Chair of SATRC elected from the SATRC Members. </w:t>
      </w:r>
    </w:p>
    <w:p w14:paraId="715D83A6" w14:textId="77777777" w:rsidR="00BA34AB" w:rsidRPr="00BA34AB" w:rsidRDefault="00BA34AB" w:rsidP="00BA34AB">
      <w:pPr>
        <w:widowControl w:val="0"/>
        <w:jc w:val="both"/>
        <w:rPr>
          <w:szCs w:val="22"/>
          <w:lang w:val="en-AU"/>
        </w:rPr>
      </w:pPr>
    </w:p>
    <w:p w14:paraId="2B906C7E" w14:textId="77777777" w:rsidR="00BA34AB" w:rsidRPr="00BA34AB" w:rsidRDefault="00BA34AB" w:rsidP="00BA34AB">
      <w:pPr>
        <w:widowControl w:val="0"/>
        <w:jc w:val="both"/>
        <w:rPr>
          <w:szCs w:val="22"/>
          <w:lang w:val="en-AU"/>
        </w:rPr>
      </w:pPr>
      <w:r w:rsidRPr="00BA34AB">
        <w:rPr>
          <w:szCs w:val="22"/>
          <w:lang w:val="en-AU"/>
        </w:rPr>
        <w:t>The SATRC may establish Working Groups to study or undertake detailed discussions and/or studies on specific issues in telecommunications as required for the successful implementation of the objectives of the SATRC.</w:t>
      </w:r>
    </w:p>
    <w:p w14:paraId="5E9EFAE8" w14:textId="77777777" w:rsidR="00BA34AB" w:rsidRPr="00BA34AB" w:rsidRDefault="00BA34AB" w:rsidP="00BA34AB">
      <w:pPr>
        <w:widowControl w:val="0"/>
        <w:jc w:val="both"/>
        <w:rPr>
          <w:szCs w:val="22"/>
          <w:lang w:val="en-AU"/>
        </w:rPr>
      </w:pPr>
    </w:p>
    <w:p w14:paraId="140C8E05" w14:textId="0C2CFA3D" w:rsidR="00BA34AB" w:rsidRPr="00BA34AB" w:rsidRDefault="00BA34AB" w:rsidP="00BA34AB">
      <w:pPr>
        <w:widowControl w:val="0"/>
        <w:tabs>
          <w:tab w:val="left" w:pos="720"/>
        </w:tabs>
        <w:ind w:left="720" w:hanging="720"/>
        <w:jc w:val="both"/>
        <w:rPr>
          <w:b/>
          <w:bCs/>
          <w:szCs w:val="22"/>
          <w:lang w:val="en-AU"/>
        </w:rPr>
      </w:pPr>
      <w:r w:rsidRPr="00BA34AB">
        <w:rPr>
          <w:b/>
          <w:bCs/>
          <w:szCs w:val="22"/>
          <w:lang w:val="en-AU"/>
        </w:rPr>
        <w:t>4.1</w:t>
      </w:r>
      <w:r w:rsidRPr="00BA34AB">
        <w:rPr>
          <w:b/>
          <w:bCs/>
          <w:szCs w:val="22"/>
          <w:lang w:val="en-AU"/>
        </w:rPr>
        <w:tab/>
        <w:t>Chair and Vice</w:t>
      </w:r>
      <w:r w:rsidR="009408F1">
        <w:rPr>
          <w:b/>
          <w:bCs/>
          <w:szCs w:val="22"/>
          <w:lang w:val="en-AU"/>
        </w:rPr>
        <w:t>-</w:t>
      </w:r>
      <w:r w:rsidRPr="00BA34AB">
        <w:rPr>
          <w:b/>
          <w:bCs/>
          <w:szCs w:val="22"/>
          <w:lang w:val="en-AU"/>
        </w:rPr>
        <w:t>Chair</w:t>
      </w:r>
    </w:p>
    <w:p w14:paraId="40B11355" w14:textId="77777777" w:rsidR="00BA34AB" w:rsidRPr="00BA34AB" w:rsidRDefault="00BA34AB" w:rsidP="00BA34AB">
      <w:pPr>
        <w:widowControl w:val="0"/>
        <w:tabs>
          <w:tab w:val="left" w:pos="720"/>
        </w:tabs>
        <w:ind w:left="720" w:hanging="720"/>
        <w:jc w:val="both"/>
        <w:rPr>
          <w:b/>
          <w:bCs/>
          <w:szCs w:val="22"/>
          <w:lang w:val="en-AU"/>
        </w:rPr>
      </w:pPr>
    </w:p>
    <w:p w14:paraId="643F8296" w14:textId="3488A032" w:rsidR="00BA34AB" w:rsidRPr="00BA34AB" w:rsidRDefault="00BA34AB" w:rsidP="00BA34AB">
      <w:pPr>
        <w:numPr>
          <w:ilvl w:val="0"/>
          <w:numId w:val="32"/>
        </w:numPr>
        <w:ind w:left="1080"/>
        <w:jc w:val="both"/>
        <w:rPr>
          <w:szCs w:val="22"/>
          <w:lang w:val="en-AU"/>
        </w:rPr>
      </w:pPr>
      <w:r w:rsidRPr="00BA34AB">
        <w:rPr>
          <w:szCs w:val="22"/>
          <w:lang w:val="en-AU"/>
        </w:rPr>
        <w:t xml:space="preserve">The Chair will normally be nominated by the country hosting the SATRC Meeting. </w:t>
      </w:r>
    </w:p>
    <w:p w14:paraId="7381A51B" w14:textId="7876742E" w:rsidR="00BA34AB" w:rsidRPr="00BA34AB" w:rsidRDefault="00BA34AB" w:rsidP="00BA34AB">
      <w:pPr>
        <w:numPr>
          <w:ilvl w:val="0"/>
          <w:numId w:val="32"/>
        </w:numPr>
        <w:ind w:left="1080"/>
        <w:rPr>
          <w:szCs w:val="22"/>
          <w:lang w:val="en-AU"/>
        </w:rPr>
      </w:pPr>
      <w:r w:rsidRPr="00BA34AB">
        <w:rPr>
          <w:szCs w:val="22"/>
          <w:lang w:val="en-AU"/>
        </w:rPr>
        <w:t>Chair is responsible for overall administrative matters regarding the SATRC and presides over the SATRC Meetings.</w:t>
      </w:r>
    </w:p>
    <w:p w14:paraId="4FA7FD3C" w14:textId="7353F6A1" w:rsidR="00BA34AB" w:rsidRPr="00BA34AB" w:rsidRDefault="00BA34AB" w:rsidP="00BA34AB">
      <w:pPr>
        <w:numPr>
          <w:ilvl w:val="0"/>
          <w:numId w:val="32"/>
        </w:numPr>
        <w:ind w:left="1080"/>
        <w:jc w:val="both"/>
        <w:rPr>
          <w:szCs w:val="22"/>
          <w:lang w:val="en-AU"/>
        </w:rPr>
      </w:pPr>
      <w:r w:rsidRPr="00BA34AB">
        <w:rPr>
          <w:szCs w:val="22"/>
          <w:lang w:val="en-AU"/>
        </w:rPr>
        <w:lastRenderedPageBreak/>
        <w:t>The Chair will review the report of SATRC before its adoption and attend the APT Management Committee to represent SATRC activities.</w:t>
      </w:r>
    </w:p>
    <w:p w14:paraId="7AAACD85" w14:textId="58331088" w:rsidR="00BA34AB" w:rsidRPr="00BA34AB" w:rsidRDefault="00BA34AB" w:rsidP="00BA34AB">
      <w:pPr>
        <w:numPr>
          <w:ilvl w:val="0"/>
          <w:numId w:val="32"/>
        </w:numPr>
        <w:ind w:left="1080"/>
        <w:jc w:val="both"/>
        <w:rPr>
          <w:szCs w:val="22"/>
          <w:lang w:val="en-AU"/>
        </w:rPr>
      </w:pPr>
      <w:r w:rsidRPr="00BA34AB">
        <w:rPr>
          <w:szCs w:val="22"/>
          <w:lang w:val="en-AU"/>
        </w:rPr>
        <w:t xml:space="preserve">The Chair will hold office from the time of election to the time of office by the next Chair in the following SATRC Meeting. </w:t>
      </w:r>
    </w:p>
    <w:p w14:paraId="059B68A6" w14:textId="3A0E0FAB" w:rsidR="00BA34AB" w:rsidRPr="00BA34AB" w:rsidRDefault="00BA34AB" w:rsidP="00BA34AB">
      <w:pPr>
        <w:numPr>
          <w:ilvl w:val="0"/>
          <w:numId w:val="32"/>
        </w:numPr>
        <w:ind w:left="1080"/>
        <w:jc w:val="both"/>
        <w:rPr>
          <w:szCs w:val="22"/>
          <w:lang w:val="en-AU"/>
        </w:rPr>
      </w:pPr>
      <w:r w:rsidRPr="00BA34AB">
        <w:rPr>
          <w:szCs w:val="22"/>
          <w:lang w:val="en-AU"/>
        </w:rPr>
        <w:t xml:space="preserve">Vice-Chair will normally be nominated by the country that will host the next SATRC Meeting.  </w:t>
      </w:r>
    </w:p>
    <w:p w14:paraId="360A4933" w14:textId="52644BE3" w:rsidR="00BA34AB" w:rsidRPr="00BA34AB" w:rsidRDefault="00BA34AB" w:rsidP="00BA34AB">
      <w:pPr>
        <w:numPr>
          <w:ilvl w:val="0"/>
          <w:numId w:val="32"/>
        </w:numPr>
        <w:ind w:left="1080"/>
        <w:jc w:val="both"/>
        <w:rPr>
          <w:szCs w:val="22"/>
          <w:lang w:val="en-AU"/>
        </w:rPr>
      </w:pPr>
      <w:r w:rsidRPr="00BA34AB">
        <w:rPr>
          <w:szCs w:val="22"/>
          <w:lang w:val="en-AU"/>
        </w:rPr>
        <w:t>The Vice-Chair will hold office until the time of election to the time of office by the next Vice-Chair in the following SATRC Meeting.</w:t>
      </w:r>
    </w:p>
    <w:p w14:paraId="43A6F967" w14:textId="523938D1" w:rsidR="00BA34AB" w:rsidRPr="00BA34AB" w:rsidRDefault="00BA34AB" w:rsidP="00BA34AB">
      <w:pPr>
        <w:numPr>
          <w:ilvl w:val="0"/>
          <w:numId w:val="32"/>
        </w:numPr>
        <w:ind w:left="1080"/>
        <w:jc w:val="both"/>
        <w:rPr>
          <w:szCs w:val="22"/>
          <w:lang w:val="en-AU"/>
        </w:rPr>
      </w:pPr>
      <w:r w:rsidRPr="00BA34AB">
        <w:rPr>
          <w:szCs w:val="22"/>
          <w:lang w:val="en-AU"/>
        </w:rPr>
        <w:t xml:space="preserve">The Vice-Chair will assist the Chair in performing </w:t>
      </w:r>
      <w:r w:rsidR="009408F1">
        <w:rPr>
          <w:szCs w:val="22"/>
          <w:lang w:val="en-AU"/>
        </w:rPr>
        <w:t>their</w:t>
      </w:r>
      <w:r w:rsidRPr="00BA34AB">
        <w:rPr>
          <w:szCs w:val="22"/>
          <w:lang w:val="en-AU"/>
        </w:rPr>
        <w:t xml:space="preserve"> duties and will represent the Chair in </w:t>
      </w:r>
      <w:r w:rsidR="00CE7A65">
        <w:rPr>
          <w:szCs w:val="22"/>
          <w:lang w:val="en-AU"/>
        </w:rPr>
        <w:t>their</w:t>
      </w:r>
      <w:r w:rsidRPr="00BA34AB">
        <w:rPr>
          <w:szCs w:val="22"/>
          <w:lang w:val="en-AU"/>
        </w:rPr>
        <w:t xml:space="preserve"> absence in SATRC activities.  </w:t>
      </w:r>
    </w:p>
    <w:p w14:paraId="77BAB004" w14:textId="77777777" w:rsidR="00BA34AB" w:rsidRPr="00BA34AB" w:rsidRDefault="00BA34AB" w:rsidP="00BA34AB">
      <w:pPr>
        <w:widowControl w:val="0"/>
        <w:jc w:val="both"/>
        <w:rPr>
          <w:szCs w:val="22"/>
          <w:lang w:val="en-AU"/>
        </w:rPr>
      </w:pPr>
    </w:p>
    <w:p w14:paraId="4FFF9438" w14:textId="77777777" w:rsidR="00BA34AB" w:rsidRPr="00BA34AB" w:rsidRDefault="00BA34AB" w:rsidP="00BA34AB">
      <w:pPr>
        <w:widowControl w:val="0"/>
        <w:tabs>
          <w:tab w:val="left" w:pos="720"/>
        </w:tabs>
        <w:ind w:left="720" w:hanging="720"/>
        <w:jc w:val="both"/>
        <w:rPr>
          <w:b/>
          <w:bCs/>
          <w:szCs w:val="22"/>
          <w:lang w:val="en-AU"/>
        </w:rPr>
      </w:pPr>
      <w:r w:rsidRPr="00BA34AB">
        <w:rPr>
          <w:b/>
          <w:bCs/>
          <w:szCs w:val="22"/>
          <w:lang w:val="en-AU"/>
        </w:rPr>
        <w:t>4.2</w:t>
      </w:r>
      <w:r w:rsidRPr="00BA34AB">
        <w:rPr>
          <w:b/>
          <w:bCs/>
          <w:szCs w:val="22"/>
          <w:lang w:val="en-AU"/>
        </w:rPr>
        <w:tab/>
        <w:t>Office Bearers of Working Groups</w:t>
      </w:r>
    </w:p>
    <w:p w14:paraId="1AE61179" w14:textId="77777777" w:rsidR="00BA34AB" w:rsidRPr="00BA34AB" w:rsidRDefault="00BA34AB" w:rsidP="00BA34AB">
      <w:pPr>
        <w:widowControl w:val="0"/>
        <w:tabs>
          <w:tab w:val="left" w:pos="720"/>
        </w:tabs>
        <w:ind w:left="720" w:hanging="720"/>
        <w:jc w:val="both"/>
        <w:rPr>
          <w:szCs w:val="22"/>
          <w:lang w:val="en-AU"/>
        </w:rPr>
      </w:pPr>
    </w:p>
    <w:p w14:paraId="0738FC5E" w14:textId="56AF0E5B" w:rsidR="00BA34AB" w:rsidRPr="00BA34AB" w:rsidRDefault="00BA34AB" w:rsidP="00BA34AB">
      <w:pPr>
        <w:numPr>
          <w:ilvl w:val="0"/>
          <w:numId w:val="34"/>
        </w:numPr>
        <w:ind w:left="1080"/>
        <w:jc w:val="both"/>
        <w:rPr>
          <w:szCs w:val="22"/>
          <w:lang w:val="en-AU"/>
        </w:rPr>
      </w:pPr>
      <w:r w:rsidRPr="00BA34AB">
        <w:rPr>
          <w:szCs w:val="22"/>
          <w:lang w:val="en-AU"/>
        </w:rPr>
        <w:t>The Working Group of SATRC will be headed by a Chair of the Working Group, assisted by two Vice-Chair</w:t>
      </w:r>
      <w:r w:rsidR="009408F1">
        <w:rPr>
          <w:szCs w:val="22"/>
          <w:lang w:val="en-AU"/>
        </w:rPr>
        <w:t>s</w:t>
      </w:r>
      <w:r w:rsidRPr="00BA34AB">
        <w:rPr>
          <w:szCs w:val="22"/>
          <w:lang w:val="en-AU"/>
        </w:rPr>
        <w:t xml:space="preserve"> if necessary, and supported by Experts. The Chair and the Vice-Chair</w:t>
      </w:r>
      <w:r w:rsidR="009408F1">
        <w:rPr>
          <w:szCs w:val="22"/>
          <w:lang w:val="en-AU"/>
        </w:rPr>
        <w:t>s</w:t>
      </w:r>
      <w:r w:rsidRPr="00BA34AB">
        <w:rPr>
          <w:szCs w:val="22"/>
          <w:lang w:val="en-AU"/>
        </w:rPr>
        <w:t xml:space="preserve"> of Working Group will be nominated by Members of SATRC and selected at the SATRC Meeting. </w:t>
      </w:r>
    </w:p>
    <w:p w14:paraId="30365879" w14:textId="77777777" w:rsidR="00BA34AB" w:rsidRPr="00BA34AB" w:rsidRDefault="00BA34AB" w:rsidP="00BA34AB">
      <w:pPr>
        <w:numPr>
          <w:ilvl w:val="0"/>
          <w:numId w:val="34"/>
        </w:numPr>
        <w:ind w:left="1080"/>
        <w:jc w:val="both"/>
        <w:rPr>
          <w:szCs w:val="22"/>
          <w:lang w:val="en-AU"/>
        </w:rPr>
      </w:pPr>
      <w:r w:rsidRPr="00BA34AB">
        <w:rPr>
          <w:szCs w:val="22"/>
          <w:lang w:val="en-AU"/>
        </w:rPr>
        <w:t xml:space="preserve">Experts for the Working Groups will be nominated by the SATRC members by correspondence. </w:t>
      </w:r>
    </w:p>
    <w:p w14:paraId="2FECE7E2" w14:textId="77777777" w:rsidR="00BA34AB" w:rsidRPr="00BA34AB" w:rsidRDefault="00BA34AB" w:rsidP="00BA34AB">
      <w:pPr>
        <w:numPr>
          <w:ilvl w:val="0"/>
          <w:numId w:val="34"/>
        </w:numPr>
        <w:ind w:left="1080"/>
        <w:jc w:val="both"/>
        <w:rPr>
          <w:szCs w:val="22"/>
          <w:lang w:val="en-AU"/>
        </w:rPr>
      </w:pPr>
      <w:r w:rsidRPr="00BA34AB">
        <w:rPr>
          <w:szCs w:val="22"/>
          <w:lang w:val="en-AU"/>
        </w:rPr>
        <w:t>The Terms of Reference and tenure of office bearers of the Working Groups will be decided by the SATRC Meeting.</w:t>
      </w:r>
    </w:p>
    <w:p w14:paraId="2E889F58" w14:textId="77777777" w:rsidR="00BA34AB" w:rsidRPr="00BA34AB" w:rsidRDefault="00BA34AB" w:rsidP="00BA34AB">
      <w:pPr>
        <w:widowControl w:val="0"/>
        <w:jc w:val="both"/>
        <w:rPr>
          <w:szCs w:val="22"/>
          <w:lang w:val="en-AU"/>
        </w:rPr>
      </w:pPr>
    </w:p>
    <w:p w14:paraId="4A55CF6E" w14:textId="77777777" w:rsidR="00BA34AB" w:rsidRPr="00BA34AB" w:rsidRDefault="00BA34AB" w:rsidP="00BA34AB">
      <w:pPr>
        <w:keepNext/>
        <w:numPr>
          <w:ilvl w:val="0"/>
          <w:numId w:val="33"/>
        </w:numPr>
        <w:ind w:hanging="720"/>
        <w:jc w:val="both"/>
        <w:outlineLvl w:val="1"/>
        <w:rPr>
          <w:rFonts w:eastAsia="Malgun Gothic"/>
          <w:b/>
        </w:rPr>
      </w:pPr>
      <w:r w:rsidRPr="00BA34AB">
        <w:rPr>
          <w:rFonts w:eastAsia="Malgun Gothic"/>
          <w:b/>
        </w:rPr>
        <w:t>Meeting and Activities of the SATRC</w:t>
      </w:r>
    </w:p>
    <w:p w14:paraId="59038E58" w14:textId="77777777" w:rsidR="00BA34AB" w:rsidRPr="00BA34AB" w:rsidRDefault="00BA34AB" w:rsidP="00BA34AB">
      <w:pPr>
        <w:widowControl w:val="0"/>
        <w:rPr>
          <w:szCs w:val="22"/>
          <w:lang w:val="en-AU"/>
        </w:rPr>
      </w:pPr>
    </w:p>
    <w:p w14:paraId="7878A892" w14:textId="77777777" w:rsidR="00BA34AB" w:rsidRPr="00BA34AB" w:rsidRDefault="00BA34AB" w:rsidP="00BA34AB">
      <w:pPr>
        <w:widowControl w:val="0"/>
        <w:tabs>
          <w:tab w:val="left" w:pos="720"/>
        </w:tabs>
        <w:ind w:left="720" w:hanging="720"/>
        <w:jc w:val="both"/>
        <w:rPr>
          <w:b/>
          <w:bCs/>
          <w:szCs w:val="22"/>
          <w:lang w:val="en-AU"/>
        </w:rPr>
      </w:pPr>
      <w:r w:rsidRPr="00BA34AB">
        <w:rPr>
          <w:b/>
          <w:bCs/>
          <w:szCs w:val="22"/>
          <w:lang w:val="en-AU"/>
        </w:rPr>
        <w:t>5.1</w:t>
      </w:r>
      <w:r w:rsidRPr="00BA34AB">
        <w:rPr>
          <w:b/>
          <w:bCs/>
          <w:szCs w:val="22"/>
          <w:lang w:val="en-AU"/>
        </w:rPr>
        <w:tab/>
        <w:t>Meeting of SATRC</w:t>
      </w:r>
    </w:p>
    <w:p w14:paraId="47E7EABD" w14:textId="77777777" w:rsidR="00BA34AB" w:rsidRPr="00BA34AB" w:rsidRDefault="00BA34AB" w:rsidP="00BA34AB">
      <w:pPr>
        <w:widowControl w:val="0"/>
        <w:tabs>
          <w:tab w:val="left" w:pos="720"/>
        </w:tabs>
        <w:ind w:left="720" w:hanging="720"/>
        <w:jc w:val="both"/>
        <w:rPr>
          <w:cs/>
          <w:lang w:val="en-AU" w:bidi="th-TH"/>
        </w:rPr>
      </w:pPr>
    </w:p>
    <w:p w14:paraId="27253EAF" w14:textId="77777777" w:rsidR="00BA34AB" w:rsidRPr="00BA34AB" w:rsidRDefault="00BA34AB" w:rsidP="00BA34AB">
      <w:pPr>
        <w:numPr>
          <w:ilvl w:val="0"/>
          <w:numId w:val="25"/>
        </w:numPr>
        <w:ind w:left="1080"/>
        <w:jc w:val="both"/>
        <w:rPr>
          <w:szCs w:val="22"/>
          <w:lang w:val="en-AU"/>
        </w:rPr>
      </w:pPr>
      <w:r w:rsidRPr="00BA34AB">
        <w:rPr>
          <w:szCs w:val="22"/>
          <w:lang w:val="en-AU"/>
        </w:rPr>
        <w:t>The SATRC will meet once a year or at such interval decided by the SATRC Meeting. The SATRC will be organized as a physical meeting, virtual/online meeting, or hybrid meeting (combination of both physical and virtual/online).</w:t>
      </w:r>
    </w:p>
    <w:p w14:paraId="5AE29A3C" w14:textId="77777777" w:rsidR="00BA34AB" w:rsidRPr="00BA34AB" w:rsidRDefault="00BA34AB" w:rsidP="00BA34AB">
      <w:pPr>
        <w:numPr>
          <w:ilvl w:val="0"/>
          <w:numId w:val="25"/>
        </w:numPr>
        <w:ind w:left="1080"/>
        <w:jc w:val="both"/>
        <w:rPr>
          <w:szCs w:val="22"/>
          <w:lang w:val="en-AU"/>
        </w:rPr>
      </w:pPr>
      <w:r w:rsidRPr="00BA34AB">
        <w:rPr>
          <w:szCs w:val="22"/>
          <w:lang w:val="en-AU"/>
        </w:rPr>
        <w:t>Meeting will make all decisions for the SATRC including the establishment of Working Groups or any Ad-hoc Groups and decisions on the activities of the SATRC.</w:t>
      </w:r>
    </w:p>
    <w:p w14:paraId="4243E7C2" w14:textId="77777777" w:rsidR="00BA34AB" w:rsidRPr="00BA34AB" w:rsidRDefault="00BA34AB" w:rsidP="00BA34AB">
      <w:pPr>
        <w:widowControl w:val="0"/>
        <w:rPr>
          <w:szCs w:val="22"/>
          <w:lang w:val="en-AU"/>
        </w:rPr>
      </w:pPr>
    </w:p>
    <w:p w14:paraId="421ECFE6" w14:textId="77777777" w:rsidR="00BA34AB" w:rsidRPr="00BA34AB" w:rsidRDefault="00BA34AB" w:rsidP="00BA34AB">
      <w:pPr>
        <w:widowControl w:val="0"/>
        <w:tabs>
          <w:tab w:val="left" w:pos="720"/>
        </w:tabs>
        <w:ind w:left="720" w:hanging="720"/>
        <w:jc w:val="both"/>
        <w:rPr>
          <w:b/>
          <w:bCs/>
          <w:szCs w:val="22"/>
          <w:lang w:val="en-AU"/>
        </w:rPr>
      </w:pPr>
      <w:r w:rsidRPr="00BA34AB">
        <w:rPr>
          <w:b/>
          <w:bCs/>
          <w:szCs w:val="22"/>
          <w:lang w:val="en-AU"/>
        </w:rPr>
        <w:t>5.2</w:t>
      </w:r>
      <w:r w:rsidRPr="00BA34AB">
        <w:rPr>
          <w:b/>
          <w:bCs/>
          <w:szCs w:val="22"/>
          <w:lang w:val="en-AU"/>
        </w:rPr>
        <w:tab/>
        <w:t>SATRC Action Plan</w:t>
      </w:r>
    </w:p>
    <w:p w14:paraId="331A7CE7" w14:textId="77777777" w:rsidR="00BA34AB" w:rsidRPr="00BA34AB" w:rsidRDefault="00BA34AB" w:rsidP="00BA34AB">
      <w:pPr>
        <w:widowControl w:val="0"/>
        <w:tabs>
          <w:tab w:val="left" w:pos="720"/>
        </w:tabs>
        <w:ind w:left="720" w:hanging="720"/>
        <w:jc w:val="both"/>
        <w:rPr>
          <w:lang w:val="en-AU"/>
        </w:rPr>
      </w:pPr>
    </w:p>
    <w:p w14:paraId="1A36754C" w14:textId="77777777" w:rsidR="00BA34AB" w:rsidRPr="00BA34AB" w:rsidRDefault="00BA34AB" w:rsidP="00BA34AB">
      <w:pPr>
        <w:numPr>
          <w:ilvl w:val="0"/>
          <w:numId w:val="26"/>
        </w:numPr>
        <w:ind w:left="1080"/>
        <w:jc w:val="both"/>
        <w:rPr>
          <w:szCs w:val="22"/>
          <w:lang w:val="en-AU"/>
        </w:rPr>
      </w:pPr>
      <w:r w:rsidRPr="00BA34AB">
        <w:rPr>
          <w:szCs w:val="22"/>
          <w:lang w:val="en-AU"/>
        </w:rPr>
        <w:t>Activities of the SATRC will be carried out through SATRC Action Plan formulated biennially.</w:t>
      </w:r>
    </w:p>
    <w:p w14:paraId="363EB41C" w14:textId="77777777" w:rsidR="00BA34AB" w:rsidRPr="00BA34AB" w:rsidRDefault="00BA34AB" w:rsidP="00BA34AB">
      <w:pPr>
        <w:numPr>
          <w:ilvl w:val="0"/>
          <w:numId w:val="26"/>
        </w:numPr>
        <w:ind w:left="1080"/>
        <w:jc w:val="both"/>
        <w:rPr>
          <w:szCs w:val="22"/>
          <w:lang w:val="en-AU"/>
        </w:rPr>
      </w:pPr>
      <w:r w:rsidRPr="00BA34AB">
        <w:rPr>
          <w:szCs w:val="22"/>
          <w:lang w:val="en-AU"/>
        </w:rPr>
        <w:t>The scope of work, duration, formation of working groups, list of work items (issues under study), detail of activities, estimated budget and funding mechanism should be included in SATRC Action Plan.</w:t>
      </w:r>
    </w:p>
    <w:p w14:paraId="1E90654C" w14:textId="77777777" w:rsidR="00BA34AB" w:rsidRPr="00BA34AB" w:rsidRDefault="00BA34AB" w:rsidP="00BA34AB">
      <w:pPr>
        <w:numPr>
          <w:ilvl w:val="0"/>
          <w:numId w:val="26"/>
        </w:numPr>
        <w:ind w:left="1080"/>
        <w:jc w:val="both"/>
        <w:rPr>
          <w:szCs w:val="22"/>
          <w:lang w:val="en-AU"/>
        </w:rPr>
      </w:pPr>
      <w:r w:rsidRPr="00BA34AB">
        <w:rPr>
          <w:szCs w:val="22"/>
          <w:lang w:val="en-AU"/>
        </w:rPr>
        <w:t>SATRC Action Plan should be approved by the SATRC meeting before implementation.</w:t>
      </w:r>
    </w:p>
    <w:p w14:paraId="6559F6A9" w14:textId="6CB5F628" w:rsidR="00BA34AB" w:rsidRDefault="00BA34AB" w:rsidP="00C30F0F">
      <w:pPr>
        <w:numPr>
          <w:ilvl w:val="0"/>
          <w:numId w:val="26"/>
        </w:numPr>
        <w:ind w:left="1080"/>
        <w:jc w:val="both"/>
        <w:rPr>
          <w:szCs w:val="22"/>
          <w:lang w:val="en-AU"/>
        </w:rPr>
      </w:pPr>
      <w:r w:rsidRPr="00BA34AB">
        <w:rPr>
          <w:szCs w:val="22"/>
          <w:lang w:val="en-AU"/>
        </w:rPr>
        <w:t xml:space="preserve">APT Secretariat will provide necessary secretarial support required by the SATRC in the implementation of the SATRC Action Plan. </w:t>
      </w:r>
    </w:p>
    <w:p w14:paraId="1BB13B2B" w14:textId="77777777" w:rsidR="00C30F0F" w:rsidRPr="00C30F0F" w:rsidRDefault="00C30F0F" w:rsidP="00C30F0F">
      <w:pPr>
        <w:ind w:left="1080"/>
        <w:jc w:val="both"/>
        <w:rPr>
          <w:szCs w:val="22"/>
          <w:lang w:val="en-AU"/>
        </w:rPr>
      </w:pPr>
    </w:p>
    <w:p w14:paraId="4758A875" w14:textId="77777777" w:rsidR="00BA34AB" w:rsidRPr="00BA34AB" w:rsidRDefault="00BA34AB" w:rsidP="00BA34AB">
      <w:pPr>
        <w:keepNext/>
        <w:numPr>
          <w:ilvl w:val="0"/>
          <w:numId w:val="33"/>
        </w:numPr>
        <w:ind w:hanging="720"/>
        <w:jc w:val="both"/>
        <w:outlineLvl w:val="1"/>
        <w:rPr>
          <w:rFonts w:eastAsia="Malgun Gothic"/>
          <w:b/>
        </w:rPr>
      </w:pPr>
      <w:r w:rsidRPr="00BA34AB">
        <w:rPr>
          <w:rFonts w:eastAsia="Malgun Gothic"/>
          <w:b/>
        </w:rPr>
        <w:t>P</w:t>
      </w:r>
      <w:r w:rsidRPr="00BA34AB">
        <w:rPr>
          <w:rFonts w:eastAsia="Malgun Gothic" w:cs="Angsana New"/>
          <w:b/>
          <w:szCs w:val="30"/>
          <w:lang w:bidi="th-TH"/>
        </w:rPr>
        <w:t>articipation at the SATRC Activities</w:t>
      </w:r>
    </w:p>
    <w:p w14:paraId="2F435C08" w14:textId="77777777" w:rsidR="00BA34AB" w:rsidRPr="00BA34AB" w:rsidRDefault="00BA34AB" w:rsidP="00BA34AB">
      <w:pPr>
        <w:widowControl w:val="0"/>
        <w:rPr>
          <w:szCs w:val="22"/>
          <w:lang w:val="en-AU"/>
        </w:rPr>
      </w:pPr>
    </w:p>
    <w:p w14:paraId="462E7C57" w14:textId="77777777" w:rsidR="00BA34AB" w:rsidRPr="00BA34AB" w:rsidRDefault="00BA34AB" w:rsidP="00BA34AB">
      <w:pPr>
        <w:widowControl w:val="0"/>
        <w:numPr>
          <w:ilvl w:val="0"/>
          <w:numId w:val="35"/>
        </w:numPr>
        <w:tabs>
          <w:tab w:val="left" w:pos="720"/>
        </w:tabs>
        <w:ind w:hanging="720"/>
        <w:contextualSpacing/>
        <w:jc w:val="both"/>
        <w:rPr>
          <w:b/>
          <w:bCs/>
          <w:szCs w:val="22"/>
          <w:lang w:val="en-AU"/>
        </w:rPr>
      </w:pPr>
      <w:r w:rsidRPr="00BA34AB">
        <w:rPr>
          <w:b/>
          <w:bCs/>
          <w:szCs w:val="22"/>
          <w:lang w:val="en-AU"/>
        </w:rPr>
        <w:t>Participation at the SATRC Meetings</w:t>
      </w:r>
    </w:p>
    <w:p w14:paraId="006502DB" w14:textId="77777777" w:rsidR="00BA34AB" w:rsidRPr="00BA34AB" w:rsidRDefault="00BA34AB" w:rsidP="00BA34AB">
      <w:pPr>
        <w:widowControl w:val="0"/>
        <w:tabs>
          <w:tab w:val="left" w:pos="720"/>
        </w:tabs>
        <w:jc w:val="both"/>
        <w:rPr>
          <w:szCs w:val="22"/>
          <w:lang w:val="en-AU"/>
        </w:rPr>
      </w:pPr>
    </w:p>
    <w:p w14:paraId="3E2B3897" w14:textId="77777777" w:rsidR="00BA34AB" w:rsidRPr="00BA34AB" w:rsidRDefault="00BA34AB" w:rsidP="00BA34AB">
      <w:pPr>
        <w:numPr>
          <w:ilvl w:val="0"/>
          <w:numId w:val="27"/>
        </w:numPr>
        <w:ind w:left="1080"/>
        <w:jc w:val="both"/>
        <w:rPr>
          <w:szCs w:val="22"/>
          <w:lang w:val="en-AU"/>
        </w:rPr>
      </w:pPr>
      <w:r w:rsidRPr="00BA34AB">
        <w:rPr>
          <w:szCs w:val="22"/>
          <w:lang w:val="en-AU"/>
        </w:rPr>
        <w:t>All SATRC Members and Affiliate Members in the SATRC member countries may participate at the meetings of SATRC.</w:t>
      </w:r>
    </w:p>
    <w:p w14:paraId="1B26D911" w14:textId="77777777" w:rsidR="00BA34AB" w:rsidRPr="00BA34AB" w:rsidRDefault="00BA34AB" w:rsidP="00BA34AB">
      <w:pPr>
        <w:numPr>
          <w:ilvl w:val="0"/>
          <w:numId w:val="27"/>
        </w:numPr>
        <w:ind w:left="1080"/>
        <w:jc w:val="both"/>
        <w:rPr>
          <w:szCs w:val="22"/>
          <w:lang w:val="en-AU"/>
        </w:rPr>
      </w:pPr>
      <w:r w:rsidRPr="00BA34AB">
        <w:rPr>
          <w:szCs w:val="22"/>
          <w:lang w:val="en-AU"/>
        </w:rPr>
        <w:lastRenderedPageBreak/>
        <w:t>It is encouraged that the SATRC Meeting is attended by the head of regulators or designated high level officers.</w:t>
      </w:r>
    </w:p>
    <w:p w14:paraId="3C622BBB" w14:textId="77777777" w:rsidR="00BA34AB" w:rsidRPr="00BA34AB" w:rsidRDefault="00BA34AB" w:rsidP="00BA34AB">
      <w:pPr>
        <w:numPr>
          <w:ilvl w:val="0"/>
          <w:numId w:val="27"/>
        </w:numPr>
        <w:ind w:left="1080"/>
        <w:jc w:val="both"/>
        <w:rPr>
          <w:szCs w:val="22"/>
          <w:lang w:val="en-AU"/>
        </w:rPr>
      </w:pPr>
      <w:r w:rsidRPr="00BA34AB">
        <w:rPr>
          <w:szCs w:val="22"/>
          <w:lang w:val="en-AU"/>
        </w:rPr>
        <w:t>Other APT members who are not from the SATRC member countries can attend SATRC meetings as Observers.</w:t>
      </w:r>
    </w:p>
    <w:p w14:paraId="1D347483" w14:textId="77777777" w:rsidR="00BA34AB" w:rsidRPr="00BA34AB" w:rsidRDefault="00BA34AB" w:rsidP="00BA34AB">
      <w:pPr>
        <w:numPr>
          <w:ilvl w:val="0"/>
          <w:numId w:val="27"/>
        </w:numPr>
        <w:ind w:left="1080"/>
        <w:jc w:val="both"/>
        <w:rPr>
          <w:szCs w:val="22"/>
          <w:lang w:val="en-AU"/>
        </w:rPr>
      </w:pPr>
      <w:r w:rsidRPr="00BA34AB">
        <w:rPr>
          <w:szCs w:val="22"/>
          <w:lang w:val="en-AU"/>
        </w:rPr>
        <w:t>Organizations which have MoU with the APT or other relevant international or regional organizations may send representatives to attend the meetings of SATRC on the same basis as they attend other APT meetings.</w:t>
      </w:r>
    </w:p>
    <w:p w14:paraId="00667553" w14:textId="14C68A0F" w:rsidR="00BA34AB" w:rsidRPr="00BA34AB" w:rsidRDefault="00BA34AB" w:rsidP="00BA34AB">
      <w:pPr>
        <w:numPr>
          <w:ilvl w:val="0"/>
          <w:numId w:val="27"/>
        </w:numPr>
        <w:ind w:left="1080"/>
        <w:jc w:val="both"/>
        <w:rPr>
          <w:szCs w:val="22"/>
          <w:lang w:val="en-AU"/>
        </w:rPr>
      </w:pPr>
      <w:r w:rsidRPr="00BA34AB">
        <w:rPr>
          <w:szCs w:val="22"/>
          <w:lang w:val="en-AU"/>
        </w:rPr>
        <w:t xml:space="preserve">Non APT members may be invited to participate in the SATRC Meetings as a guest at the discretion of the Chair of SATRC and the Secretary General. </w:t>
      </w:r>
    </w:p>
    <w:p w14:paraId="75AF9950" w14:textId="77777777" w:rsidR="00BA34AB" w:rsidRPr="00BA34AB" w:rsidRDefault="00BA34AB" w:rsidP="00BA34AB">
      <w:pPr>
        <w:numPr>
          <w:ilvl w:val="0"/>
          <w:numId w:val="27"/>
        </w:numPr>
        <w:ind w:left="1080"/>
        <w:jc w:val="both"/>
        <w:rPr>
          <w:szCs w:val="22"/>
          <w:lang w:val="en-AU"/>
        </w:rPr>
      </w:pPr>
      <w:r w:rsidRPr="00BA34AB">
        <w:rPr>
          <w:szCs w:val="22"/>
          <w:lang w:val="en-AU"/>
        </w:rPr>
        <w:t>Other non-APT members may participate as observers with the payment of the participation fee.</w:t>
      </w:r>
    </w:p>
    <w:p w14:paraId="6C9979B0" w14:textId="77777777" w:rsidR="00BA34AB" w:rsidRPr="00BA34AB" w:rsidRDefault="00BA34AB" w:rsidP="00BA34AB">
      <w:pPr>
        <w:widowControl w:val="0"/>
        <w:jc w:val="both"/>
        <w:rPr>
          <w:szCs w:val="22"/>
          <w:lang w:val="en-AU"/>
        </w:rPr>
      </w:pPr>
    </w:p>
    <w:p w14:paraId="56DE4541" w14:textId="77777777" w:rsidR="00BA34AB" w:rsidRPr="00BA34AB" w:rsidRDefault="00BA34AB" w:rsidP="00BA34AB">
      <w:pPr>
        <w:widowControl w:val="0"/>
        <w:numPr>
          <w:ilvl w:val="0"/>
          <w:numId w:val="35"/>
        </w:numPr>
        <w:tabs>
          <w:tab w:val="left" w:pos="720"/>
        </w:tabs>
        <w:ind w:hanging="720"/>
        <w:contextualSpacing/>
        <w:jc w:val="both"/>
        <w:rPr>
          <w:b/>
          <w:bCs/>
          <w:szCs w:val="22"/>
          <w:lang w:val="en-AU"/>
        </w:rPr>
      </w:pPr>
      <w:r w:rsidRPr="00BA34AB">
        <w:rPr>
          <w:b/>
          <w:bCs/>
          <w:szCs w:val="22"/>
          <w:lang w:val="en-AU"/>
        </w:rPr>
        <w:t>Participant at the SATRC Activities</w:t>
      </w:r>
    </w:p>
    <w:p w14:paraId="2813B33E" w14:textId="77777777" w:rsidR="00BA34AB" w:rsidRPr="00BA34AB" w:rsidRDefault="00BA34AB" w:rsidP="00BA34AB">
      <w:pPr>
        <w:widowControl w:val="0"/>
        <w:tabs>
          <w:tab w:val="left" w:pos="720"/>
        </w:tabs>
        <w:jc w:val="both"/>
        <w:rPr>
          <w:szCs w:val="22"/>
          <w:lang w:val="en-AU"/>
        </w:rPr>
      </w:pPr>
    </w:p>
    <w:p w14:paraId="16D02931" w14:textId="77777777" w:rsidR="00BA34AB" w:rsidRPr="00BA34AB" w:rsidRDefault="00BA34AB" w:rsidP="00BA34AB">
      <w:pPr>
        <w:numPr>
          <w:ilvl w:val="0"/>
          <w:numId w:val="28"/>
        </w:numPr>
        <w:ind w:left="1080"/>
        <w:jc w:val="both"/>
        <w:rPr>
          <w:szCs w:val="22"/>
          <w:lang w:val="en-AU"/>
        </w:rPr>
      </w:pPr>
      <w:r w:rsidRPr="00BA34AB">
        <w:rPr>
          <w:szCs w:val="22"/>
          <w:lang w:val="en-AU"/>
        </w:rPr>
        <w:t xml:space="preserve">Participation in the SATRC activities will be voluntary and is open to any representative of SATRC Members. </w:t>
      </w:r>
    </w:p>
    <w:p w14:paraId="4AC90435" w14:textId="77777777" w:rsidR="00BA34AB" w:rsidRPr="00BA34AB" w:rsidRDefault="00BA34AB" w:rsidP="00BA34AB">
      <w:pPr>
        <w:numPr>
          <w:ilvl w:val="0"/>
          <w:numId w:val="28"/>
        </w:numPr>
        <w:ind w:left="1080"/>
        <w:jc w:val="both"/>
        <w:rPr>
          <w:szCs w:val="22"/>
          <w:lang w:val="en-AU"/>
        </w:rPr>
      </w:pPr>
      <w:r w:rsidRPr="00BA34AB">
        <w:rPr>
          <w:szCs w:val="22"/>
          <w:lang w:val="en-AU"/>
        </w:rPr>
        <w:t xml:space="preserve">Affiliate Members from SATRC countries will also be eligible to participate actively in any SATRC activities. </w:t>
      </w:r>
    </w:p>
    <w:p w14:paraId="1CB34311" w14:textId="77777777" w:rsidR="00BA34AB" w:rsidRPr="00BA34AB" w:rsidRDefault="00BA34AB" w:rsidP="00BA34AB">
      <w:pPr>
        <w:widowControl w:val="0"/>
        <w:rPr>
          <w:szCs w:val="22"/>
          <w:lang w:val="en-AU"/>
        </w:rPr>
      </w:pPr>
    </w:p>
    <w:p w14:paraId="2420A68A" w14:textId="77777777" w:rsidR="00BA34AB" w:rsidRPr="00BA34AB" w:rsidRDefault="00BA34AB" w:rsidP="00BA34AB">
      <w:pPr>
        <w:keepNext/>
        <w:numPr>
          <w:ilvl w:val="0"/>
          <w:numId w:val="33"/>
        </w:numPr>
        <w:ind w:hanging="720"/>
        <w:jc w:val="both"/>
        <w:outlineLvl w:val="1"/>
        <w:rPr>
          <w:rFonts w:eastAsia="Malgun Gothic" w:cs="Angsana New"/>
          <w:b/>
          <w:szCs w:val="30"/>
          <w:lang w:bidi="th-TH"/>
        </w:rPr>
      </w:pPr>
      <w:r w:rsidRPr="00BA34AB">
        <w:rPr>
          <w:rFonts w:eastAsia="Malgun Gothic"/>
          <w:b/>
        </w:rPr>
        <w:t>C</w:t>
      </w:r>
      <w:r w:rsidRPr="00BA34AB">
        <w:rPr>
          <w:rFonts w:eastAsia="Malgun Gothic" w:cs="Angsana New"/>
          <w:b/>
          <w:szCs w:val="30"/>
          <w:lang w:bidi="th-TH"/>
        </w:rPr>
        <w:t>ontributions at the SATRC Meetings and Activities</w:t>
      </w:r>
    </w:p>
    <w:p w14:paraId="13A1BAED" w14:textId="77777777" w:rsidR="00BA34AB" w:rsidRPr="00BA34AB" w:rsidRDefault="00BA34AB" w:rsidP="00BA34AB">
      <w:pPr>
        <w:widowControl w:val="0"/>
        <w:rPr>
          <w:rFonts w:eastAsia="Calibri" w:cs="Cordia New"/>
          <w:szCs w:val="22"/>
          <w:lang w:bidi="th-TH"/>
        </w:rPr>
      </w:pPr>
    </w:p>
    <w:p w14:paraId="3E8CD1D1" w14:textId="77777777" w:rsidR="00BA34AB" w:rsidRPr="00BA34AB" w:rsidRDefault="00BA34AB" w:rsidP="00BA34AB">
      <w:pPr>
        <w:numPr>
          <w:ilvl w:val="0"/>
          <w:numId w:val="29"/>
        </w:numPr>
        <w:ind w:left="1080"/>
        <w:jc w:val="both"/>
        <w:rPr>
          <w:szCs w:val="22"/>
          <w:lang w:val="en-AU"/>
        </w:rPr>
      </w:pPr>
      <w:r w:rsidRPr="00BA34AB">
        <w:rPr>
          <w:szCs w:val="22"/>
          <w:lang w:val="en-AU"/>
        </w:rPr>
        <w:t>All APT members from SATRC countries can submit contributions and proposals related to the SATRC meetings and activities.</w:t>
      </w:r>
    </w:p>
    <w:p w14:paraId="3B5A0FD9" w14:textId="77777777" w:rsidR="00BA34AB" w:rsidRPr="00BA34AB" w:rsidRDefault="00BA34AB" w:rsidP="00BA34AB">
      <w:pPr>
        <w:numPr>
          <w:ilvl w:val="0"/>
          <w:numId w:val="29"/>
        </w:numPr>
        <w:ind w:left="1080"/>
        <w:jc w:val="both"/>
        <w:rPr>
          <w:szCs w:val="22"/>
          <w:lang w:val="en-AU"/>
        </w:rPr>
      </w:pPr>
      <w:r w:rsidRPr="00BA34AB">
        <w:rPr>
          <w:szCs w:val="22"/>
          <w:lang w:val="en-AU"/>
        </w:rPr>
        <w:t xml:space="preserve">Organizations which have MoU with the APT </w:t>
      </w:r>
      <w:r w:rsidRPr="00BA34AB">
        <w:rPr>
          <w:rFonts w:eastAsia="Calibri"/>
          <w:szCs w:val="22"/>
          <w:lang w:val="en-AU" w:eastAsia="ja-JP"/>
        </w:rPr>
        <w:t>and other relevant international or regional organizations</w:t>
      </w:r>
      <w:r w:rsidRPr="00BA34AB">
        <w:rPr>
          <w:szCs w:val="22"/>
          <w:lang w:val="en-AU"/>
        </w:rPr>
        <w:t xml:space="preserve"> may submit contributions as Information Document on the same basis as they attend other APT meetings.</w:t>
      </w:r>
    </w:p>
    <w:p w14:paraId="091ED845" w14:textId="0356E25E" w:rsidR="00BA34AB" w:rsidRPr="00BA34AB" w:rsidRDefault="00BA34AB" w:rsidP="00BA34AB">
      <w:pPr>
        <w:numPr>
          <w:ilvl w:val="0"/>
          <w:numId w:val="29"/>
        </w:numPr>
        <w:ind w:left="1080"/>
        <w:jc w:val="both"/>
        <w:rPr>
          <w:szCs w:val="22"/>
          <w:lang w:val="en-AU"/>
        </w:rPr>
      </w:pPr>
      <w:r w:rsidRPr="00BA34AB">
        <w:rPr>
          <w:szCs w:val="22"/>
          <w:lang w:val="en-AU"/>
        </w:rPr>
        <w:t>Non-members of SATRC cannot submit contributions to the SATRC meetings and activities. However, considering the importance of the subject matters, the SATRC Chair or Vice</w:t>
      </w:r>
      <w:r w:rsidR="009408F1">
        <w:rPr>
          <w:szCs w:val="22"/>
          <w:lang w:val="en-AU"/>
        </w:rPr>
        <w:t>-</w:t>
      </w:r>
      <w:r w:rsidRPr="00BA34AB">
        <w:rPr>
          <w:szCs w:val="22"/>
          <w:lang w:val="en-AU"/>
        </w:rPr>
        <w:t xml:space="preserve">Chair may allow non-members to submit and present contributions. </w:t>
      </w:r>
    </w:p>
    <w:p w14:paraId="7F5B79C6" w14:textId="77777777" w:rsidR="00BA34AB" w:rsidRPr="00BA34AB" w:rsidRDefault="00BA34AB" w:rsidP="00BA34AB">
      <w:pPr>
        <w:widowControl w:val="0"/>
        <w:rPr>
          <w:szCs w:val="22"/>
          <w:lang w:val="en-AU"/>
        </w:rPr>
      </w:pPr>
    </w:p>
    <w:p w14:paraId="735B8F4C" w14:textId="77777777" w:rsidR="00BA34AB" w:rsidRPr="00BA34AB" w:rsidRDefault="00BA34AB" w:rsidP="00BA34AB">
      <w:pPr>
        <w:keepNext/>
        <w:numPr>
          <w:ilvl w:val="0"/>
          <w:numId w:val="33"/>
        </w:numPr>
        <w:ind w:hanging="720"/>
        <w:jc w:val="both"/>
        <w:outlineLvl w:val="1"/>
        <w:rPr>
          <w:rFonts w:eastAsia="Malgun Gothic"/>
          <w:b/>
        </w:rPr>
      </w:pPr>
      <w:r w:rsidRPr="00BA34AB">
        <w:rPr>
          <w:rFonts w:eastAsia="Malgun Gothic"/>
          <w:b/>
        </w:rPr>
        <w:t>Output Documents and Approval Procedures</w:t>
      </w:r>
    </w:p>
    <w:p w14:paraId="1A9545E1" w14:textId="77777777" w:rsidR="00BA34AB" w:rsidRPr="00BA34AB" w:rsidRDefault="00BA34AB" w:rsidP="00BA34AB">
      <w:pPr>
        <w:widowControl w:val="0"/>
        <w:rPr>
          <w:szCs w:val="22"/>
          <w:lang w:val="en-AU"/>
        </w:rPr>
      </w:pPr>
    </w:p>
    <w:p w14:paraId="6BA69889" w14:textId="77777777" w:rsidR="00BA34AB" w:rsidRPr="00BA34AB" w:rsidRDefault="00BA34AB" w:rsidP="00BA34AB">
      <w:pPr>
        <w:widowControl w:val="0"/>
        <w:tabs>
          <w:tab w:val="left" w:pos="567"/>
        </w:tabs>
        <w:jc w:val="both"/>
        <w:rPr>
          <w:bCs/>
          <w:i/>
          <w:iCs/>
          <w:szCs w:val="22"/>
          <w:lang w:val="en-AU"/>
        </w:rPr>
      </w:pPr>
      <w:r w:rsidRPr="00BA34AB">
        <w:rPr>
          <w:szCs w:val="22"/>
          <w:lang w:val="en-AU"/>
        </w:rPr>
        <w:t>The types of the SATRC output documents and the approval procedures are given in document “</w:t>
      </w:r>
      <w:r w:rsidRPr="00BA34AB">
        <w:rPr>
          <w:i/>
          <w:iCs/>
          <w:szCs w:val="22"/>
          <w:lang w:val="en-AU"/>
        </w:rPr>
        <w:t>Document</w:t>
      </w:r>
      <w:r w:rsidRPr="00BA34AB">
        <w:rPr>
          <w:szCs w:val="22"/>
          <w:lang w:val="en-AU"/>
        </w:rPr>
        <w:t xml:space="preserve"> </w:t>
      </w:r>
      <w:r w:rsidRPr="00BA34AB">
        <w:rPr>
          <w:bCs/>
          <w:i/>
          <w:iCs/>
          <w:szCs w:val="22"/>
          <w:lang w:val="en-AU"/>
        </w:rPr>
        <w:t xml:space="preserve">Approval Procedures of SATRC” </w:t>
      </w:r>
      <w:r w:rsidRPr="00BA34AB">
        <w:rPr>
          <w:bCs/>
          <w:szCs w:val="22"/>
          <w:lang w:val="en-AU"/>
        </w:rPr>
        <w:t>as attached in Annex 1.</w:t>
      </w:r>
    </w:p>
    <w:p w14:paraId="7136AAC4" w14:textId="77777777" w:rsidR="00BA34AB" w:rsidRPr="00BA34AB" w:rsidRDefault="00BA34AB" w:rsidP="00BA34AB">
      <w:pPr>
        <w:widowControl w:val="0"/>
        <w:rPr>
          <w:b/>
          <w:bCs/>
          <w:szCs w:val="22"/>
          <w:lang w:val="en-AU"/>
        </w:rPr>
      </w:pPr>
    </w:p>
    <w:p w14:paraId="594209BA" w14:textId="77777777" w:rsidR="00BA34AB" w:rsidRPr="00BA34AB" w:rsidRDefault="00BA34AB" w:rsidP="00BA34AB">
      <w:pPr>
        <w:keepNext/>
        <w:numPr>
          <w:ilvl w:val="0"/>
          <w:numId w:val="33"/>
        </w:numPr>
        <w:ind w:hanging="720"/>
        <w:jc w:val="both"/>
        <w:outlineLvl w:val="1"/>
        <w:rPr>
          <w:rFonts w:eastAsia="Malgun Gothic"/>
          <w:b/>
        </w:rPr>
      </w:pPr>
      <w:r w:rsidRPr="00BA34AB">
        <w:rPr>
          <w:rFonts w:eastAsia="Malgun Gothic"/>
          <w:b/>
        </w:rPr>
        <w:t>Internal and External Relationship</w:t>
      </w:r>
    </w:p>
    <w:p w14:paraId="557C0D65" w14:textId="77777777" w:rsidR="00BA34AB" w:rsidRPr="00BA34AB" w:rsidRDefault="00BA34AB" w:rsidP="00BA34AB">
      <w:pPr>
        <w:widowControl w:val="0"/>
        <w:rPr>
          <w:szCs w:val="22"/>
          <w:lang w:val="en-AU"/>
        </w:rPr>
      </w:pPr>
    </w:p>
    <w:p w14:paraId="1084E435" w14:textId="58C4FA79" w:rsidR="00BA34AB" w:rsidRDefault="00BA34AB" w:rsidP="00C30F0F">
      <w:pPr>
        <w:widowControl w:val="0"/>
        <w:jc w:val="both"/>
        <w:rPr>
          <w:b/>
          <w:bCs/>
          <w:szCs w:val="22"/>
          <w:lang w:val="en-AU"/>
        </w:rPr>
      </w:pPr>
      <w:r w:rsidRPr="00BA34AB">
        <w:rPr>
          <w:rFonts w:eastAsia="휴먼명조"/>
          <w:color w:val="000000"/>
          <w:szCs w:val="32"/>
          <w:lang w:val="en-AU"/>
        </w:rPr>
        <w:t xml:space="preserve">To significantly perform the objectives of SATRC, coordination activities with APT internal forums as well as with external forums would be required. The SATRC may establish cooperative relationship with other associations of regulators and other relevant international/regional organizations and invite them to participate in the meetings.  </w:t>
      </w:r>
    </w:p>
    <w:p w14:paraId="17C9D2D2" w14:textId="77777777" w:rsidR="00C30F0F" w:rsidRPr="00C30F0F" w:rsidRDefault="00C30F0F" w:rsidP="00C30F0F">
      <w:pPr>
        <w:widowControl w:val="0"/>
        <w:jc w:val="both"/>
        <w:rPr>
          <w:b/>
          <w:bCs/>
          <w:szCs w:val="22"/>
          <w:lang w:val="en-AU"/>
        </w:rPr>
      </w:pPr>
    </w:p>
    <w:p w14:paraId="55338338" w14:textId="77777777" w:rsidR="00BA34AB" w:rsidRPr="00BA34AB" w:rsidRDefault="00BA34AB" w:rsidP="00BA34AB">
      <w:pPr>
        <w:keepNext/>
        <w:numPr>
          <w:ilvl w:val="0"/>
          <w:numId w:val="33"/>
        </w:numPr>
        <w:ind w:hanging="720"/>
        <w:jc w:val="both"/>
        <w:outlineLvl w:val="1"/>
        <w:rPr>
          <w:rFonts w:eastAsia="Malgun Gothic" w:cs="Cordia New"/>
          <w:b/>
          <w:szCs w:val="30"/>
          <w:lang w:bidi="th-TH"/>
        </w:rPr>
      </w:pPr>
      <w:r w:rsidRPr="00BA34AB">
        <w:rPr>
          <w:rFonts w:eastAsia="Malgun Gothic"/>
          <w:b/>
        </w:rPr>
        <w:t>Role of the APT Secretariat</w:t>
      </w:r>
    </w:p>
    <w:p w14:paraId="343DDD80" w14:textId="77777777" w:rsidR="00BA34AB" w:rsidRPr="00BA34AB" w:rsidRDefault="00BA34AB" w:rsidP="00BA34AB">
      <w:pPr>
        <w:widowControl w:val="0"/>
        <w:rPr>
          <w:rFonts w:eastAsia="Calibri" w:cs="Cordia New"/>
          <w:szCs w:val="22"/>
          <w:lang w:bidi="th-TH"/>
        </w:rPr>
      </w:pPr>
    </w:p>
    <w:p w14:paraId="44674F64" w14:textId="77777777" w:rsidR="00BA34AB" w:rsidRPr="00BA34AB" w:rsidRDefault="00BA34AB" w:rsidP="00BA34AB">
      <w:pPr>
        <w:numPr>
          <w:ilvl w:val="0"/>
          <w:numId w:val="30"/>
        </w:numPr>
        <w:ind w:left="1080"/>
        <w:jc w:val="both"/>
        <w:rPr>
          <w:szCs w:val="22"/>
          <w:lang w:val="en-AU"/>
        </w:rPr>
      </w:pPr>
      <w:r w:rsidRPr="00BA34AB">
        <w:rPr>
          <w:szCs w:val="22"/>
          <w:lang w:val="en-AU"/>
        </w:rPr>
        <w:t>Organize the SATRC Meetings and activities</w:t>
      </w:r>
    </w:p>
    <w:p w14:paraId="4A5D8BA4" w14:textId="4C4404F9" w:rsidR="00BA34AB" w:rsidRPr="00BA34AB" w:rsidRDefault="00BA34AB" w:rsidP="00BA34AB">
      <w:pPr>
        <w:numPr>
          <w:ilvl w:val="0"/>
          <w:numId w:val="30"/>
        </w:numPr>
        <w:ind w:left="1080"/>
        <w:jc w:val="both"/>
        <w:rPr>
          <w:szCs w:val="22"/>
          <w:lang w:val="en-AU"/>
        </w:rPr>
      </w:pPr>
      <w:r w:rsidRPr="00BA34AB">
        <w:rPr>
          <w:szCs w:val="22"/>
          <w:lang w:val="en-AU"/>
        </w:rPr>
        <w:t xml:space="preserve">Coordinate with the Chair, </w:t>
      </w:r>
      <w:r w:rsidR="009408F1">
        <w:rPr>
          <w:szCs w:val="22"/>
          <w:lang w:val="en-AU"/>
        </w:rPr>
        <w:t>V</w:t>
      </w:r>
      <w:r w:rsidRPr="00BA34AB">
        <w:rPr>
          <w:szCs w:val="22"/>
          <w:lang w:val="en-AU"/>
        </w:rPr>
        <w:t>ice</w:t>
      </w:r>
      <w:r w:rsidR="009408F1">
        <w:rPr>
          <w:szCs w:val="22"/>
          <w:lang w:val="en-AU"/>
        </w:rPr>
        <w:t>-C</w:t>
      </w:r>
      <w:r w:rsidRPr="00BA34AB">
        <w:rPr>
          <w:szCs w:val="22"/>
          <w:lang w:val="en-AU"/>
        </w:rPr>
        <w:t>hair, SATRC member regulators for accelerating the work of SATRC</w:t>
      </w:r>
    </w:p>
    <w:p w14:paraId="01C2E408" w14:textId="77777777" w:rsidR="00BA34AB" w:rsidRPr="00BA34AB" w:rsidRDefault="00BA34AB" w:rsidP="00BA34AB">
      <w:pPr>
        <w:numPr>
          <w:ilvl w:val="0"/>
          <w:numId w:val="30"/>
        </w:numPr>
        <w:ind w:left="1080"/>
        <w:jc w:val="both"/>
        <w:rPr>
          <w:szCs w:val="22"/>
          <w:lang w:val="en-AU"/>
        </w:rPr>
      </w:pPr>
      <w:r w:rsidRPr="00BA34AB">
        <w:rPr>
          <w:szCs w:val="22"/>
          <w:lang w:val="en-AU"/>
        </w:rPr>
        <w:t>Maintain SATRC webpage and to facilitate linkage to other relevant Websites</w:t>
      </w:r>
    </w:p>
    <w:p w14:paraId="2CB2A507" w14:textId="77777777" w:rsidR="00BA34AB" w:rsidRPr="00BA34AB" w:rsidRDefault="00BA34AB" w:rsidP="00BA34AB">
      <w:pPr>
        <w:numPr>
          <w:ilvl w:val="0"/>
          <w:numId w:val="30"/>
        </w:numPr>
        <w:ind w:left="1080"/>
        <w:jc w:val="both"/>
        <w:rPr>
          <w:szCs w:val="22"/>
          <w:lang w:val="en-AU"/>
        </w:rPr>
      </w:pPr>
      <w:r w:rsidRPr="00BA34AB">
        <w:rPr>
          <w:szCs w:val="22"/>
          <w:lang w:val="en-AU"/>
        </w:rPr>
        <w:t>Prepare and submit proposals for consideration of APT Management Committee</w:t>
      </w:r>
    </w:p>
    <w:p w14:paraId="658A9E05" w14:textId="287E823D" w:rsidR="00BA34AB" w:rsidRPr="005A34B9" w:rsidRDefault="00BA34AB" w:rsidP="00FF47EE">
      <w:pPr>
        <w:widowControl w:val="0"/>
        <w:numPr>
          <w:ilvl w:val="0"/>
          <w:numId w:val="30"/>
        </w:numPr>
        <w:ind w:left="1080"/>
        <w:jc w:val="both"/>
        <w:rPr>
          <w:b/>
          <w:szCs w:val="22"/>
          <w:lang w:val="en-AU"/>
        </w:rPr>
      </w:pPr>
      <w:r w:rsidRPr="005A34B9">
        <w:rPr>
          <w:szCs w:val="22"/>
          <w:lang w:val="en-AU"/>
        </w:rPr>
        <w:t>Provide necessary secretarial support required by the SATRC in the implementation of the SATRC Action Plan.</w:t>
      </w:r>
    </w:p>
    <w:p w14:paraId="11DD1EFB" w14:textId="77777777" w:rsidR="00BA34AB" w:rsidRPr="00BA34AB" w:rsidRDefault="00BA34AB" w:rsidP="00BA34AB">
      <w:pPr>
        <w:widowControl w:val="0"/>
        <w:spacing w:after="200" w:line="276" w:lineRule="auto"/>
        <w:rPr>
          <w:b/>
          <w:szCs w:val="22"/>
          <w:lang w:val="en-AU"/>
        </w:rPr>
      </w:pPr>
      <w:r w:rsidRPr="00BA34AB">
        <w:rPr>
          <w:b/>
          <w:szCs w:val="22"/>
          <w:lang w:val="en-AU"/>
        </w:rPr>
        <w:br w:type="page"/>
      </w:r>
    </w:p>
    <w:p w14:paraId="6AFA2BA5" w14:textId="77777777" w:rsidR="00BA34AB" w:rsidRPr="00BA34AB" w:rsidRDefault="00BA34AB" w:rsidP="00BA34AB">
      <w:pPr>
        <w:widowControl w:val="0"/>
        <w:jc w:val="right"/>
        <w:rPr>
          <w:b/>
          <w:szCs w:val="22"/>
          <w:lang w:val="en-AU"/>
        </w:rPr>
      </w:pPr>
      <w:r w:rsidRPr="00BA34AB">
        <w:rPr>
          <w:b/>
          <w:szCs w:val="22"/>
          <w:lang w:val="en-AU"/>
        </w:rPr>
        <w:lastRenderedPageBreak/>
        <w:t>Annex 1</w:t>
      </w:r>
    </w:p>
    <w:p w14:paraId="1A693614" w14:textId="77777777" w:rsidR="00BA34AB" w:rsidRPr="00BA34AB" w:rsidRDefault="00BA34AB" w:rsidP="00BA34AB">
      <w:pPr>
        <w:widowControl w:val="0"/>
        <w:jc w:val="center"/>
        <w:rPr>
          <w:bCs/>
          <w:szCs w:val="22"/>
          <w:lang w:val="en-AU"/>
        </w:rPr>
      </w:pPr>
    </w:p>
    <w:p w14:paraId="514C6EB6" w14:textId="77777777" w:rsidR="00BA34AB" w:rsidRPr="00BA34AB" w:rsidRDefault="00BA34AB" w:rsidP="00BA34AB">
      <w:pPr>
        <w:widowControl w:val="0"/>
        <w:jc w:val="center"/>
        <w:rPr>
          <w:b/>
          <w:szCs w:val="22"/>
          <w:lang w:val="en-AU"/>
        </w:rPr>
      </w:pPr>
      <w:r w:rsidRPr="00BA34AB">
        <w:rPr>
          <w:b/>
          <w:szCs w:val="22"/>
          <w:lang w:val="en-AU"/>
        </w:rPr>
        <w:t>DOCUMENT APPROVAL PROCEDURE OF SATRC</w:t>
      </w:r>
    </w:p>
    <w:p w14:paraId="7C4026F6" w14:textId="77777777" w:rsidR="00BA34AB" w:rsidRPr="00BA34AB" w:rsidRDefault="00BA34AB" w:rsidP="00BA34AB">
      <w:pPr>
        <w:widowControl w:val="0"/>
        <w:jc w:val="both"/>
        <w:rPr>
          <w:b/>
          <w:szCs w:val="22"/>
          <w:lang w:val="en-AU"/>
        </w:rPr>
      </w:pPr>
    </w:p>
    <w:p w14:paraId="4423AC52" w14:textId="77777777" w:rsidR="00BA34AB" w:rsidRPr="00BA34AB" w:rsidRDefault="00BA34AB" w:rsidP="00BA34AB">
      <w:pPr>
        <w:widowControl w:val="0"/>
        <w:jc w:val="both"/>
        <w:rPr>
          <w:b/>
          <w:szCs w:val="22"/>
          <w:lang w:val="en-AU"/>
        </w:rPr>
      </w:pPr>
    </w:p>
    <w:p w14:paraId="2796907F" w14:textId="77777777" w:rsidR="00BA34AB" w:rsidRPr="00BA34AB" w:rsidRDefault="00BA34AB" w:rsidP="00BA34AB">
      <w:pPr>
        <w:numPr>
          <w:ilvl w:val="0"/>
          <w:numId w:val="22"/>
        </w:numPr>
        <w:ind w:left="720" w:hanging="720"/>
        <w:jc w:val="both"/>
        <w:rPr>
          <w:bCs/>
          <w:szCs w:val="22"/>
          <w:lang w:val="en-AU"/>
        </w:rPr>
      </w:pPr>
      <w:r w:rsidRPr="00BA34AB">
        <w:rPr>
          <w:b/>
          <w:szCs w:val="22"/>
          <w:lang w:val="en-AU"/>
        </w:rPr>
        <w:t>Objective of the Approval Procedure:</w:t>
      </w:r>
    </w:p>
    <w:p w14:paraId="56320F48" w14:textId="77777777" w:rsidR="00BA34AB" w:rsidRPr="00BA34AB" w:rsidRDefault="00BA34AB" w:rsidP="00BA34AB">
      <w:pPr>
        <w:widowControl w:val="0"/>
        <w:jc w:val="both"/>
        <w:rPr>
          <w:szCs w:val="22"/>
        </w:rPr>
      </w:pPr>
    </w:p>
    <w:p w14:paraId="5981315E" w14:textId="77777777" w:rsidR="00BA34AB" w:rsidRPr="00BA34AB" w:rsidRDefault="00BA34AB" w:rsidP="00BA34AB">
      <w:pPr>
        <w:widowControl w:val="0"/>
        <w:jc w:val="both"/>
        <w:rPr>
          <w:szCs w:val="22"/>
        </w:rPr>
      </w:pPr>
      <w:r w:rsidRPr="00BA34AB">
        <w:rPr>
          <w:szCs w:val="22"/>
        </w:rPr>
        <w:t>The APT Documents Framework, adopted by the 35</w:t>
      </w:r>
      <w:r w:rsidRPr="00BA34AB">
        <w:rPr>
          <w:szCs w:val="22"/>
          <w:vertAlign w:val="superscript"/>
        </w:rPr>
        <w:t>th</w:t>
      </w:r>
      <w:r w:rsidRPr="00BA34AB">
        <w:rPr>
          <w:szCs w:val="22"/>
        </w:rPr>
        <w:t xml:space="preserve"> Session of the Management Committee of APT, gives the </w:t>
      </w:r>
      <w:r w:rsidRPr="00BA34AB">
        <w:rPr>
          <w:rFonts w:eastAsia="Times New Roman"/>
          <w:szCs w:val="22"/>
          <w:lang w:eastAsia="ja-JP"/>
        </w:rPr>
        <w:t>SATRC</w:t>
      </w:r>
      <w:r w:rsidRPr="00BA34AB">
        <w:rPr>
          <w:szCs w:val="22"/>
        </w:rPr>
        <w:t xml:space="preserve"> the authority to develop and approve outputs documents as necessary. Accordingly, this document sets outs the procedure for approval of output documents that are developed by the SATRC. The 43rd Session of the Management Committee of APT held in 2019 revised the APT Documents Framework as attached.</w:t>
      </w:r>
    </w:p>
    <w:p w14:paraId="4C4FD8C9" w14:textId="77777777" w:rsidR="00BA34AB" w:rsidRPr="00BA34AB" w:rsidRDefault="00BA34AB" w:rsidP="00BA34AB">
      <w:pPr>
        <w:widowControl w:val="0"/>
        <w:jc w:val="both"/>
        <w:rPr>
          <w:szCs w:val="22"/>
        </w:rPr>
      </w:pPr>
    </w:p>
    <w:p w14:paraId="2E3C779A" w14:textId="77777777" w:rsidR="00BA34AB" w:rsidRPr="00BA34AB" w:rsidRDefault="00BA34AB" w:rsidP="00BA34AB">
      <w:pPr>
        <w:widowControl w:val="0"/>
        <w:jc w:val="both"/>
        <w:rPr>
          <w:szCs w:val="22"/>
        </w:rPr>
      </w:pPr>
      <w:r w:rsidRPr="00BA34AB">
        <w:rPr>
          <w:szCs w:val="22"/>
        </w:rPr>
        <w:t>The objective of the approval procedures for SATRC output documents is to provide an open, transparent and inclusive process for the adoption and approval of SATRC output documents that provides maximum benefits to SATRC members participating in the SATRC.</w:t>
      </w:r>
    </w:p>
    <w:p w14:paraId="60C52DF4" w14:textId="77777777" w:rsidR="00BA34AB" w:rsidRPr="00BA34AB" w:rsidRDefault="00BA34AB" w:rsidP="00BA34AB">
      <w:pPr>
        <w:widowControl w:val="0"/>
        <w:jc w:val="both"/>
        <w:rPr>
          <w:bCs/>
          <w:szCs w:val="22"/>
          <w:lang w:val="en-AU"/>
        </w:rPr>
      </w:pPr>
    </w:p>
    <w:p w14:paraId="0780CFC6" w14:textId="77777777" w:rsidR="00BA34AB" w:rsidRPr="00BA34AB" w:rsidRDefault="00BA34AB" w:rsidP="00BA34AB">
      <w:pPr>
        <w:numPr>
          <w:ilvl w:val="0"/>
          <w:numId w:val="22"/>
        </w:numPr>
        <w:ind w:left="720" w:hanging="720"/>
        <w:jc w:val="both"/>
        <w:rPr>
          <w:b/>
          <w:szCs w:val="22"/>
          <w:lang w:val="en-AU"/>
        </w:rPr>
      </w:pPr>
      <w:r w:rsidRPr="00BA34AB">
        <w:rPr>
          <w:b/>
          <w:szCs w:val="22"/>
          <w:lang w:val="en-AU"/>
        </w:rPr>
        <w:t>Types of Output Documents:</w:t>
      </w:r>
    </w:p>
    <w:p w14:paraId="73AF8225" w14:textId="77777777" w:rsidR="00BA34AB" w:rsidRPr="00BA34AB" w:rsidRDefault="00BA34AB" w:rsidP="00BA34AB">
      <w:pPr>
        <w:widowControl w:val="0"/>
        <w:jc w:val="both"/>
        <w:rPr>
          <w:bCs/>
          <w:szCs w:val="22"/>
          <w:lang w:val="en-AU"/>
        </w:rPr>
      </w:pPr>
    </w:p>
    <w:p w14:paraId="2F20AD85" w14:textId="77777777" w:rsidR="00BA34AB" w:rsidRPr="00BA34AB" w:rsidRDefault="00BA34AB" w:rsidP="00BA34AB">
      <w:pPr>
        <w:widowControl w:val="0"/>
        <w:jc w:val="both"/>
        <w:rPr>
          <w:szCs w:val="22"/>
        </w:rPr>
      </w:pPr>
      <w:r w:rsidRPr="00BA34AB">
        <w:rPr>
          <w:szCs w:val="22"/>
          <w:lang w:val="en-AU"/>
        </w:rPr>
        <w:t>The SATRC may develop</w:t>
      </w:r>
      <w:r w:rsidRPr="00BA34AB">
        <w:rPr>
          <w:szCs w:val="22"/>
        </w:rPr>
        <w:t xml:space="preserve"> the following output document types as described in the APT Document Framework:</w:t>
      </w:r>
    </w:p>
    <w:p w14:paraId="13AD8656" w14:textId="77777777" w:rsidR="00BA34AB" w:rsidRPr="00BA34AB" w:rsidRDefault="00BA34AB" w:rsidP="00BA34AB">
      <w:pPr>
        <w:widowControl w:val="0"/>
        <w:jc w:val="both"/>
        <w:rPr>
          <w:szCs w:val="22"/>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34"/>
        <w:gridCol w:w="4564"/>
        <w:gridCol w:w="2880"/>
      </w:tblGrid>
      <w:tr w:rsidR="00BA34AB" w:rsidRPr="00BA34AB" w14:paraId="40FEE142" w14:textId="77777777" w:rsidTr="00E16736">
        <w:trPr>
          <w:trHeight w:val="424"/>
        </w:trPr>
        <w:tc>
          <w:tcPr>
            <w:tcW w:w="1934" w:type="dxa"/>
            <w:tcBorders>
              <w:top w:val="single" w:sz="4" w:space="0" w:color="auto"/>
            </w:tcBorders>
            <w:shd w:val="pct20" w:color="auto" w:fill="auto"/>
          </w:tcPr>
          <w:p w14:paraId="03073B81" w14:textId="77777777" w:rsidR="00BA34AB" w:rsidRPr="00BA34AB" w:rsidRDefault="00BA34AB" w:rsidP="00BA34AB">
            <w:pPr>
              <w:widowControl w:val="0"/>
              <w:jc w:val="center"/>
              <w:rPr>
                <w:b/>
                <w:bCs/>
                <w:szCs w:val="20"/>
                <w:lang w:eastAsia="ko-KR"/>
              </w:rPr>
            </w:pPr>
            <w:r w:rsidRPr="00BA34AB">
              <w:rPr>
                <w:b/>
                <w:bCs/>
                <w:szCs w:val="20"/>
                <w:lang w:eastAsia="ko-KR"/>
              </w:rPr>
              <w:t>Document Type</w:t>
            </w:r>
          </w:p>
        </w:tc>
        <w:tc>
          <w:tcPr>
            <w:tcW w:w="4564" w:type="dxa"/>
            <w:tcBorders>
              <w:top w:val="single" w:sz="4" w:space="0" w:color="auto"/>
            </w:tcBorders>
            <w:shd w:val="pct20" w:color="auto" w:fill="auto"/>
          </w:tcPr>
          <w:p w14:paraId="4782886C" w14:textId="77777777" w:rsidR="00BA34AB" w:rsidRPr="00BA34AB" w:rsidRDefault="00BA34AB" w:rsidP="00BA34AB">
            <w:pPr>
              <w:widowControl w:val="0"/>
              <w:ind w:left="-43"/>
              <w:jc w:val="center"/>
              <w:rPr>
                <w:b/>
                <w:bCs/>
                <w:szCs w:val="20"/>
                <w:lang w:eastAsia="ko-KR"/>
              </w:rPr>
            </w:pPr>
            <w:r w:rsidRPr="00BA34AB">
              <w:rPr>
                <w:b/>
                <w:bCs/>
                <w:szCs w:val="20"/>
                <w:lang w:eastAsia="ko-KR"/>
              </w:rPr>
              <w:t>Descriptions</w:t>
            </w:r>
          </w:p>
        </w:tc>
        <w:tc>
          <w:tcPr>
            <w:tcW w:w="2880" w:type="dxa"/>
            <w:tcBorders>
              <w:top w:val="single" w:sz="4" w:space="0" w:color="auto"/>
            </w:tcBorders>
            <w:shd w:val="pct20" w:color="auto" w:fill="auto"/>
          </w:tcPr>
          <w:p w14:paraId="75B878CA" w14:textId="77777777" w:rsidR="00BA34AB" w:rsidRPr="00BA34AB" w:rsidRDefault="00BA34AB" w:rsidP="00BA34AB">
            <w:pPr>
              <w:widowControl w:val="0"/>
              <w:ind w:left="-43"/>
              <w:jc w:val="center"/>
              <w:rPr>
                <w:b/>
                <w:bCs/>
                <w:szCs w:val="20"/>
                <w:lang w:eastAsia="ko-KR"/>
              </w:rPr>
            </w:pPr>
            <w:r w:rsidRPr="00BA34AB">
              <w:rPr>
                <w:b/>
                <w:bCs/>
                <w:szCs w:val="20"/>
                <w:lang w:eastAsia="ko-KR"/>
              </w:rPr>
              <w:t>Notes</w:t>
            </w:r>
          </w:p>
        </w:tc>
      </w:tr>
      <w:tr w:rsidR="00BA34AB" w:rsidRPr="00BA34AB" w14:paraId="0E17C93E" w14:textId="77777777" w:rsidTr="00E16736">
        <w:tc>
          <w:tcPr>
            <w:tcW w:w="1934" w:type="dxa"/>
            <w:tcBorders>
              <w:top w:val="single" w:sz="4" w:space="0" w:color="auto"/>
            </w:tcBorders>
          </w:tcPr>
          <w:p w14:paraId="0D146ED5" w14:textId="77777777" w:rsidR="00BA34AB" w:rsidRPr="00BA34AB" w:rsidRDefault="00BA34AB" w:rsidP="00BA34AB">
            <w:pPr>
              <w:widowControl w:val="0"/>
              <w:rPr>
                <w:szCs w:val="20"/>
                <w:lang w:eastAsia="ko-KR"/>
              </w:rPr>
            </w:pPr>
            <w:r w:rsidRPr="00BA34AB">
              <w:rPr>
                <w:szCs w:val="22"/>
              </w:rPr>
              <w:t>Policy Document</w:t>
            </w:r>
          </w:p>
        </w:tc>
        <w:tc>
          <w:tcPr>
            <w:tcW w:w="4564" w:type="dxa"/>
            <w:tcBorders>
              <w:top w:val="single" w:sz="4" w:space="0" w:color="auto"/>
            </w:tcBorders>
          </w:tcPr>
          <w:p w14:paraId="63EC8A4A" w14:textId="77777777" w:rsidR="00BA34AB" w:rsidRPr="00BA34AB" w:rsidRDefault="00BA34AB" w:rsidP="00BA34AB">
            <w:pPr>
              <w:widowControl w:val="0"/>
              <w:rPr>
                <w:szCs w:val="20"/>
                <w:lang w:eastAsia="ko-KR"/>
              </w:rPr>
            </w:pPr>
            <w:r w:rsidRPr="00BA34AB">
              <w:rPr>
                <w:rFonts w:eastAsia="Times New Roman"/>
                <w:szCs w:val="22"/>
              </w:rPr>
              <w:t>A document containing policy and/or strategy of SATRC</w:t>
            </w:r>
          </w:p>
        </w:tc>
        <w:tc>
          <w:tcPr>
            <w:tcW w:w="2880" w:type="dxa"/>
            <w:tcBorders>
              <w:top w:val="single" w:sz="4" w:space="0" w:color="auto"/>
            </w:tcBorders>
          </w:tcPr>
          <w:p w14:paraId="04821978" w14:textId="77777777" w:rsidR="00BA34AB" w:rsidRPr="00BA34AB" w:rsidRDefault="00BA34AB" w:rsidP="00BA34AB">
            <w:pPr>
              <w:widowControl w:val="0"/>
              <w:rPr>
                <w:rFonts w:eastAsia="Times New Roman"/>
              </w:rPr>
            </w:pPr>
          </w:p>
        </w:tc>
      </w:tr>
      <w:tr w:rsidR="00BA34AB" w:rsidRPr="00BA34AB" w14:paraId="3638ABDB" w14:textId="77777777" w:rsidTr="00E16736">
        <w:trPr>
          <w:trHeight w:val="973"/>
        </w:trPr>
        <w:tc>
          <w:tcPr>
            <w:tcW w:w="1934" w:type="dxa"/>
            <w:vMerge w:val="restart"/>
            <w:tcBorders>
              <w:top w:val="single" w:sz="4" w:space="0" w:color="auto"/>
            </w:tcBorders>
          </w:tcPr>
          <w:p w14:paraId="41900F4A" w14:textId="77777777" w:rsidR="00BA34AB" w:rsidRPr="00BA34AB" w:rsidRDefault="00BA34AB" w:rsidP="00BA34AB">
            <w:pPr>
              <w:widowControl w:val="0"/>
              <w:rPr>
                <w:szCs w:val="20"/>
                <w:lang w:eastAsia="ko-KR"/>
              </w:rPr>
            </w:pPr>
            <w:r w:rsidRPr="00BA34AB">
              <w:rPr>
                <w:szCs w:val="20"/>
                <w:lang w:eastAsia="ko-KR"/>
              </w:rPr>
              <w:t>Guideline</w:t>
            </w:r>
          </w:p>
        </w:tc>
        <w:tc>
          <w:tcPr>
            <w:tcW w:w="4564" w:type="dxa"/>
            <w:tcBorders>
              <w:top w:val="single" w:sz="4" w:space="0" w:color="auto"/>
            </w:tcBorders>
          </w:tcPr>
          <w:p w14:paraId="4EA75376" w14:textId="77777777" w:rsidR="00BA34AB" w:rsidRPr="00BA34AB" w:rsidRDefault="00BA34AB" w:rsidP="00BA34AB">
            <w:pPr>
              <w:widowControl w:val="0"/>
              <w:ind w:left="-43"/>
              <w:rPr>
                <w:szCs w:val="20"/>
                <w:lang w:eastAsia="ko-KR"/>
              </w:rPr>
            </w:pPr>
            <w:r w:rsidRPr="00BA34AB">
              <w:rPr>
                <w:szCs w:val="20"/>
                <w:lang w:eastAsia="ko-KR"/>
              </w:rPr>
              <w:t>A document for use by members containing “Best practices” on generally accepted methods or processes that have been proven to accomplish given tasks</w:t>
            </w:r>
          </w:p>
        </w:tc>
        <w:tc>
          <w:tcPr>
            <w:tcW w:w="2880" w:type="dxa"/>
            <w:tcBorders>
              <w:top w:val="single" w:sz="4" w:space="0" w:color="auto"/>
            </w:tcBorders>
          </w:tcPr>
          <w:p w14:paraId="0439BDF2" w14:textId="77777777" w:rsidR="00BA34AB" w:rsidRPr="00BA34AB" w:rsidRDefault="00BA34AB" w:rsidP="00BA34AB">
            <w:pPr>
              <w:widowControl w:val="0"/>
              <w:ind w:left="-43"/>
              <w:rPr>
                <w:lang w:eastAsia="ko-KR"/>
              </w:rPr>
            </w:pPr>
            <w:r w:rsidRPr="00BA34AB">
              <w:rPr>
                <w:rFonts w:cs="Batang"/>
                <w:i/>
                <w:lang w:eastAsia="ko-KR"/>
              </w:rPr>
              <w:t>Needs Plenary approval</w:t>
            </w:r>
          </w:p>
        </w:tc>
      </w:tr>
      <w:tr w:rsidR="00BA34AB" w:rsidRPr="00BA34AB" w14:paraId="41B833CC" w14:textId="77777777" w:rsidTr="00E16736">
        <w:tc>
          <w:tcPr>
            <w:tcW w:w="1934" w:type="dxa"/>
            <w:vMerge/>
          </w:tcPr>
          <w:p w14:paraId="3725BA37" w14:textId="77777777" w:rsidR="00BA34AB" w:rsidRPr="00BA34AB" w:rsidRDefault="00BA34AB" w:rsidP="00BA34AB">
            <w:pPr>
              <w:widowControl w:val="0"/>
              <w:rPr>
                <w:rFonts w:cs="Batang"/>
                <w:b/>
                <w:szCs w:val="22"/>
                <w:lang w:eastAsia="ko-KR"/>
              </w:rPr>
            </w:pPr>
          </w:p>
        </w:tc>
        <w:tc>
          <w:tcPr>
            <w:tcW w:w="4564" w:type="dxa"/>
          </w:tcPr>
          <w:p w14:paraId="3D6598A9" w14:textId="77777777" w:rsidR="00BA34AB" w:rsidRPr="00BA34AB" w:rsidRDefault="00BA34AB" w:rsidP="00BA34AB">
            <w:pPr>
              <w:widowControl w:val="0"/>
              <w:ind w:left="-43"/>
              <w:rPr>
                <w:szCs w:val="20"/>
                <w:lang w:eastAsia="ko-KR"/>
              </w:rPr>
            </w:pPr>
            <w:r w:rsidRPr="00BA34AB">
              <w:rPr>
                <w:szCs w:val="20"/>
                <w:lang w:eastAsia="ko-KR"/>
              </w:rPr>
              <w:t>A document developed by a WP expressing an agreed view by participants on a particular technical or regulatory issue intended as a guideline for use by members when considered appropriate.</w:t>
            </w:r>
          </w:p>
        </w:tc>
        <w:tc>
          <w:tcPr>
            <w:tcW w:w="2880" w:type="dxa"/>
          </w:tcPr>
          <w:p w14:paraId="7D9E6C93" w14:textId="77777777" w:rsidR="00BA34AB" w:rsidRPr="00BA34AB" w:rsidRDefault="00BA34AB" w:rsidP="00BA34AB">
            <w:pPr>
              <w:widowControl w:val="0"/>
              <w:ind w:left="-43"/>
              <w:rPr>
                <w:lang w:eastAsia="ko-KR"/>
              </w:rPr>
            </w:pPr>
            <w:r w:rsidRPr="00BA34AB">
              <w:rPr>
                <w:rFonts w:cs="Batang"/>
                <w:i/>
                <w:lang w:eastAsia="ko-KR"/>
              </w:rPr>
              <w:t>Needs Plenary approval</w:t>
            </w:r>
          </w:p>
        </w:tc>
      </w:tr>
      <w:tr w:rsidR="00BA34AB" w:rsidRPr="00BA34AB" w14:paraId="3D455A62" w14:textId="77777777" w:rsidTr="00E16736">
        <w:trPr>
          <w:trHeight w:val="611"/>
        </w:trPr>
        <w:tc>
          <w:tcPr>
            <w:tcW w:w="1934" w:type="dxa"/>
            <w:vMerge w:val="restart"/>
          </w:tcPr>
          <w:p w14:paraId="52A7DE44" w14:textId="77777777" w:rsidR="00BA34AB" w:rsidRPr="00BA34AB" w:rsidRDefault="00BA34AB" w:rsidP="00BA34AB">
            <w:pPr>
              <w:widowControl w:val="0"/>
              <w:rPr>
                <w:rFonts w:cs="Batang"/>
                <w:b/>
                <w:szCs w:val="22"/>
                <w:lang w:eastAsia="ko-KR"/>
              </w:rPr>
            </w:pPr>
            <w:r w:rsidRPr="00BA34AB">
              <w:rPr>
                <w:szCs w:val="20"/>
                <w:lang w:eastAsia="ko-KR"/>
              </w:rPr>
              <w:t>Report</w:t>
            </w:r>
          </w:p>
        </w:tc>
        <w:tc>
          <w:tcPr>
            <w:tcW w:w="4564" w:type="dxa"/>
            <w:tcBorders>
              <w:bottom w:val="single" w:sz="4" w:space="0" w:color="auto"/>
            </w:tcBorders>
          </w:tcPr>
          <w:p w14:paraId="0D06C9A6" w14:textId="77777777" w:rsidR="00BA34AB" w:rsidRPr="00BA34AB" w:rsidRDefault="00BA34AB" w:rsidP="00BA34AB">
            <w:pPr>
              <w:widowControl w:val="0"/>
              <w:ind w:left="-43"/>
              <w:rPr>
                <w:szCs w:val="20"/>
                <w:lang w:eastAsia="ko-KR"/>
              </w:rPr>
            </w:pPr>
            <w:r w:rsidRPr="00BA34AB">
              <w:rPr>
                <w:szCs w:val="20"/>
                <w:lang w:eastAsia="ko-KR"/>
              </w:rPr>
              <w:t xml:space="preserve">A summary record of a meeting including summaries of discussions, decisions and conclusions. It may include proposals and other items that may require the consideration of the GA / MC </w:t>
            </w:r>
          </w:p>
        </w:tc>
        <w:tc>
          <w:tcPr>
            <w:tcW w:w="2880" w:type="dxa"/>
            <w:tcBorders>
              <w:bottom w:val="single" w:sz="4" w:space="0" w:color="auto"/>
            </w:tcBorders>
          </w:tcPr>
          <w:p w14:paraId="58728AD8" w14:textId="77777777" w:rsidR="00BA34AB" w:rsidRPr="00BA34AB" w:rsidRDefault="00BA34AB" w:rsidP="00BA34AB">
            <w:pPr>
              <w:widowControl w:val="0"/>
              <w:ind w:left="-43"/>
              <w:rPr>
                <w:lang w:eastAsia="ko-KR"/>
              </w:rPr>
            </w:pPr>
            <w:r w:rsidRPr="00BA34AB">
              <w:rPr>
                <w:rFonts w:cs="Batang"/>
                <w:i/>
                <w:lang w:eastAsia="ko-KR"/>
              </w:rPr>
              <w:t>e.g. Summary records, Meeting Reports</w:t>
            </w:r>
          </w:p>
        </w:tc>
      </w:tr>
      <w:tr w:rsidR="00BA34AB" w:rsidRPr="00BA34AB" w14:paraId="6D49A9A3" w14:textId="77777777" w:rsidTr="00E16736">
        <w:trPr>
          <w:trHeight w:val="560"/>
        </w:trPr>
        <w:tc>
          <w:tcPr>
            <w:tcW w:w="1934" w:type="dxa"/>
            <w:vMerge/>
          </w:tcPr>
          <w:p w14:paraId="28A93A3E" w14:textId="77777777" w:rsidR="00BA34AB" w:rsidRPr="00BA34AB" w:rsidRDefault="00BA34AB" w:rsidP="00BA34AB">
            <w:pPr>
              <w:widowControl w:val="0"/>
              <w:rPr>
                <w:szCs w:val="20"/>
                <w:lang w:eastAsia="ko-KR"/>
              </w:rPr>
            </w:pPr>
          </w:p>
        </w:tc>
        <w:tc>
          <w:tcPr>
            <w:tcW w:w="4564" w:type="dxa"/>
          </w:tcPr>
          <w:p w14:paraId="7F2C31CA" w14:textId="77777777" w:rsidR="00BA34AB" w:rsidRPr="00BA34AB" w:rsidRDefault="00BA34AB" w:rsidP="00BA34AB">
            <w:pPr>
              <w:widowControl w:val="0"/>
              <w:ind w:left="-43"/>
              <w:rPr>
                <w:szCs w:val="20"/>
                <w:lang w:eastAsia="ko-KR"/>
              </w:rPr>
            </w:pPr>
            <w:r w:rsidRPr="00BA34AB">
              <w:rPr>
                <w:szCs w:val="20"/>
                <w:lang w:eastAsia="ko-KR"/>
              </w:rPr>
              <w:t>A document containing results of a study made by a WP</w:t>
            </w:r>
          </w:p>
        </w:tc>
        <w:tc>
          <w:tcPr>
            <w:tcW w:w="2880" w:type="dxa"/>
          </w:tcPr>
          <w:p w14:paraId="5D7F0758" w14:textId="77777777" w:rsidR="00BA34AB" w:rsidRPr="00BA34AB" w:rsidRDefault="00BA34AB" w:rsidP="00BA34AB">
            <w:pPr>
              <w:widowControl w:val="0"/>
              <w:ind w:left="-43"/>
              <w:rPr>
                <w:lang w:eastAsia="ko-KR"/>
              </w:rPr>
            </w:pPr>
          </w:p>
        </w:tc>
      </w:tr>
      <w:tr w:rsidR="00BA34AB" w:rsidRPr="00BA34AB" w14:paraId="104FF547" w14:textId="77777777" w:rsidTr="00E16736">
        <w:trPr>
          <w:trHeight w:val="20"/>
        </w:trPr>
        <w:tc>
          <w:tcPr>
            <w:tcW w:w="1934" w:type="dxa"/>
            <w:vMerge w:val="restart"/>
          </w:tcPr>
          <w:p w14:paraId="3DFDB6EB" w14:textId="77777777" w:rsidR="00BA34AB" w:rsidRPr="00BA34AB" w:rsidRDefault="00BA34AB" w:rsidP="00BA34AB">
            <w:pPr>
              <w:widowControl w:val="0"/>
              <w:rPr>
                <w:rFonts w:cs="Batang"/>
                <w:b/>
                <w:szCs w:val="22"/>
                <w:lang w:eastAsia="ko-KR"/>
              </w:rPr>
            </w:pPr>
            <w:r w:rsidRPr="00BA34AB">
              <w:rPr>
                <w:szCs w:val="20"/>
                <w:lang w:eastAsia="ko-KR"/>
              </w:rPr>
              <w:t>Liaison Statement</w:t>
            </w:r>
          </w:p>
        </w:tc>
        <w:tc>
          <w:tcPr>
            <w:tcW w:w="4564" w:type="dxa"/>
          </w:tcPr>
          <w:p w14:paraId="495F3401" w14:textId="77777777" w:rsidR="00BA34AB" w:rsidRPr="00BA34AB" w:rsidRDefault="00BA34AB" w:rsidP="00BA34AB">
            <w:pPr>
              <w:widowControl w:val="0"/>
              <w:ind w:left="-43"/>
              <w:rPr>
                <w:szCs w:val="20"/>
                <w:lang w:eastAsia="ko-KR"/>
              </w:rPr>
            </w:pPr>
            <w:r w:rsidRPr="00BA34AB">
              <w:rPr>
                <w:szCs w:val="20"/>
                <w:lang w:eastAsia="ko-KR"/>
              </w:rPr>
              <w:t xml:space="preserve">A statement of communication between different WPs intending to convey important information to and/or requesting important information from other WPs </w:t>
            </w:r>
          </w:p>
        </w:tc>
        <w:tc>
          <w:tcPr>
            <w:tcW w:w="2880" w:type="dxa"/>
          </w:tcPr>
          <w:p w14:paraId="645AF403" w14:textId="77777777" w:rsidR="00BA34AB" w:rsidRPr="00BA34AB" w:rsidRDefault="00BA34AB" w:rsidP="00BA34AB">
            <w:pPr>
              <w:widowControl w:val="0"/>
              <w:ind w:left="-43"/>
              <w:rPr>
                <w:lang w:eastAsia="ko-KR"/>
              </w:rPr>
            </w:pPr>
          </w:p>
        </w:tc>
      </w:tr>
      <w:tr w:rsidR="00BA34AB" w:rsidRPr="00BA34AB" w14:paraId="00B88E69" w14:textId="77777777" w:rsidTr="00E16736">
        <w:trPr>
          <w:trHeight w:val="20"/>
        </w:trPr>
        <w:tc>
          <w:tcPr>
            <w:tcW w:w="1934" w:type="dxa"/>
            <w:vMerge/>
            <w:tcBorders>
              <w:bottom w:val="single" w:sz="4" w:space="0" w:color="000000"/>
            </w:tcBorders>
          </w:tcPr>
          <w:p w14:paraId="668164A1" w14:textId="77777777" w:rsidR="00BA34AB" w:rsidRPr="00BA34AB" w:rsidRDefault="00BA34AB" w:rsidP="00BA34AB">
            <w:pPr>
              <w:widowControl w:val="0"/>
              <w:rPr>
                <w:szCs w:val="20"/>
                <w:lang w:eastAsia="ko-KR"/>
              </w:rPr>
            </w:pPr>
          </w:p>
        </w:tc>
        <w:tc>
          <w:tcPr>
            <w:tcW w:w="4564" w:type="dxa"/>
            <w:tcBorders>
              <w:bottom w:val="single" w:sz="4" w:space="0" w:color="000000"/>
            </w:tcBorders>
          </w:tcPr>
          <w:p w14:paraId="0CFE6B67" w14:textId="77777777" w:rsidR="00BA34AB" w:rsidRPr="00BA34AB" w:rsidRDefault="00BA34AB" w:rsidP="00BA34AB">
            <w:pPr>
              <w:widowControl w:val="0"/>
              <w:ind w:left="-43"/>
              <w:rPr>
                <w:szCs w:val="20"/>
                <w:lang w:eastAsia="ko-KR"/>
              </w:rPr>
            </w:pPr>
            <w:r w:rsidRPr="00BA34AB">
              <w:rPr>
                <w:szCs w:val="20"/>
                <w:lang w:eastAsia="ko-KR"/>
              </w:rPr>
              <w:t xml:space="preserve">A document containing information or reference which is sent to external organizations </w:t>
            </w:r>
          </w:p>
        </w:tc>
        <w:tc>
          <w:tcPr>
            <w:tcW w:w="2880" w:type="dxa"/>
            <w:tcBorders>
              <w:bottom w:val="single" w:sz="4" w:space="0" w:color="000000"/>
            </w:tcBorders>
          </w:tcPr>
          <w:p w14:paraId="176B0C03" w14:textId="77777777" w:rsidR="00BA34AB" w:rsidRPr="00BA34AB" w:rsidRDefault="00BA34AB" w:rsidP="00BA34AB">
            <w:pPr>
              <w:widowControl w:val="0"/>
              <w:ind w:left="-43"/>
              <w:rPr>
                <w:i/>
                <w:lang w:eastAsia="ko-KR"/>
              </w:rPr>
            </w:pPr>
            <w:r w:rsidRPr="00BA34AB">
              <w:rPr>
                <w:rFonts w:cs="Batang"/>
                <w:i/>
                <w:lang w:eastAsia="ko-KR"/>
              </w:rPr>
              <w:t>A Liaison Statement should be sent to an external organization by the APT Secretary General</w:t>
            </w:r>
          </w:p>
        </w:tc>
      </w:tr>
    </w:tbl>
    <w:p w14:paraId="433BF1EA" w14:textId="2A820C1F" w:rsidR="00BA34AB" w:rsidRDefault="00BA34AB" w:rsidP="00BA34AB">
      <w:pPr>
        <w:widowControl w:val="0"/>
        <w:jc w:val="both"/>
        <w:rPr>
          <w:szCs w:val="22"/>
        </w:rPr>
      </w:pPr>
    </w:p>
    <w:p w14:paraId="5A17D9AD" w14:textId="77777777" w:rsidR="00BA34AB" w:rsidRPr="00BA34AB" w:rsidRDefault="00BA34AB" w:rsidP="00BA34AB">
      <w:pPr>
        <w:widowControl w:val="0"/>
        <w:jc w:val="both"/>
        <w:rPr>
          <w:szCs w:val="22"/>
        </w:rPr>
      </w:pPr>
    </w:p>
    <w:p w14:paraId="6DBC7872" w14:textId="77777777" w:rsidR="00BA34AB" w:rsidRPr="00BA34AB" w:rsidRDefault="00BA34AB" w:rsidP="00BA34AB">
      <w:pPr>
        <w:numPr>
          <w:ilvl w:val="0"/>
          <w:numId w:val="22"/>
        </w:numPr>
        <w:ind w:left="720" w:hanging="720"/>
        <w:jc w:val="both"/>
        <w:rPr>
          <w:b/>
          <w:szCs w:val="22"/>
          <w:lang w:val="en-AU"/>
        </w:rPr>
      </w:pPr>
      <w:r w:rsidRPr="00BA34AB">
        <w:rPr>
          <w:b/>
          <w:szCs w:val="22"/>
          <w:lang w:val="en-AU"/>
        </w:rPr>
        <w:lastRenderedPageBreak/>
        <w:t>Procedure for Adoption and Approval of the Output Documents:</w:t>
      </w:r>
    </w:p>
    <w:p w14:paraId="72659BEE" w14:textId="77777777" w:rsidR="00BA34AB" w:rsidRPr="00BA34AB" w:rsidRDefault="00BA34AB" w:rsidP="00BA34AB">
      <w:pPr>
        <w:widowControl w:val="0"/>
        <w:jc w:val="both"/>
        <w:rPr>
          <w:rFonts w:cs="Cordia New"/>
          <w:bCs/>
          <w:szCs w:val="30"/>
          <w:cs/>
          <w:lang w:val="en-AU" w:bidi="th-TH"/>
        </w:rPr>
      </w:pPr>
    </w:p>
    <w:p w14:paraId="3F1BF6AB" w14:textId="77777777" w:rsidR="00BA34AB" w:rsidRPr="00BA34AB" w:rsidRDefault="00BA34AB" w:rsidP="00BA34AB">
      <w:pPr>
        <w:numPr>
          <w:ilvl w:val="0"/>
          <w:numId w:val="31"/>
        </w:numPr>
        <w:ind w:left="1080"/>
        <w:jc w:val="both"/>
        <w:rPr>
          <w:szCs w:val="22"/>
        </w:rPr>
      </w:pPr>
      <w:r w:rsidRPr="00BA34AB">
        <w:rPr>
          <w:szCs w:val="22"/>
        </w:rPr>
        <w:t>Output documents of SATRC can be approved by the Plenary of the SATRC Meeting (hereafter referred to as “Plenary”).</w:t>
      </w:r>
    </w:p>
    <w:p w14:paraId="2ED2C5AE" w14:textId="77777777" w:rsidR="00BA34AB" w:rsidRPr="00BA34AB" w:rsidRDefault="00BA34AB" w:rsidP="00BA34AB">
      <w:pPr>
        <w:widowControl w:val="0"/>
        <w:ind w:left="1080"/>
        <w:jc w:val="both"/>
        <w:rPr>
          <w:szCs w:val="22"/>
        </w:rPr>
      </w:pPr>
    </w:p>
    <w:p w14:paraId="66F66998" w14:textId="77777777" w:rsidR="00BA34AB" w:rsidRPr="00BA34AB" w:rsidRDefault="00BA34AB" w:rsidP="00BA34AB">
      <w:pPr>
        <w:numPr>
          <w:ilvl w:val="0"/>
          <w:numId w:val="31"/>
        </w:numPr>
        <w:ind w:left="1080"/>
        <w:jc w:val="both"/>
        <w:rPr>
          <w:szCs w:val="22"/>
        </w:rPr>
      </w:pPr>
      <w:r w:rsidRPr="00BA34AB">
        <w:rPr>
          <w:szCs w:val="22"/>
        </w:rPr>
        <w:t>All output documents should, as far as possible, be approved by consensus at the Plenary.</w:t>
      </w:r>
    </w:p>
    <w:p w14:paraId="163DCDB4" w14:textId="77777777" w:rsidR="00BA34AB" w:rsidRPr="00BA34AB" w:rsidRDefault="00BA34AB" w:rsidP="00BA34AB">
      <w:pPr>
        <w:widowControl w:val="0"/>
        <w:ind w:left="1080"/>
        <w:rPr>
          <w:szCs w:val="22"/>
        </w:rPr>
      </w:pPr>
    </w:p>
    <w:p w14:paraId="5C0931EE" w14:textId="77777777" w:rsidR="00BA34AB" w:rsidRPr="00BA34AB" w:rsidRDefault="00BA34AB" w:rsidP="00BA34AB">
      <w:pPr>
        <w:numPr>
          <w:ilvl w:val="0"/>
          <w:numId w:val="31"/>
        </w:numPr>
        <w:ind w:left="1080"/>
        <w:jc w:val="both"/>
        <w:rPr>
          <w:szCs w:val="22"/>
        </w:rPr>
      </w:pPr>
      <w:r w:rsidRPr="00BA34AB">
        <w:rPr>
          <w:szCs w:val="22"/>
        </w:rPr>
        <w:t>In the case where consensus cannot be reached at the Plenary, then the output documents may be approved by simple majority of the SATRC Members present and voting at the Plenary. Abstentions will not be taken into account when calculating the majority.</w:t>
      </w:r>
    </w:p>
    <w:p w14:paraId="67CD527F" w14:textId="77777777" w:rsidR="00BA34AB" w:rsidRPr="00BA34AB" w:rsidRDefault="00BA34AB" w:rsidP="00BA34AB">
      <w:pPr>
        <w:widowControl w:val="0"/>
        <w:rPr>
          <w:bCs/>
          <w:szCs w:val="22"/>
          <w:lang w:val="en-AU"/>
        </w:rPr>
      </w:pPr>
    </w:p>
    <w:p w14:paraId="4AE2C693" w14:textId="77777777" w:rsidR="00BA34AB" w:rsidRPr="00BA34AB" w:rsidRDefault="00BA34AB" w:rsidP="00BA34AB">
      <w:pPr>
        <w:numPr>
          <w:ilvl w:val="0"/>
          <w:numId w:val="22"/>
        </w:numPr>
        <w:jc w:val="both"/>
        <w:rPr>
          <w:b/>
          <w:szCs w:val="22"/>
          <w:lang w:val="en-AU"/>
        </w:rPr>
      </w:pPr>
      <w:r w:rsidRPr="00BA34AB">
        <w:rPr>
          <w:b/>
          <w:szCs w:val="22"/>
          <w:lang w:val="en-AU"/>
        </w:rPr>
        <w:t>Publication of the Approved Documents:</w:t>
      </w:r>
    </w:p>
    <w:p w14:paraId="78E8D994" w14:textId="77777777" w:rsidR="00BA34AB" w:rsidRPr="00BA34AB" w:rsidRDefault="00BA34AB" w:rsidP="00BA34AB">
      <w:pPr>
        <w:widowControl w:val="0"/>
        <w:jc w:val="both"/>
        <w:rPr>
          <w:bCs/>
          <w:szCs w:val="22"/>
          <w:lang w:val="en-AU"/>
        </w:rPr>
      </w:pPr>
    </w:p>
    <w:p w14:paraId="17EFFD5A" w14:textId="77777777" w:rsidR="00BA34AB" w:rsidRPr="00BA34AB" w:rsidRDefault="00BA34AB" w:rsidP="00BA34AB">
      <w:pPr>
        <w:widowControl w:val="0"/>
        <w:jc w:val="both"/>
        <w:rPr>
          <w:b/>
          <w:szCs w:val="22"/>
        </w:rPr>
      </w:pPr>
      <w:r w:rsidRPr="00BA34AB">
        <w:rPr>
          <w:bCs/>
          <w:szCs w:val="22"/>
          <w:lang w:val="en-AU"/>
        </w:rPr>
        <w:t>APT Secretariat will be responsible to maintain and publish the approved output documents on the APT Website. Distribution of the documents will be done by APT</w:t>
      </w:r>
    </w:p>
    <w:p w14:paraId="6CD71F76" w14:textId="77777777" w:rsidR="00BA34AB" w:rsidRPr="00BA34AB" w:rsidRDefault="00BA34AB" w:rsidP="00BA34AB">
      <w:pPr>
        <w:widowControl w:val="0"/>
        <w:jc w:val="both"/>
        <w:rPr>
          <w:szCs w:val="22"/>
        </w:rPr>
      </w:pPr>
    </w:p>
    <w:p w14:paraId="13DEF3CC" w14:textId="77777777" w:rsidR="00BA34AB" w:rsidRPr="00BA34AB" w:rsidRDefault="00BA34AB" w:rsidP="00BA34AB">
      <w:pPr>
        <w:widowControl w:val="0"/>
        <w:jc w:val="both"/>
        <w:rPr>
          <w:szCs w:val="22"/>
        </w:rPr>
      </w:pPr>
    </w:p>
    <w:p w14:paraId="6B3B8B62" w14:textId="77777777" w:rsidR="00BA34AB" w:rsidRPr="00BA34AB" w:rsidRDefault="00BA34AB" w:rsidP="00BA34AB">
      <w:pPr>
        <w:widowControl w:val="0"/>
        <w:jc w:val="center"/>
        <w:rPr>
          <w:rFonts w:eastAsia="Calibri" w:cs="Cordia New"/>
          <w:szCs w:val="22"/>
        </w:rPr>
      </w:pPr>
      <w:r w:rsidRPr="00BA34AB">
        <w:rPr>
          <w:rFonts w:eastAsia="Calibri" w:cs="Cordia New"/>
          <w:szCs w:val="22"/>
        </w:rPr>
        <w:t>________________________</w:t>
      </w:r>
    </w:p>
    <w:p w14:paraId="665F2A3B" w14:textId="77777777" w:rsidR="00BA34AB" w:rsidRPr="00BA34AB" w:rsidRDefault="00BA34AB" w:rsidP="00BA34AB">
      <w:pPr>
        <w:widowControl w:val="0"/>
        <w:jc w:val="both"/>
        <w:rPr>
          <w:szCs w:val="22"/>
        </w:rPr>
      </w:pPr>
    </w:p>
    <w:p w14:paraId="6BE40E8B" w14:textId="77777777" w:rsidR="00BA34AB" w:rsidRPr="00BA34AB" w:rsidRDefault="00BA34AB" w:rsidP="00BA34AB">
      <w:pPr>
        <w:widowControl w:val="0"/>
        <w:jc w:val="both"/>
        <w:rPr>
          <w:szCs w:val="22"/>
        </w:rPr>
      </w:pPr>
    </w:p>
    <w:p w14:paraId="270EE707" w14:textId="77777777" w:rsidR="00BA34AB" w:rsidRPr="00BA34AB" w:rsidRDefault="00BA34AB" w:rsidP="00BA34AB">
      <w:pPr>
        <w:widowControl w:val="0"/>
        <w:rPr>
          <w:rFonts w:eastAsia="Calibri" w:cs="Cordia New"/>
          <w:b/>
          <w:bCs/>
          <w:szCs w:val="22"/>
        </w:rPr>
      </w:pPr>
      <w:r w:rsidRPr="00BA34AB">
        <w:rPr>
          <w:rFonts w:eastAsia="Calibri" w:cs="Cordia New"/>
          <w:b/>
          <w:bCs/>
          <w:szCs w:val="22"/>
        </w:rPr>
        <w:t>Attachment:</w:t>
      </w:r>
    </w:p>
    <w:p w14:paraId="01C1CD31" w14:textId="77777777" w:rsidR="00BA34AB" w:rsidRPr="00BA34AB" w:rsidRDefault="00BA34AB" w:rsidP="00BA34AB">
      <w:pPr>
        <w:widowControl w:val="0"/>
        <w:rPr>
          <w:rFonts w:eastAsia="Calibri" w:cs="Cordia New"/>
          <w:szCs w:val="22"/>
        </w:rPr>
      </w:pPr>
    </w:p>
    <w:p w14:paraId="02E97585" w14:textId="77777777" w:rsidR="00BA34AB" w:rsidRPr="00BA34AB" w:rsidRDefault="00BA34AB" w:rsidP="00BA34AB">
      <w:pPr>
        <w:widowControl w:val="0"/>
        <w:rPr>
          <w:rFonts w:eastAsia="Calibri" w:cs="Cordia New"/>
          <w:szCs w:val="22"/>
        </w:rPr>
      </w:pPr>
      <w:r w:rsidRPr="00BA34AB">
        <w:rPr>
          <w:rFonts w:eastAsia="Calibri" w:cs="Cordia New"/>
          <w:szCs w:val="22"/>
        </w:rPr>
        <w:t>APT Documents Framework</w:t>
      </w:r>
    </w:p>
    <w:p w14:paraId="514E22F2" w14:textId="77777777" w:rsidR="00BA34AB" w:rsidRPr="00BA34AB" w:rsidRDefault="00BA34AB" w:rsidP="00BA34AB">
      <w:pPr>
        <w:widowControl w:val="0"/>
        <w:ind w:left="720"/>
        <w:rPr>
          <w:rFonts w:eastAsia="Calibri" w:cs="Cordia New"/>
          <w:szCs w:val="22"/>
        </w:rPr>
      </w:pPr>
    </w:p>
    <w:p w14:paraId="3D9F6E28" w14:textId="77777777" w:rsidR="00BA34AB" w:rsidRPr="00BA34AB" w:rsidRDefault="00BA34AB" w:rsidP="00BA34AB">
      <w:pPr>
        <w:widowControl w:val="0"/>
        <w:jc w:val="both"/>
        <w:rPr>
          <w:szCs w:val="22"/>
        </w:rPr>
      </w:pPr>
      <w:r w:rsidRPr="00BA34AB">
        <w:rPr>
          <w:szCs w:val="22"/>
        </w:rPr>
        <w:object w:dxaOrig="1301" w:dyaOrig="850" w14:anchorId="7F96E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43pt" o:ole="">
            <v:imagedata r:id="rId12" o:title=""/>
          </v:shape>
          <o:OLEObject Type="Embed" ProgID="AcroExch.Document.11" ShapeID="_x0000_i1025" DrawAspect="Icon" ObjectID="_1733683095" r:id="rId13"/>
        </w:object>
      </w:r>
    </w:p>
    <w:p w14:paraId="2851DB56" w14:textId="77777777" w:rsidR="00BA34AB" w:rsidRPr="00BA34AB" w:rsidRDefault="00BA34AB" w:rsidP="00BA34AB">
      <w:pPr>
        <w:widowControl w:val="0"/>
        <w:jc w:val="both"/>
        <w:rPr>
          <w:rFonts w:eastAsia="Calibri" w:cs="Cordia New"/>
          <w:szCs w:val="22"/>
        </w:rPr>
      </w:pPr>
    </w:p>
    <w:p w14:paraId="1D24F2EF" w14:textId="457772B6" w:rsidR="009844DA" w:rsidRDefault="009844DA" w:rsidP="00BA34AB">
      <w:pPr>
        <w:jc w:val="center"/>
      </w:pPr>
    </w:p>
    <w:sectPr w:rsidR="009844DA" w:rsidSect="0035324D">
      <w:headerReference w:type="default" r:id="rId14"/>
      <w:footerReference w:type="even" r:id="rId15"/>
      <w:footerReference w:type="default" r:id="rId16"/>
      <w:footerReference w:type="first" r:id="rId17"/>
      <w:pgSz w:w="11909" w:h="16834" w:code="9"/>
      <w:pgMar w:top="1152" w:right="1296" w:bottom="1296" w:left="1584"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99DDF" w14:textId="77777777" w:rsidR="007A7BA1" w:rsidRDefault="007A7BA1">
      <w:r>
        <w:separator/>
      </w:r>
    </w:p>
  </w:endnote>
  <w:endnote w:type="continuationSeparator" w:id="0">
    <w:p w14:paraId="2EF505E8" w14:textId="77777777" w:rsidR="007A7BA1" w:rsidRDefault="007A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Sans Serif">
    <w:panose1 w:val="020B0604020202020204"/>
    <w:charset w:val="00"/>
    <w:family w:val="swiss"/>
    <w:pitch w:val="variable"/>
    <w:sig w:usb0="E5002EFF" w:usb1="C000605B" w:usb2="00000029" w:usb3="00000000" w:csb0="000101FF" w:csb1="00000000"/>
  </w:font>
  <w:font w:name="GulimChe">
    <w:altName w:val="굴림체"/>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휴먼명조">
    <w:altName w:val="Arial Unicode MS"/>
    <w:charset w:val="81"/>
    <w:family w:val="roman"/>
    <w:pitch w:val="variable"/>
    <w:sig w:usb0="00000000" w:usb1="29D77CFB"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rinda">
    <w:panose1 w:val="00000400000000000000"/>
    <w:charset w:val="00"/>
    <w:family w:val="swiss"/>
    <w:pitch w:val="variable"/>
    <w:sig w:usb0="0001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F387"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AB6373"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763208"/>
      <w:docPartObj>
        <w:docPartGallery w:val="Page Numbers (Bottom of Page)"/>
        <w:docPartUnique/>
      </w:docPartObj>
    </w:sdtPr>
    <w:sdtContent>
      <w:sdt>
        <w:sdtPr>
          <w:id w:val="1563519746"/>
          <w:docPartObj>
            <w:docPartGallery w:val="Page Numbers (Top of Page)"/>
            <w:docPartUnique/>
          </w:docPartObj>
        </w:sdtPr>
        <w:sdtContent>
          <w:p w14:paraId="4815F8B1" w14:textId="1CC8C416" w:rsidR="00E731B0" w:rsidRDefault="00E731B0" w:rsidP="005A34B9">
            <w:pPr>
              <w:pStyle w:val="Footer"/>
              <w:tabs>
                <w:tab w:val="clear" w:pos="4320"/>
                <w:tab w:val="clear" w:pos="8640"/>
                <w:tab w:val="right" w:pos="9173"/>
              </w:tabs>
            </w:pP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Pr>
                <w:rStyle w:val="PageNumber"/>
              </w:rPr>
              <w:t>1</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Pr>
                <w:rStyle w:val="PageNumber"/>
              </w:rPr>
              <w:t>5</w:t>
            </w:r>
            <w:r w:rsidRPr="002C7EA9">
              <w:rPr>
                <w:rStyle w:val="PageNumber"/>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6A32" w14:textId="507BA948" w:rsidR="0035324D" w:rsidRDefault="0035324D" w:rsidP="0035324D">
    <w:pPr>
      <w:pStyle w:val="Footer"/>
      <w:tabs>
        <w:tab w:val="clear" w:pos="4320"/>
        <w:tab w:val="clear" w:pos="8640"/>
        <w:tab w:val="right" w:pos="9173"/>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3F899" w14:textId="77777777" w:rsidR="007A7BA1" w:rsidRDefault="007A7BA1">
      <w:r>
        <w:separator/>
      </w:r>
    </w:p>
  </w:footnote>
  <w:footnote w:type="continuationSeparator" w:id="0">
    <w:p w14:paraId="60843DD8" w14:textId="77777777" w:rsidR="007A7BA1" w:rsidRDefault="007A7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EF2B" w14:textId="77777777"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93A"/>
    <w:multiLevelType w:val="hybridMultilevel"/>
    <w:tmpl w:val="DFCC484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06A2F"/>
    <w:multiLevelType w:val="hybridMultilevel"/>
    <w:tmpl w:val="C234BE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B15FB"/>
    <w:multiLevelType w:val="hybridMultilevel"/>
    <w:tmpl w:val="C2000F9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11546EF4"/>
    <w:multiLevelType w:val="multilevel"/>
    <w:tmpl w:val="E98E8F9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BAE09A7"/>
    <w:multiLevelType w:val="multilevel"/>
    <w:tmpl w:val="FCA00C16"/>
    <w:lvl w:ilvl="0">
      <w:start w:val="1"/>
      <w:numFmt w:val="decimal"/>
      <w:lvlText w:val="%1."/>
      <w:lvlJc w:val="left"/>
      <w:pPr>
        <w:ind w:left="720" w:hanging="360"/>
      </w:pPr>
      <w:rPr>
        <w:rFonts w:ascii="Times New Roman Bold" w:hAnsi="Times New Roman Bold" w:cs="Microsoft Sans Serif" w:hint="default"/>
        <w:b/>
        <w:bCs/>
        <w:i w:val="0"/>
        <w:iCs w:val="0"/>
        <w:sz w:val="24"/>
        <w:szCs w:val="24"/>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5711B5C"/>
    <w:multiLevelType w:val="hybridMultilevel"/>
    <w:tmpl w:val="BA62F1CA"/>
    <w:lvl w:ilvl="0" w:tplc="1C707376">
      <w:numFmt w:val="bullet"/>
      <w:lvlText w:val="-"/>
      <w:lvlJc w:val="left"/>
      <w:pPr>
        <w:tabs>
          <w:tab w:val="num" w:pos="720"/>
        </w:tabs>
        <w:ind w:left="720" w:hanging="360"/>
      </w:pPr>
      <w:rPr>
        <w:rFonts w:ascii="Times New Roman" w:eastAsia="MS Mincho"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D701C"/>
    <w:multiLevelType w:val="multilevel"/>
    <w:tmpl w:val="B8DEC5C2"/>
    <w:lvl w:ilvl="0">
      <w:start w:val="1"/>
      <w:numFmt w:val="decimal"/>
      <w:lvlText w:val="%1."/>
      <w:lvlJc w:val="left"/>
      <w:pPr>
        <w:ind w:left="720" w:hanging="360"/>
      </w:pPr>
      <w:rPr>
        <w:rFonts w:ascii="Times New Roman Bold" w:hAnsi="Times New Roman Bold" w:cs="Microsoft Sans Serif" w:hint="default"/>
        <w:b/>
        <w:bCs/>
        <w:i w:val="0"/>
        <w:iCs w:val="0"/>
        <w:sz w:val="24"/>
        <w:szCs w:val="24"/>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A23352C"/>
    <w:multiLevelType w:val="hybridMultilevel"/>
    <w:tmpl w:val="4E22D00C"/>
    <w:lvl w:ilvl="0" w:tplc="04090001">
      <w:start w:val="1"/>
      <w:numFmt w:val="bullet"/>
      <w:lvlText w:val=""/>
      <w:lvlJc w:val="left"/>
      <w:pPr>
        <w:tabs>
          <w:tab w:val="num" w:pos="760"/>
        </w:tabs>
        <w:ind w:left="760" w:hanging="360"/>
      </w:pPr>
      <w:rPr>
        <w:rFonts w:ascii="Symbol" w:hAnsi="Symbol" w:hint="default"/>
      </w:rPr>
    </w:lvl>
    <w:lvl w:ilvl="1" w:tplc="C9766220">
      <w:numFmt w:val="bullet"/>
      <w:lvlText w:val="-"/>
      <w:lvlJc w:val="left"/>
      <w:pPr>
        <w:tabs>
          <w:tab w:val="num" w:pos="1160"/>
        </w:tabs>
        <w:ind w:left="1160" w:hanging="360"/>
      </w:pPr>
      <w:rPr>
        <w:rFonts w:ascii="Times New Roman" w:eastAsia="휴먼명조"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2EEE0F6B"/>
    <w:multiLevelType w:val="hybridMultilevel"/>
    <w:tmpl w:val="38B049D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4" w15:restartNumberingAfterBreak="0">
    <w:nsid w:val="31F119E6"/>
    <w:multiLevelType w:val="hybridMultilevel"/>
    <w:tmpl w:val="6E44B47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5593D"/>
    <w:multiLevelType w:val="hybridMultilevel"/>
    <w:tmpl w:val="7B98F79E"/>
    <w:lvl w:ilvl="0" w:tplc="E5B2A3D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38903686"/>
    <w:multiLevelType w:val="hybridMultilevel"/>
    <w:tmpl w:val="3AA68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C634FFD"/>
    <w:multiLevelType w:val="hybridMultilevel"/>
    <w:tmpl w:val="B7E2E26A"/>
    <w:lvl w:ilvl="0" w:tplc="FFFFFFFF">
      <w:start w:val="4"/>
      <w:numFmt w:val="bullet"/>
      <w:lvlText w:val="-"/>
      <w:lvlJc w:val="left"/>
      <w:pPr>
        <w:tabs>
          <w:tab w:val="num" w:pos="760"/>
        </w:tabs>
        <w:ind w:left="760" w:hanging="360"/>
      </w:pPr>
      <w:rPr>
        <w:rFonts w:ascii="Times New Roman" w:eastAsia="Batang" w:hAnsi="Times New Roman" w:cs="Times New Roman" w:hint="default"/>
      </w:rPr>
    </w:lvl>
    <w:lvl w:ilvl="1" w:tplc="FFFFFFFF">
      <w:start w:val="4"/>
      <w:numFmt w:val="bullet"/>
      <w:lvlText w:val="-"/>
      <w:lvlJc w:val="left"/>
      <w:pPr>
        <w:tabs>
          <w:tab w:val="num" w:pos="1160"/>
        </w:tabs>
        <w:ind w:left="1160" w:hanging="360"/>
      </w:pPr>
      <w:rPr>
        <w:rFonts w:ascii="Times New Roman" w:eastAsia="Batang" w:hAnsi="Times New Roman" w:cs="Times New Roman" w:hint="default"/>
      </w:rPr>
    </w:lvl>
    <w:lvl w:ilvl="2" w:tplc="FFFFFFFF" w:tentative="1">
      <w:start w:val="1"/>
      <w:numFmt w:val="bullet"/>
      <w:lvlText w:val=""/>
      <w:lvlJc w:val="left"/>
      <w:pPr>
        <w:tabs>
          <w:tab w:val="num" w:pos="1600"/>
        </w:tabs>
        <w:ind w:left="1600" w:hanging="400"/>
      </w:pPr>
      <w:rPr>
        <w:rFonts w:ascii="Wingdings" w:hAnsi="Wingdings"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41D83340"/>
    <w:multiLevelType w:val="hybridMultilevel"/>
    <w:tmpl w:val="EC426078"/>
    <w:lvl w:ilvl="0" w:tplc="FFFFFFFF">
      <w:start w:val="4"/>
      <w:numFmt w:val="bullet"/>
      <w:lvlText w:val="-"/>
      <w:lvlJc w:val="left"/>
      <w:pPr>
        <w:tabs>
          <w:tab w:val="num" w:pos="760"/>
        </w:tabs>
        <w:ind w:left="760" w:hanging="360"/>
      </w:pPr>
      <w:rPr>
        <w:rFonts w:ascii="Times New Roman" w:eastAsia="Batang" w:hAnsi="Times New Roman" w:cs="Times New Roman" w:hint="default"/>
      </w:rPr>
    </w:lvl>
    <w:lvl w:ilvl="1" w:tplc="FFFFFFFF">
      <w:start w:val="1"/>
      <w:numFmt w:val="bullet"/>
      <w:lvlText w:val=""/>
      <w:lvlJc w:val="left"/>
      <w:pPr>
        <w:tabs>
          <w:tab w:val="num" w:pos="1200"/>
        </w:tabs>
        <w:ind w:left="1200" w:hanging="400"/>
      </w:pPr>
      <w:rPr>
        <w:rFonts w:ascii="Wingdings" w:hAnsi="Wingdings" w:hint="default"/>
      </w:rPr>
    </w:lvl>
    <w:lvl w:ilvl="2" w:tplc="FFFFFFFF" w:tentative="1">
      <w:start w:val="1"/>
      <w:numFmt w:val="bullet"/>
      <w:lvlText w:val=""/>
      <w:lvlJc w:val="left"/>
      <w:pPr>
        <w:tabs>
          <w:tab w:val="num" w:pos="1600"/>
        </w:tabs>
        <w:ind w:left="1600" w:hanging="400"/>
      </w:pPr>
      <w:rPr>
        <w:rFonts w:ascii="Wingdings" w:hAnsi="Wingdings"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21" w15:restartNumberingAfterBreak="0">
    <w:nsid w:val="41DC63D2"/>
    <w:multiLevelType w:val="hybridMultilevel"/>
    <w:tmpl w:val="5B541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400108"/>
    <w:multiLevelType w:val="hybridMultilevel"/>
    <w:tmpl w:val="41A6F45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784DA6"/>
    <w:multiLevelType w:val="multilevel"/>
    <w:tmpl w:val="81749FF4"/>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A335985"/>
    <w:multiLevelType w:val="hybridMultilevel"/>
    <w:tmpl w:val="D42C4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C44DE9"/>
    <w:multiLevelType w:val="hybridMultilevel"/>
    <w:tmpl w:val="037AD77C"/>
    <w:lvl w:ilvl="0" w:tplc="AC1E6CCA">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60216A"/>
    <w:multiLevelType w:val="hybridMultilevel"/>
    <w:tmpl w:val="41A6F45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A25172"/>
    <w:multiLevelType w:val="multilevel"/>
    <w:tmpl w:val="92E25646"/>
    <w:lvl w:ilvl="0">
      <w:start w:val="7"/>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4BB3307"/>
    <w:multiLevelType w:val="hybridMultilevel"/>
    <w:tmpl w:val="B7B64B0E"/>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0B6AEB"/>
    <w:multiLevelType w:val="hybridMultilevel"/>
    <w:tmpl w:val="E9EA5F8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C169F1"/>
    <w:multiLevelType w:val="multilevel"/>
    <w:tmpl w:val="23DAA5F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CE8451B"/>
    <w:multiLevelType w:val="hybridMultilevel"/>
    <w:tmpl w:val="5A5E3260"/>
    <w:lvl w:ilvl="0" w:tplc="04090019">
      <w:start w:val="1"/>
      <w:numFmt w:val="lowerLetter"/>
      <w:lvlText w:val="%1."/>
      <w:lvlJc w:val="left"/>
      <w:pPr>
        <w:tabs>
          <w:tab w:val="num" w:pos="760"/>
        </w:tabs>
        <w:ind w:left="760" w:hanging="360"/>
      </w:pPr>
      <w:rPr>
        <w:rFonts w:hint="default"/>
      </w:rPr>
    </w:lvl>
    <w:lvl w:ilvl="1" w:tplc="C9766220">
      <w:numFmt w:val="bullet"/>
      <w:lvlText w:val="-"/>
      <w:lvlJc w:val="left"/>
      <w:pPr>
        <w:tabs>
          <w:tab w:val="num" w:pos="1160"/>
        </w:tabs>
        <w:ind w:left="1160" w:hanging="360"/>
      </w:pPr>
      <w:rPr>
        <w:rFonts w:ascii="Times New Roman" w:eastAsia="휴먼명조"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2"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3" w15:restartNumberingAfterBreak="0">
    <w:nsid w:val="72AA471A"/>
    <w:multiLevelType w:val="multilevel"/>
    <w:tmpl w:val="93AEEAD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7E3215C0"/>
    <w:multiLevelType w:val="hybridMultilevel"/>
    <w:tmpl w:val="41A6F45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9986136">
    <w:abstractNumId w:val="16"/>
  </w:num>
  <w:num w:numId="2" w16cid:durableId="1857117479">
    <w:abstractNumId w:val="8"/>
  </w:num>
  <w:num w:numId="3" w16cid:durableId="1497988250">
    <w:abstractNumId w:val="7"/>
  </w:num>
  <w:num w:numId="4" w16cid:durableId="112795741">
    <w:abstractNumId w:val="32"/>
  </w:num>
  <w:num w:numId="5" w16cid:durableId="1207792863">
    <w:abstractNumId w:val="13"/>
  </w:num>
  <w:num w:numId="6" w16cid:durableId="1470048789">
    <w:abstractNumId w:val="17"/>
  </w:num>
  <w:num w:numId="7" w16cid:durableId="420179554">
    <w:abstractNumId w:val="6"/>
  </w:num>
  <w:num w:numId="8" w16cid:durableId="1661888305">
    <w:abstractNumId w:val="3"/>
  </w:num>
  <w:num w:numId="9" w16cid:durableId="26181198">
    <w:abstractNumId w:val="24"/>
  </w:num>
  <w:num w:numId="10" w16cid:durableId="13062053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9549447">
    <w:abstractNumId w:val="5"/>
  </w:num>
  <w:num w:numId="12" w16cid:durableId="90399527">
    <w:abstractNumId w:val="31"/>
  </w:num>
  <w:num w:numId="13" w16cid:durableId="982662279">
    <w:abstractNumId w:val="27"/>
  </w:num>
  <w:num w:numId="14" w16cid:durableId="820847632">
    <w:abstractNumId w:val="23"/>
  </w:num>
  <w:num w:numId="15" w16cid:durableId="1414430538">
    <w:abstractNumId w:val="11"/>
  </w:num>
  <w:num w:numId="16" w16cid:durableId="1543205121">
    <w:abstractNumId w:val="20"/>
  </w:num>
  <w:num w:numId="17" w16cid:durableId="427893353">
    <w:abstractNumId w:val="30"/>
  </w:num>
  <w:num w:numId="18" w16cid:durableId="1207135198">
    <w:abstractNumId w:val="9"/>
  </w:num>
  <w:num w:numId="19" w16cid:durableId="1615861773">
    <w:abstractNumId w:val="19"/>
  </w:num>
  <w:num w:numId="20" w16cid:durableId="199366949">
    <w:abstractNumId w:val="21"/>
  </w:num>
  <w:num w:numId="21" w16cid:durableId="732309482">
    <w:abstractNumId w:val="33"/>
  </w:num>
  <w:num w:numId="22" w16cid:durableId="1321890888">
    <w:abstractNumId w:val="4"/>
  </w:num>
  <w:num w:numId="23" w16cid:durableId="1776367060">
    <w:abstractNumId w:val="15"/>
  </w:num>
  <w:num w:numId="24" w16cid:durableId="329144405">
    <w:abstractNumId w:val="34"/>
  </w:num>
  <w:num w:numId="25" w16cid:durableId="1541547034">
    <w:abstractNumId w:val="14"/>
  </w:num>
  <w:num w:numId="26" w16cid:durableId="1136876911">
    <w:abstractNumId w:val="12"/>
  </w:num>
  <w:num w:numId="27" w16cid:durableId="1528567293">
    <w:abstractNumId w:val="0"/>
  </w:num>
  <w:num w:numId="28" w16cid:durableId="1667588886">
    <w:abstractNumId w:val="2"/>
  </w:num>
  <w:num w:numId="29" w16cid:durableId="1661034030">
    <w:abstractNumId w:val="1"/>
  </w:num>
  <w:num w:numId="30" w16cid:durableId="673535971">
    <w:abstractNumId w:val="28"/>
  </w:num>
  <w:num w:numId="31" w16cid:durableId="1957446221">
    <w:abstractNumId w:val="29"/>
  </w:num>
  <w:num w:numId="32" w16cid:durableId="1664360257">
    <w:abstractNumId w:val="26"/>
  </w:num>
  <w:num w:numId="33" w16cid:durableId="352071133">
    <w:abstractNumId w:val="10"/>
  </w:num>
  <w:num w:numId="34" w16cid:durableId="1629045569">
    <w:abstractNumId w:val="22"/>
  </w:num>
  <w:num w:numId="35" w16cid:durableId="81915420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3MzczNjMxsDQxMzJU0lEKTi0uzszPAykwqQUAFfujhiwAAAA="/>
  </w:docVars>
  <w:rsids>
    <w:rsidRoot w:val="00597B21"/>
    <w:rsid w:val="000011E8"/>
    <w:rsid w:val="000034F7"/>
    <w:rsid w:val="00016185"/>
    <w:rsid w:val="00020262"/>
    <w:rsid w:val="0002660D"/>
    <w:rsid w:val="00032A21"/>
    <w:rsid w:val="00033154"/>
    <w:rsid w:val="0003592B"/>
    <w:rsid w:val="0003595B"/>
    <w:rsid w:val="000403A2"/>
    <w:rsid w:val="00041A13"/>
    <w:rsid w:val="00063262"/>
    <w:rsid w:val="00064A45"/>
    <w:rsid w:val="00067CE1"/>
    <w:rsid w:val="00075421"/>
    <w:rsid w:val="00075A20"/>
    <w:rsid w:val="00084D77"/>
    <w:rsid w:val="00086193"/>
    <w:rsid w:val="00092B54"/>
    <w:rsid w:val="0009343A"/>
    <w:rsid w:val="000A23A3"/>
    <w:rsid w:val="000A4256"/>
    <w:rsid w:val="000A6769"/>
    <w:rsid w:val="000B4493"/>
    <w:rsid w:val="000B72ED"/>
    <w:rsid w:val="000C7987"/>
    <w:rsid w:val="000D0A46"/>
    <w:rsid w:val="000E4FEC"/>
    <w:rsid w:val="000E5844"/>
    <w:rsid w:val="000F2E90"/>
    <w:rsid w:val="000F5540"/>
    <w:rsid w:val="000F5C21"/>
    <w:rsid w:val="001061A7"/>
    <w:rsid w:val="00107B95"/>
    <w:rsid w:val="001129FF"/>
    <w:rsid w:val="0012663C"/>
    <w:rsid w:val="0012771F"/>
    <w:rsid w:val="0014145A"/>
    <w:rsid w:val="00141E3D"/>
    <w:rsid w:val="001533FC"/>
    <w:rsid w:val="00163612"/>
    <w:rsid w:val="00166088"/>
    <w:rsid w:val="0018079A"/>
    <w:rsid w:val="001819A5"/>
    <w:rsid w:val="0019243C"/>
    <w:rsid w:val="001927C1"/>
    <w:rsid w:val="00194770"/>
    <w:rsid w:val="00196568"/>
    <w:rsid w:val="001A1BE1"/>
    <w:rsid w:val="001B18C2"/>
    <w:rsid w:val="001C31EA"/>
    <w:rsid w:val="001C56DD"/>
    <w:rsid w:val="001C657A"/>
    <w:rsid w:val="001D1379"/>
    <w:rsid w:val="001D5D7E"/>
    <w:rsid w:val="001E2CF7"/>
    <w:rsid w:val="001F5087"/>
    <w:rsid w:val="001F593B"/>
    <w:rsid w:val="002018D5"/>
    <w:rsid w:val="00203C79"/>
    <w:rsid w:val="00212432"/>
    <w:rsid w:val="00212D31"/>
    <w:rsid w:val="00222099"/>
    <w:rsid w:val="00231E2C"/>
    <w:rsid w:val="002458F8"/>
    <w:rsid w:val="00254A1B"/>
    <w:rsid w:val="00254CB1"/>
    <w:rsid w:val="0025523A"/>
    <w:rsid w:val="00260E1E"/>
    <w:rsid w:val="00262EAB"/>
    <w:rsid w:val="002705B9"/>
    <w:rsid w:val="0027323B"/>
    <w:rsid w:val="0028148C"/>
    <w:rsid w:val="00281950"/>
    <w:rsid w:val="0028454D"/>
    <w:rsid w:val="0029014F"/>
    <w:rsid w:val="002926D4"/>
    <w:rsid w:val="00296540"/>
    <w:rsid w:val="002A49B6"/>
    <w:rsid w:val="002A578F"/>
    <w:rsid w:val="002A5855"/>
    <w:rsid w:val="002B6B30"/>
    <w:rsid w:val="002C07DA"/>
    <w:rsid w:val="002C359F"/>
    <w:rsid w:val="002C6F4F"/>
    <w:rsid w:val="002C7EA9"/>
    <w:rsid w:val="002D38FE"/>
    <w:rsid w:val="002D3E1F"/>
    <w:rsid w:val="002D7DC0"/>
    <w:rsid w:val="002E4B04"/>
    <w:rsid w:val="002E5B6D"/>
    <w:rsid w:val="002F1DA1"/>
    <w:rsid w:val="002F2C66"/>
    <w:rsid w:val="00304E52"/>
    <w:rsid w:val="00324960"/>
    <w:rsid w:val="00331DFB"/>
    <w:rsid w:val="0033423B"/>
    <w:rsid w:val="00344E15"/>
    <w:rsid w:val="00350F0D"/>
    <w:rsid w:val="00352589"/>
    <w:rsid w:val="0035324D"/>
    <w:rsid w:val="003578AB"/>
    <w:rsid w:val="00362C91"/>
    <w:rsid w:val="00364F07"/>
    <w:rsid w:val="0036505B"/>
    <w:rsid w:val="00367F5A"/>
    <w:rsid w:val="003771CA"/>
    <w:rsid w:val="00384F78"/>
    <w:rsid w:val="00390C5D"/>
    <w:rsid w:val="003937C8"/>
    <w:rsid w:val="003A232C"/>
    <w:rsid w:val="003A3FB7"/>
    <w:rsid w:val="003A5508"/>
    <w:rsid w:val="003B28B9"/>
    <w:rsid w:val="003B2AED"/>
    <w:rsid w:val="003B3E57"/>
    <w:rsid w:val="003B6263"/>
    <w:rsid w:val="003C16DE"/>
    <w:rsid w:val="003C232E"/>
    <w:rsid w:val="003C2481"/>
    <w:rsid w:val="003C55AE"/>
    <w:rsid w:val="003C5E86"/>
    <w:rsid w:val="003C64A7"/>
    <w:rsid w:val="003D3FDA"/>
    <w:rsid w:val="003D4768"/>
    <w:rsid w:val="003D7783"/>
    <w:rsid w:val="003E0E68"/>
    <w:rsid w:val="003E10E0"/>
    <w:rsid w:val="003E2277"/>
    <w:rsid w:val="003E3FBA"/>
    <w:rsid w:val="003E42B6"/>
    <w:rsid w:val="003E448E"/>
    <w:rsid w:val="003F2317"/>
    <w:rsid w:val="0040281A"/>
    <w:rsid w:val="00403006"/>
    <w:rsid w:val="004065D6"/>
    <w:rsid w:val="0040712A"/>
    <w:rsid w:val="00410107"/>
    <w:rsid w:val="00414585"/>
    <w:rsid w:val="0041537F"/>
    <w:rsid w:val="00420822"/>
    <w:rsid w:val="004235FD"/>
    <w:rsid w:val="004273FA"/>
    <w:rsid w:val="0044529B"/>
    <w:rsid w:val="00452BE6"/>
    <w:rsid w:val="004537FD"/>
    <w:rsid w:val="0045458F"/>
    <w:rsid w:val="00481A00"/>
    <w:rsid w:val="00486F61"/>
    <w:rsid w:val="00495AFE"/>
    <w:rsid w:val="00496497"/>
    <w:rsid w:val="0049755A"/>
    <w:rsid w:val="004C275C"/>
    <w:rsid w:val="004D65B4"/>
    <w:rsid w:val="004E3B5E"/>
    <w:rsid w:val="004E3DF1"/>
    <w:rsid w:val="004E6516"/>
    <w:rsid w:val="004F050A"/>
    <w:rsid w:val="004F289B"/>
    <w:rsid w:val="004F4F22"/>
    <w:rsid w:val="004F7E1A"/>
    <w:rsid w:val="00503289"/>
    <w:rsid w:val="00510174"/>
    <w:rsid w:val="005170ED"/>
    <w:rsid w:val="00520EEE"/>
    <w:rsid w:val="005261D1"/>
    <w:rsid w:val="00530E8C"/>
    <w:rsid w:val="005320DC"/>
    <w:rsid w:val="00532566"/>
    <w:rsid w:val="00545CF7"/>
    <w:rsid w:val="00547F4A"/>
    <w:rsid w:val="00560034"/>
    <w:rsid w:val="00561982"/>
    <w:rsid w:val="0057094B"/>
    <w:rsid w:val="00573A56"/>
    <w:rsid w:val="00580DCA"/>
    <w:rsid w:val="00580DD0"/>
    <w:rsid w:val="00587875"/>
    <w:rsid w:val="00590E2D"/>
    <w:rsid w:val="005930E0"/>
    <w:rsid w:val="00597B21"/>
    <w:rsid w:val="005A1B76"/>
    <w:rsid w:val="005A32CF"/>
    <w:rsid w:val="005A33DF"/>
    <w:rsid w:val="005A34B9"/>
    <w:rsid w:val="005B272A"/>
    <w:rsid w:val="005B2D67"/>
    <w:rsid w:val="005B3090"/>
    <w:rsid w:val="005B3FE1"/>
    <w:rsid w:val="005C2361"/>
    <w:rsid w:val="005C26A7"/>
    <w:rsid w:val="005C7E76"/>
    <w:rsid w:val="005E0874"/>
    <w:rsid w:val="005E3D29"/>
    <w:rsid w:val="005F2CE3"/>
    <w:rsid w:val="006049B7"/>
    <w:rsid w:val="00607E2B"/>
    <w:rsid w:val="00613005"/>
    <w:rsid w:val="00614171"/>
    <w:rsid w:val="00615973"/>
    <w:rsid w:val="00616CDD"/>
    <w:rsid w:val="00627E64"/>
    <w:rsid w:val="0063062B"/>
    <w:rsid w:val="00632172"/>
    <w:rsid w:val="006366C0"/>
    <w:rsid w:val="00637CE9"/>
    <w:rsid w:val="00646D6E"/>
    <w:rsid w:val="006473CD"/>
    <w:rsid w:val="00656939"/>
    <w:rsid w:val="00657992"/>
    <w:rsid w:val="00667229"/>
    <w:rsid w:val="0067040A"/>
    <w:rsid w:val="00675F1E"/>
    <w:rsid w:val="00682BE5"/>
    <w:rsid w:val="006872EA"/>
    <w:rsid w:val="00691127"/>
    <w:rsid w:val="006A10D9"/>
    <w:rsid w:val="006B0CF9"/>
    <w:rsid w:val="006B2A73"/>
    <w:rsid w:val="006B704C"/>
    <w:rsid w:val="006C7574"/>
    <w:rsid w:val="006D0B02"/>
    <w:rsid w:val="006D215E"/>
    <w:rsid w:val="006D38D1"/>
    <w:rsid w:val="006E4139"/>
    <w:rsid w:val="006F1882"/>
    <w:rsid w:val="00717A57"/>
    <w:rsid w:val="00722FB4"/>
    <w:rsid w:val="0074190C"/>
    <w:rsid w:val="007459C6"/>
    <w:rsid w:val="007462CE"/>
    <w:rsid w:val="00757866"/>
    <w:rsid w:val="00762576"/>
    <w:rsid w:val="00764FF9"/>
    <w:rsid w:val="00765811"/>
    <w:rsid w:val="00766C1A"/>
    <w:rsid w:val="007749A0"/>
    <w:rsid w:val="00774F85"/>
    <w:rsid w:val="007846EB"/>
    <w:rsid w:val="007A2FB0"/>
    <w:rsid w:val="007A6AFE"/>
    <w:rsid w:val="007A7BA1"/>
    <w:rsid w:val="007B215B"/>
    <w:rsid w:val="007B3077"/>
    <w:rsid w:val="007B46A1"/>
    <w:rsid w:val="007C1666"/>
    <w:rsid w:val="007C6F92"/>
    <w:rsid w:val="007D4EF3"/>
    <w:rsid w:val="007D721C"/>
    <w:rsid w:val="007E200B"/>
    <w:rsid w:val="007E6C90"/>
    <w:rsid w:val="007F6767"/>
    <w:rsid w:val="007F7740"/>
    <w:rsid w:val="00802382"/>
    <w:rsid w:val="0080570B"/>
    <w:rsid w:val="008148E1"/>
    <w:rsid w:val="00825F84"/>
    <w:rsid w:val="0084237B"/>
    <w:rsid w:val="00842618"/>
    <w:rsid w:val="00845956"/>
    <w:rsid w:val="008576B0"/>
    <w:rsid w:val="00865017"/>
    <w:rsid w:val="0086759F"/>
    <w:rsid w:val="00875BA7"/>
    <w:rsid w:val="0088109B"/>
    <w:rsid w:val="0089293E"/>
    <w:rsid w:val="00895888"/>
    <w:rsid w:val="008A0610"/>
    <w:rsid w:val="008A3B73"/>
    <w:rsid w:val="008B57AE"/>
    <w:rsid w:val="008C1E4D"/>
    <w:rsid w:val="008C1EC1"/>
    <w:rsid w:val="008C2AFB"/>
    <w:rsid w:val="008C59FC"/>
    <w:rsid w:val="008D0E09"/>
    <w:rsid w:val="008D244E"/>
    <w:rsid w:val="008E4FD4"/>
    <w:rsid w:val="008F4C32"/>
    <w:rsid w:val="009032B9"/>
    <w:rsid w:val="00906EB0"/>
    <w:rsid w:val="00907BFC"/>
    <w:rsid w:val="00916B6C"/>
    <w:rsid w:val="00920E1F"/>
    <w:rsid w:val="00922A59"/>
    <w:rsid w:val="00923533"/>
    <w:rsid w:val="009237D7"/>
    <w:rsid w:val="00930459"/>
    <w:rsid w:val="00930A6B"/>
    <w:rsid w:val="00936852"/>
    <w:rsid w:val="009408F1"/>
    <w:rsid w:val="00950D9E"/>
    <w:rsid w:val="009610F3"/>
    <w:rsid w:val="00970405"/>
    <w:rsid w:val="0097268D"/>
    <w:rsid w:val="0097437C"/>
    <w:rsid w:val="00974E5A"/>
    <w:rsid w:val="0097693B"/>
    <w:rsid w:val="009844DA"/>
    <w:rsid w:val="009A0A05"/>
    <w:rsid w:val="009A4A6D"/>
    <w:rsid w:val="009C0C03"/>
    <w:rsid w:val="009C2F61"/>
    <w:rsid w:val="009C3A88"/>
    <w:rsid w:val="009D0984"/>
    <w:rsid w:val="009E4197"/>
    <w:rsid w:val="009F0962"/>
    <w:rsid w:val="00A00B7F"/>
    <w:rsid w:val="00A03BFB"/>
    <w:rsid w:val="00A0726D"/>
    <w:rsid w:val="00A0758E"/>
    <w:rsid w:val="00A123E8"/>
    <w:rsid w:val="00A17EFC"/>
    <w:rsid w:val="00A254F3"/>
    <w:rsid w:val="00A2717E"/>
    <w:rsid w:val="00A37470"/>
    <w:rsid w:val="00A438A8"/>
    <w:rsid w:val="00A44BFA"/>
    <w:rsid w:val="00A53045"/>
    <w:rsid w:val="00A548EF"/>
    <w:rsid w:val="00A60649"/>
    <w:rsid w:val="00A648AF"/>
    <w:rsid w:val="00A720C7"/>
    <w:rsid w:val="00A768AB"/>
    <w:rsid w:val="00A91377"/>
    <w:rsid w:val="00A92F36"/>
    <w:rsid w:val="00A935CD"/>
    <w:rsid w:val="00A93F0D"/>
    <w:rsid w:val="00A948CF"/>
    <w:rsid w:val="00A95EF9"/>
    <w:rsid w:val="00AA35B4"/>
    <w:rsid w:val="00AA41DB"/>
    <w:rsid w:val="00AA474C"/>
    <w:rsid w:val="00AA52CA"/>
    <w:rsid w:val="00AA5E97"/>
    <w:rsid w:val="00AA6FBB"/>
    <w:rsid w:val="00AB032C"/>
    <w:rsid w:val="00AB50BD"/>
    <w:rsid w:val="00AC786A"/>
    <w:rsid w:val="00AC7E50"/>
    <w:rsid w:val="00AD7E5F"/>
    <w:rsid w:val="00AE25D5"/>
    <w:rsid w:val="00AE5C29"/>
    <w:rsid w:val="00AF3B52"/>
    <w:rsid w:val="00AF6CF8"/>
    <w:rsid w:val="00AF6D10"/>
    <w:rsid w:val="00AF781B"/>
    <w:rsid w:val="00B00D09"/>
    <w:rsid w:val="00B01761"/>
    <w:rsid w:val="00B064AB"/>
    <w:rsid w:val="00B25D6A"/>
    <w:rsid w:val="00B30C81"/>
    <w:rsid w:val="00B33766"/>
    <w:rsid w:val="00B346A5"/>
    <w:rsid w:val="00B45E3A"/>
    <w:rsid w:val="00B4602A"/>
    <w:rsid w:val="00B52CD2"/>
    <w:rsid w:val="00B60EC3"/>
    <w:rsid w:val="00B6385B"/>
    <w:rsid w:val="00B658E0"/>
    <w:rsid w:val="00B65B3A"/>
    <w:rsid w:val="00B677EA"/>
    <w:rsid w:val="00B740A6"/>
    <w:rsid w:val="00B76D0B"/>
    <w:rsid w:val="00B832DE"/>
    <w:rsid w:val="00B8673C"/>
    <w:rsid w:val="00B87B2E"/>
    <w:rsid w:val="00B96272"/>
    <w:rsid w:val="00B9726C"/>
    <w:rsid w:val="00BA34AB"/>
    <w:rsid w:val="00BB17F3"/>
    <w:rsid w:val="00BB3239"/>
    <w:rsid w:val="00BB4D83"/>
    <w:rsid w:val="00BE187B"/>
    <w:rsid w:val="00BF333F"/>
    <w:rsid w:val="00BF3E9C"/>
    <w:rsid w:val="00BF663E"/>
    <w:rsid w:val="00BF72A4"/>
    <w:rsid w:val="00C0413C"/>
    <w:rsid w:val="00C15633"/>
    <w:rsid w:val="00C21C88"/>
    <w:rsid w:val="00C3055F"/>
    <w:rsid w:val="00C30F0F"/>
    <w:rsid w:val="00C32C04"/>
    <w:rsid w:val="00C357AD"/>
    <w:rsid w:val="00C4106D"/>
    <w:rsid w:val="00C4278E"/>
    <w:rsid w:val="00C61960"/>
    <w:rsid w:val="00C67285"/>
    <w:rsid w:val="00C73164"/>
    <w:rsid w:val="00C75054"/>
    <w:rsid w:val="00C774CF"/>
    <w:rsid w:val="00C8785C"/>
    <w:rsid w:val="00CB2B00"/>
    <w:rsid w:val="00CB5A9D"/>
    <w:rsid w:val="00CB791F"/>
    <w:rsid w:val="00CC4FFE"/>
    <w:rsid w:val="00CC70C1"/>
    <w:rsid w:val="00CD4DBA"/>
    <w:rsid w:val="00CD531B"/>
    <w:rsid w:val="00CD5431"/>
    <w:rsid w:val="00CD75B4"/>
    <w:rsid w:val="00CE74EB"/>
    <w:rsid w:val="00CE7A65"/>
    <w:rsid w:val="00CF2491"/>
    <w:rsid w:val="00CF7028"/>
    <w:rsid w:val="00D07087"/>
    <w:rsid w:val="00D23ED7"/>
    <w:rsid w:val="00D40798"/>
    <w:rsid w:val="00D409C4"/>
    <w:rsid w:val="00D4148A"/>
    <w:rsid w:val="00D42301"/>
    <w:rsid w:val="00D46DFB"/>
    <w:rsid w:val="00D5704D"/>
    <w:rsid w:val="00D57772"/>
    <w:rsid w:val="00D61449"/>
    <w:rsid w:val="00D65D94"/>
    <w:rsid w:val="00D74542"/>
    <w:rsid w:val="00D75A4D"/>
    <w:rsid w:val="00D816BB"/>
    <w:rsid w:val="00D83609"/>
    <w:rsid w:val="00D8478B"/>
    <w:rsid w:val="00D86151"/>
    <w:rsid w:val="00D94A8E"/>
    <w:rsid w:val="00DA7595"/>
    <w:rsid w:val="00DB0A68"/>
    <w:rsid w:val="00DB7E1B"/>
    <w:rsid w:val="00DC3BF1"/>
    <w:rsid w:val="00DC426A"/>
    <w:rsid w:val="00DC43A3"/>
    <w:rsid w:val="00DD0594"/>
    <w:rsid w:val="00DD68FC"/>
    <w:rsid w:val="00DE2C83"/>
    <w:rsid w:val="00DE4D0D"/>
    <w:rsid w:val="00DF77B1"/>
    <w:rsid w:val="00E01282"/>
    <w:rsid w:val="00E02863"/>
    <w:rsid w:val="00E031B8"/>
    <w:rsid w:val="00E035A1"/>
    <w:rsid w:val="00E11CD0"/>
    <w:rsid w:val="00E11EE6"/>
    <w:rsid w:val="00E3442B"/>
    <w:rsid w:val="00E36039"/>
    <w:rsid w:val="00E42F14"/>
    <w:rsid w:val="00E440A8"/>
    <w:rsid w:val="00E516C1"/>
    <w:rsid w:val="00E554BC"/>
    <w:rsid w:val="00E6028C"/>
    <w:rsid w:val="00E674D3"/>
    <w:rsid w:val="00E70314"/>
    <w:rsid w:val="00E731B0"/>
    <w:rsid w:val="00E7790F"/>
    <w:rsid w:val="00E80309"/>
    <w:rsid w:val="00E875F7"/>
    <w:rsid w:val="00E92CE8"/>
    <w:rsid w:val="00E97EE7"/>
    <w:rsid w:val="00EA5C74"/>
    <w:rsid w:val="00EC1A88"/>
    <w:rsid w:val="00EC73F1"/>
    <w:rsid w:val="00ED04A9"/>
    <w:rsid w:val="00ED40AA"/>
    <w:rsid w:val="00EE29A8"/>
    <w:rsid w:val="00EF2EBB"/>
    <w:rsid w:val="00EF7D0B"/>
    <w:rsid w:val="00F05910"/>
    <w:rsid w:val="00F0755F"/>
    <w:rsid w:val="00F26182"/>
    <w:rsid w:val="00F373F5"/>
    <w:rsid w:val="00F4283C"/>
    <w:rsid w:val="00F466EA"/>
    <w:rsid w:val="00F50C58"/>
    <w:rsid w:val="00F51BF7"/>
    <w:rsid w:val="00F526C0"/>
    <w:rsid w:val="00F54080"/>
    <w:rsid w:val="00F57986"/>
    <w:rsid w:val="00F57EF1"/>
    <w:rsid w:val="00F602E4"/>
    <w:rsid w:val="00F607B0"/>
    <w:rsid w:val="00F6165B"/>
    <w:rsid w:val="00F7187E"/>
    <w:rsid w:val="00F80501"/>
    <w:rsid w:val="00F814E5"/>
    <w:rsid w:val="00F83615"/>
    <w:rsid w:val="00F84067"/>
    <w:rsid w:val="00F91F32"/>
    <w:rsid w:val="00F92792"/>
    <w:rsid w:val="00F97043"/>
    <w:rsid w:val="00FA535A"/>
    <w:rsid w:val="00FB0780"/>
    <w:rsid w:val="00FB42FE"/>
    <w:rsid w:val="00FB4B8A"/>
    <w:rsid w:val="00FC2CE0"/>
    <w:rsid w:val="00FC36EA"/>
    <w:rsid w:val="00FD592E"/>
    <w:rsid w:val="00FE0490"/>
    <w:rsid w:val="00FE10AA"/>
    <w:rsid w:val="00FE1665"/>
    <w:rsid w:val="00FE39C5"/>
    <w:rsid w:val="00FF175F"/>
  </w:rsids>
  <m:mathPr>
    <m:mathFont m:val="Cambria Math"/>
    <m:brkBin m:val="before"/>
    <m:brkBinSub m:val="--"/>
    <m:smallFrac m:val="0"/>
    <m:dispDef/>
    <m:lMargin m:val="0"/>
    <m:rMargin m:val="0"/>
    <m:defJc m:val="centerGroup"/>
    <m:wrapIndent m:val="1440"/>
    <m:intLim m:val="subSup"/>
    <m:naryLim m:val="undOvr"/>
  </m:mathPr>
  <w:themeFontLang w:val="en-US" w:eastAsia="ko-KR"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0CC48"/>
  <w15:chartTrackingRefBased/>
  <w15:docId w15:val="{EF24E625-10CF-4F58-88DB-0E0CB784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766"/>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uiPriority w:val="9"/>
    <w:semiHidden/>
    <w:unhideWhenUsed/>
    <w:qFormat/>
    <w:rsid w:val="00532566"/>
    <w:pPr>
      <w:keepNext/>
      <w:keepLines/>
      <w:spacing w:before="40"/>
      <w:outlineLvl w:val="1"/>
    </w:pPr>
    <w:rPr>
      <w:rFonts w:asciiTheme="majorHAnsi" w:eastAsiaTheme="majorEastAsia" w:hAnsiTheme="majorHAnsi" w:cstheme="majorBidi"/>
      <w:color w:val="2E74B5" w:themeColor="accent1" w:themeShade="BF"/>
      <w:sz w:val="26"/>
      <w:szCs w:val="26"/>
      <w:lang w:eastAsia="ja-JP"/>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character" w:styleId="Hyperlink">
    <w:name w:val="Hyperlink"/>
    <w:basedOn w:val="DefaultParagraphFont"/>
    <w:uiPriority w:val="99"/>
    <w:unhideWhenUsed/>
    <w:rsid w:val="00C3055F"/>
    <w:rPr>
      <w:color w:val="0000FF"/>
      <w:u w:val="single"/>
    </w:rPr>
  </w:style>
  <w:style w:type="paragraph" w:styleId="ListParagraph">
    <w:name w:val="List Paragraph"/>
    <w:basedOn w:val="Normal"/>
    <w:link w:val="ListParagraphChar"/>
    <w:uiPriority w:val="34"/>
    <w:qFormat/>
    <w:rsid w:val="00B52CD2"/>
    <w:pPr>
      <w:ind w:left="720"/>
      <w:contextualSpacing/>
    </w:pPr>
  </w:style>
  <w:style w:type="paragraph" w:styleId="BalloonText">
    <w:name w:val="Balloon Text"/>
    <w:basedOn w:val="Normal"/>
    <w:link w:val="BalloonTextChar"/>
    <w:semiHidden/>
    <w:unhideWhenUsed/>
    <w:rsid w:val="00075A20"/>
    <w:rPr>
      <w:rFonts w:ascii="Segoe UI" w:hAnsi="Segoe UI" w:cs="Segoe UI"/>
      <w:sz w:val="18"/>
      <w:szCs w:val="18"/>
    </w:rPr>
  </w:style>
  <w:style w:type="character" w:customStyle="1" w:styleId="BalloonTextChar">
    <w:name w:val="Balloon Text Char"/>
    <w:basedOn w:val="DefaultParagraphFont"/>
    <w:link w:val="BalloonText"/>
    <w:semiHidden/>
    <w:rsid w:val="00075A20"/>
    <w:rPr>
      <w:rFonts w:ascii="Segoe UI" w:eastAsia="BatangChe" w:hAnsi="Segoe UI" w:cs="Segoe UI"/>
      <w:sz w:val="18"/>
      <w:szCs w:val="18"/>
    </w:rPr>
  </w:style>
  <w:style w:type="character" w:customStyle="1" w:styleId="UnresolvedMention1">
    <w:name w:val="Unresolved Mention1"/>
    <w:basedOn w:val="DefaultParagraphFont"/>
    <w:uiPriority w:val="99"/>
    <w:semiHidden/>
    <w:unhideWhenUsed/>
    <w:rsid w:val="00632172"/>
    <w:rPr>
      <w:color w:val="605E5C"/>
      <w:shd w:val="clear" w:color="auto" w:fill="E1DFDD"/>
    </w:rPr>
  </w:style>
  <w:style w:type="paragraph" w:styleId="NoSpacing">
    <w:name w:val="No Spacing"/>
    <w:link w:val="NoSpacingChar"/>
    <w:uiPriority w:val="1"/>
    <w:qFormat/>
    <w:rsid w:val="00E97EE7"/>
    <w:rPr>
      <w:rFonts w:ascii="Calibri" w:eastAsia="Calibri" w:hAnsi="Calibri" w:cs="Cordia New"/>
      <w:sz w:val="22"/>
      <w:szCs w:val="22"/>
      <w:lang w:val="en-GB" w:eastAsia="en-GB"/>
    </w:rPr>
  </w:style>
  <w:style w:type="character" w:customStyle="1" w:styleId="NoSpacingChar">
    <w:name w:val="No Spacing Char"/>
    <w:link w:val="NoSpacing"/>
    <w:uiPriority w:val="1"/>
    <w:rsid w:val="00E97EE7"/>
    <w:rPr>
      <w:rFonts w:ascii="Calibri" w:eastAsia="Calibri" w:hAnsi="Calibri" w:cs="Cordia New"/>
      <w:sz w:val="22"/>
      <w:szCs w:val="22"/>
      <w:lang w:val="en-GB" w:eastAsia="en-GB"/>
    </w:rPr>
  </w:style>
  <w:style w:type="character" w:customStyle="1" w:styleId="FooterChar">
    <w:name w:val="Footer Char"/>
    <w:link w:val="Footer"/>
    <w:uiPriority w:val="99"/>
    <w:rsid w:val="00092B54"/>
    <w:rPr>
      <w:rFonts w:eastAsia="BatangChe"/>
      <w:sz w:val="24"/>
      <w:szCs w:val="24"/>
    </w:rPr>
  </w:style>
  <w:style w:type="character" w:styleId="Strong">
    <w:name w:val="Strong"/>
    <w:basedOn w:val="DefaultParagraphFont"/>
    <w:qFormat/>
    <w:rsid w:val="00CB791F"/>
    <w:rPr>
      <w:b/>
      <w:bCs/>
    </w:rPr>
  </w:style>
  <w:style w:type="paragraph" w:styleId="Revision">
    <w:name w:val="Revision"/>
    <w:hidden/>
    <w:uiPriority w:val="99"/>
    <w:semiHidden/>
    <w:rsid w:val="00260E1E"/>
    <w:rPr>
      <w:rFonts w:eastAsia="BatangChe"/>
      <w:sz w:val="24"/>
      <w:szCs w:val="24"/>
    </w:rPr>
  </w:style>
  <w:style w:type="character" w:styleId="UnresolvedMention">
    <w:name w:val="Unresolved Mention"/>
    <w:basedOn w:val="DefaultParagraphFont"/>
    <w:uiPriority w:val="99"/>
    <w:semiHidden/>
    <w:unhideWhenUsed/>
    <w:rsid w:val="006049B7"/>
    <w:rPr>
      <w:color w:val="605E5C"/>
      <w:shd w:val="clear" w:color="auto" w:fill="E1DFDD"/>
    </w:rPr>
  </w:style>
  <w:style w:type="character" w:customStyle="1" w:styleId="Heading2Char">
    <w:name w:val="Heading 2 Char"/>
    <w:basedOn w:val="DefaultParagraphFont"/>
    <w:link w:val="Heading2"/>
    <w:uiPriority w:val="9"/>
    <w:semiHidden/>
    <w:rsid w:val="00532566"/>
    <w:rPr>
      <w:rFonts w:asciiTheme="majorHAnsi" w:eastAsiaTheme="majorEastAsia" w:hAnsiTheme="majorHAnsi" w:cstheme="majorBidi"/>
      <w:color w:val="2E74B5" w:themeColor="accent1" w:themeShade="BF"/>
      <w:sz w:val="26"/>
      <w:szCs w:val="26"/>
      <w:lang w:eastAsia="ja-JP"/>
    </w:rPr>
  </w:style>
  <w:style w:type="character" w:customStyle="1" w:styleId="ListParagraphChar">
    <w:name w:val="List Paragraph Char"/>
    <w:link w:val="ListParagraph"/>
    <w:uiPriority w:val="34"/>
    <w:locked/>
    <w:rsid w:val="00532566"/>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69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APT%20Docs\AWG\AWG-21-2017\AWG-21%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317DC8B71B3B45919554DB1C9EE8B2" ma:contentTypeVersion="17" ma:contentTypeDescription="Create a new document." ma:contentTypeScope="" ma:versionID="98a2e5fe6d841c2ae635874e18163ea9">
  <xsd:schema xmlns:xsd="http://www.w3.org/2001/XMLSchema" xmlns:xs="http://www.w3.org/2001/XMLSchema" xmlns:p="http://schemas.microsoft.com/office/2006/metadata/properties" xmlns:ns2="a9deaf3c-f39d-42c9-81da-40a4b1d8c2b7" xmlns:ns3="6f09e1c1-c6a8-45e9-a568-f948a19d5598" targetNamespace="http://schemas.microsoft.com/office/2006/metadata/properties" ma:root="true" ma:fieldsID="d203e5bc4f9b9a9a8a158a6a7822479f" ns2:_="" ns3:_="">
    <xsd:import namespace="a9deaf3c-f39d-42c9-81da-40a4b1d8c2b7"/>
    <xsd:import namespace="6f09e1c1-c6a8-45e9-a568-f948a19d55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Reviewedby" minOccurs="0"/>
                <xsd:element ref="ns2:date" minOccurs="0"/>
                <xsd:element ref="ns3:SharedWithUsers" minOccurs="0"/>
                <xsd:element ref="ns3:SharedWithDetails" minOccurs="0"/>
                <xsd:element ref="ns2:Y_x002f_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eaf3c-f39d-42c9-81da-40a4b1d8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eviewedby" ma:index="12" nillable="true" ma:displayName="Reviewed by" ma:description="The person who reviewed the drafts"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13" nillable="true" ma:displayName="date" ma:format="DateTime" ma:internalName="date">
      <xsd:simpleType>
        <xsd:restriction base="dms:DateTime"/>
      </xsd:simpleType>
    </xsd:element>
    <xsd:element name="Y_x002f_N" ma:index="16" nillable="true" ma:displayName="Y/N" ma:default="0" ma:format="Dropdown" ma:internalName="Y_x002f_N">
      <xsd:simpleType>
        <xsd:restriction base="dms:Boolea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f8a4516-4c1b-40a3-af95-dae598a73ad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9e1c1-c6a8-45e9-a568-f948a19d55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58776fc-c9ae-4a71-bf03-e762527c5b92}" ma:internalName="TaxCatchAll" ma:showField="CatchAllData" ma:web="6f09e1c1-c6a8-45e9-a568-f948a19d55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_x002f_N xmlns="a9deaf3c-f39d-42c9-81da-40a4b1d8c2b7">false</Y_x002f_N>
    <date xmlns="a9deaf3c-f39d-42c9-81da-40a4b1d8c2b7" xsi:nil="true"/>
    <Reviewedby xmlns="a9deaf3c-f39d-42c9-81da-40a4b1d8c2b7">
      <UserInfo>
        <DisplayName/>
        <AccountId xsi:nil="true"/>
        <AccountType/>
      </UserInfo>
    </Reviewedby>
    <TaxCatchAll xmlns="6f09e1c1-c6a8-45e9-a568-f948a19d5598" xsi:nil="true"/>
    <lcf76f155ced4ddcb4097134ff3c332f xmlns="a9deaf3c-f39d-42c9-81da-40a4b1d8c2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36556F-EBF2-4F68-99DA-C37B4A1925BF}">
  <ds:schemaRefs>
    <ds:schemaRef ds:uri="http://schemas.microsoft.com/sharepoint/v3/contenttype/forms"/>
  </ds:schemaRefs>
</ds:datastoreItem>
</file>

<file path=customXml/itemProps2.xml><?xml version="1.0" encoding="utf-8"?>
<ds:datastoreItem xmlns:ds="http://schemas.openxmlformats.org/officeDocument/2006/customXml" ds:itemID="{FE086575-DF3F-4718-970B-4FBBC844CE6F}">
  <ds:schemaRefs>
    <ds:schemaRef ds:uri="http://schemas.openxmlformats.org/officeDocument/2006/bibliography"/>
  </ds:schemaRefs>
</ds:datastoreItem>
</file>

<file path=customXml/itemProps3.xml><?xml version="1.0" encoding="utf-8"?>
<ds:datastoreItem xmlns:ds="http://schemas.openxmlformats.org/officeDocument/2006/customXml" ds:itemID="{09BB8E75-C227-49A8-AB2D-280CA476A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eaf3c-f39d-42c9-81da-40a4b1d8c2b7"/>
    <ds:schemaRef ds:uri="6f09e1c1-c6a8-45e9-a568-f948a19d5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CE0422-2D8E-4527-BDF0-47C7A82C9230}">
  <ds:schemaRefs>
    <ds:schemaRef ds:uri="http://schemas.microsoft.com/office/2006/metadata/properties"/>
    <ds:schemaRef ds:uri="http://schemas.microsoft.com/office/infopath/2007/PartnerControls"/>
    <ds:schemaRef ds:uri="a9deaf3c-f39d-42c9-81da-40a4b1d8c2b7"/>
    <ds:schemaRef ds:uri="6f09e1c1-c6a8-45e9-a568-f948a19d5598"/>
  </ds:schemaRefs>
</ds:datastoreItem>
</file>

<file path=docProps/app.xml><?xml version="1.0" encoding="utf-8"?>
<Properties xmlns="http://schemas.openxmlformats.org/officeDocument/2006/extended-properties" xmlns:vt="http://schemas.openxmlformats.org/officeDocument/2006/docPropsVTypes">
  <Template>AWG-21 Document Template</Template>
  <TotalTime>11</TotalTime>
  <Pages>6</Pages>
  <Words>1458</Words>
  <Characters>8312</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APT Secretariat</dc:creator>
  <cp:keywords/>
  <cp:lastModifiedBy>Tawhid Hussain</cp:lastModifiedBy>
  <cp:revision>4</cp:revision>
  <cp:lastPrinted>2020-09-14T03:02:00Z</cp:lastPrinted>
  <dcterms:created xsi:type="dcterms:W3CDTF">2022-11-30T11:29:00Z</dcterms:created>
  <dcterms:modified xsi:type="dcterms:W3CDTF">2022-12-27T14:52:00Z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0x010100DA317DC8B71B3B45919554DB1C9EE8B2</vt:lpwstr>
  </property>
</Properties>
</file>