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9" w:type="dxa"/>
        <w:tblBorders>
          <w:bottom w:val="single" w:sz="4" w:space="0" w:color="auto"/>
        </w:tblBorders>
        <w:tblLayout w:type="fixed"/>
        <w:tblCellMar>
          <w:left w:w="58" w:type="dxa"/>
          <w:right w:w="58" w:type="dxa"/>
        </w:tblCellMar>
        <w:tblLook w:val="0000" w:firstRow="0" w:lastRow="0" w:firstColumn="0" w:lastColumn="0" w:noHBand="0" w:noVBand="0"/>
      </w:tblPr>
      <w:tblGrid>
        <w:gridCol w:w="1399"/>
        <w:gridCol w:w="5760"/>
        <w:gridCol w:w="2160"/>
      </w:tblGrid>
      <w:tr w:rsidR="0057702E" w:rsidRPr="00AB76C8" w14:paraId="25938973" w14:textId="77777777" w:rsidTr="00E845C0">
        <w:trPr>
          <w:cantSplit/>
          <w:trHeight w:val="288"/>
        </w:trPr>
        <w:tc>
          <w:tcPr>
            <w:tcW w:w="1399" w:type="dxa"/>
            <w:vMerge w:val="restart"/>
          </w:tcPr>
          <w:p w14:paraId="6C9F1472" w14:textId="77777777" w:rsidR="0057702E" w:rsidRPr="00AB76C8" w:rsidRDefault="0057702E" w:rsidP="00E845C0">
            <w:pPr>
              <w:widowControl w:val="0"/>
              <w:wordWrap w:val="0"/>
              <w:jc w:val="both"/>
              <w:rPr>
                <w:kern w:val="2"/>
                <w:lang w:eastAsia="ko-KR"/>
              </w:rPr>
            </w:pPr>
            <w:r w:rsidRPr="00AB76C8">
              <w:rPr>
                <w:noProof/>
                <w:kern w:val="2"/>
                <w:lang w:eastAsia="ko-KR"/>
              </w:rPr>
              <w:drawing>
                <wp:inline distT="0" distB="0" distL="0" distR="0" wp14:anchorId="12560178" wp14:editId="08831E81">
                  <wp:extent cx="762635" cy="716280"/>
                  <wp:effectExtent l="0" t="0" r="0" b="762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635" cy="716280"/>
                          </a:xfrm>
                          <a:prstGeom prst="rect">
                            <a:avLst/>
                          </a:prstGeom>
                        </pic:spPr>
                      </pic:pic>
                    </a:graphicData>
                  </a:graphic>
                </wp:inline>
              </w:drawing>
            </w:r>
          </w:p>
        </w:tc>
        <w:tc>
          <w:tcPr>
            <w:tcW w:w="5760" w:type="dxa"/>
          </w:tcPr>
          <w:p w14:paraId="2DE04AC8" w14:textId="77777777" w:rsidR="0057702E" w:rsidRPr="00AB76C8" w:rsidRDefault="0057702E" w:rsidP="00E845C0">
            <w:pPr>
              <w:spacing w:before="40"/>
              <w:rPr>
                <w:sz w:val="22"/>
                <w:szCs w:val="22"/>
              </w:rPr>
            </w:pPr>
            <w:r w:rsidRPr="009706CE">
              <w:t>ASIA-PACIFIC TELECOMMUNITY</w:t>
            </w:r>
          </w:p>
        </w:tc>
        <w:tc>
          <w:tcPr>
            <w:tcW w:w="2160" w:type="dxa"/>
          </w:tcPr>
          <w:p w14:paraId="10A1ADC1" w14:textId="77777777" w:rsidR="0057702E" w:rsidRPr="00AB76C8" w:rsidRDefault="0057702E" w:rsidP="00E845C0">
            <w:pPr>
              <w:keepNext/>
              <w:widowControl w:val="0"/>
              <w:wordWrap w:val="0"/>
              <w:spacing w:before="40"/>
              <w:jc w:val="both"/>
              <w:outlineLvl w:val="7"/>
              <w:rPr>
                <w:b/>
                <w:bCs/>
                <w:kern w:val="2"/>
                <w:lang w:eastAsia="ko-KR"/>
              </w:rPr>
            </w:pPr>
            <w:r w:rsidRPr="009706CE">
              <w:rPr>
                <w:b/>
              </w:rPr>
              <w:t>Document No:</w:t>
            </w:r>
          </w:p>
        </w:tc>
      </w:tr>
      <w:tr w:rsidR="0057702E" w:rsidRPr="00AB76C8" w14:paraId="50E461D2" w14:textId="77777777" w:rsidTr="00E845C0">
        <w:trPr>
          <w:cantSplit/>
          <w:trHeight w:val="504"/>
        </w:trPr>
        <w:tc>
          <w:tcPr>
            <w:tcW w:w="1399" w:type="dxa"/>
            <w:vMerge/>
          </w:tcPr>
          <w:p w14:paraId="280CCD6E" w14:textId="77777777" w:rsidR="0057702E" w:rsidRPr="00AB76C8" w:rsidRDefault="0057702E" w:rsidP="00E845C0"/>
        </w:tc>
        <w:tc>
          <w:tcPr>
            <w:tcW w:w="5760" w:type="dxa"/>
          </w:tcPr>
          <w:p w14:paraId="0E31C7D6" w14:textId="77777777" w:rsidR="0057702E" w:rsidRPr="009706CE" w:rsidRDefault="0057702E" w:rsidP="00E845C0">
            <w:pPr>
              <w:spacing w:line="0" w:lineRule="atLeast"/>
              <w:rPr>
                <w:b/>
              </w:rPr>
            </w:pPr>
            <w:r w:rsidRPr="009706CE">
              <w:rPr>
                <w:b/>
              </w:rPr>
              <w:t>The 5th Meeting of the APT Conference Preparatory</w:t>
            </w:r>
          </w:p>
          <w:p w14:paraId="26CC0C2C" w14:textId="77777777" w:rsidR="0057702E" w:rsidRPr="00AB76C8" w:rsidRDefault="0057702E" w:rsidP="00E845C0">
            <w:pPr>
              <w:spacing w:before="40"/>
            </w:pPr>
            <w:r w:rsidRPr="009706CE">
              <w:rPr>
                <w:b/>
              </w:rPr>
              <w:t>Group for WRC-23 (APG23-5)</w:t>
            </w:r>
          </w:p>
        </w:tc>
        <w:tc>
          <w:tcPr>
            <w:tcW w:w="2160" w:type="dxa"/>
          </w:tcPr>
          <w:p w14:paraId="7CFBCCFF" w14:textId="155A8C28" w:rsidR="0057702E" w:rsidRPr="009706CE" w:rsidRDefault="0057702E" w:rsidP="00E845C0">
            <w:pPr>
              <w:rPr>
                <w:b/>
                <w:bCs/>
                <w:lang w:val="fr-FR"/>
              </w:rPr>
            </w:pPr>
            <w:r w:rsidRPr="009706CE">
              <w:rPr>
                <w:b/>
                <w:bCs/>
                <w:lang w:val="fr-FR"/>
              </w:rPr>
              <w:t>APG23-5/INF-</w:t>
            </w:r>
            <w:r>
              <w:rPr>
                <w:b/>
                <w:bCs/>
                <w:lang w:val="fr-FR"/>
              </w:rPr>
              <w:t>2</w:t>
            </w:r>
            <w:r>
              <w:rPr>
                <w:b/>
                <w:bCs/>
                <w:lang w:val="fr-FR"/>
              </w:rPr>
              <w:t>6</w:t>
            </w:r>
          </w:p>
          <w:p w14:paraId="62F44ABF" w14:textId="77777777" w:rsidR="0057702E" w:rsidRPr="00AB76C8" w:rsidRDefault="0057702E" w:rsidP="00E845C0">
            <w:pPr>
              <w:rPr>
                <w:b/>
                <w:bCs/>
                <w:lang w:val="en-GB"/>
              </w:rPr>
            </w:pPr>
          </w:p>
        </w:tc>
      </w:tr>
      <w:tr w:rsidR="0057702E" w:rsidRPr="00AB76C8" w14:paraId="47012785" w14:textId="77777777" w:rsidTr="00E845C0">
        <w:trPr>
          <w:cantSplit/>
          <w:trHeight w:val="288"/>
        </w:trPr>
        <w:tc>
          <w:tcPr>
            <w:tcW w:w="1399" w:type="dxa"/>
            <w:vMerge/>
          </w:tcPr>
          <w:p w14:paraId="6489865C" w14:textId="77777777" w:rsidR="0057702E" w:rsidRPr="00AB76C8" w:rsidRDefault="0057702E" w:rsidP="00E845C0">
            <w:pPr>
              <w:rPr>
                <w:lang w:val="en-GB"/>
              </w:rPr>
            </w:pPr>
          </w:p>
        </w:tc>
        <w:tc>
          <w:tcPr>
            <w:tcW w:w="5760" w:type="dxa"/>
            <w:vAlign w:val="bottom"/>
          </w:tcPr>
          <w:p w14:paraId="0AF465CB" w14:textId="77777777" w:rsidR="0057702E" w:rsidRPr="00AB76C8" w:rsidRDefault="0057702E" w:rsidP="00E845C0">
            <w:pPr>
              <w:spacing w:before="40"/>
              <w:rPr>
                <w:b/>
              </w:rPr>
            </w:pPr>
            <w:r w:rsidRPr="009706CE">
              <w:t>20 – 25 February 2023, Busan, Republic of Korea</w:t>
            </w:r>
          </w:p>
        </w:tc>
        <w:tc>
          <w:tcPr>
            <w:tcW w:w="2160" w:type="dxa"/>
            <w:vAlign w:val="bottom"/>
          </w:tcPr>
          <w:p w14:paraId="5CF1E593" w14:textId="77777777" w:rsidR="0057702E" w:rsidRPr="00AB76C8" w:rsidRDefault="0057702E" w:rsidP="00E845C0">
            <w:pPr>
              <w:spacing w:before="40"/>
              <w:rPr>
                <w:bCs/>
              </w:rPr>
            </w:pPr>
            <w:r>
              <w:rPr>
                <w:bCs/>
              </w:rPr>
              <w:t>13</w:t>
            </w:r>
            <w:r w:rsidRPr="009706CE">
              <w:rPr>
                <w:bCs/>
              </w:rPr>
              <w:t xml:space="preserve"> February 2023</w:t>
            </w:r>
          </w:p>
        </w:tc>
      </w:tr>
    </w:tbl>
    <w:p w14:paraId="59E3F6AF" w14:textId="77777777" w:rsidR="007E7497" w:rsidRPr="00051E1E" w:rsidRDefault="007E7497" w:rsidP="00DA7595">
      <w:pPr>
        <w:rPr>
          <w:lang w:eastAsia="ko-KR"/>
        </w:rPr>
      </w:pPr>
    </w:p>
    <w:p w14:paraId="197B75FD" w14:textId="77777777" w:rsidR="00FF72BB" w:rsidRDefault="00FF72BB" w:rsidP="00DA7595">
      <w:pPr>
        <w:jc w:val="center"/>
        <w:rPr>
          <w:lang w:eastAsia="ko-KR"/>
        </w:rPr>
      </w:pPr>
    </w:p>
    <w:p w14:paraId="306A194B" w14:textId="77777777" w:rsidR="00DA7595" w:rsidRPr="00051E1E" w:rsidRDefault="005205B0" w:rsidP="00DA7595">
      <w:pPr>
        <w:jc w:val="center"/>
        <w:rPr>
          <w:lang w:eastAsia="ko-KR"/>
        </w:rPr>
      </w:pPr>
      <w:r>
        <w:rPr>
          <w:lang w:eastAsia="ko-KR"/>
        </w:rPr>
        <w:t>GSA</w:t>
      </w:r>
      <w:r w:rsidR="003076A7">
        <w:rPr>
          <w:rStyle w:val="FootnoteReference"/>
          <w:lang w:eastAsia="ko-KR"/>
        </w:rPr>
        <w:footnoteReference w:id="1"/>
      </w:r>
    </w:p>
    <w:p w14:paraId="7159166E" w14:textId="77777777" w:rsidR="007E7497" w:rsidRPr="00B355DB" w:rsidRDefault="007E7497" w:rsidP="007E7497">
      <w:pPr>
        <w:jc w:val="center"/>
        <w:rPr>
          <w:caps/>
        </w:rPr>
      </w:pPr>
    </w:p>
    <w:p w14:paraId="01BE5F0B" w14:textId="77777777" w:rsidR="007E7497" w:rsidRDefault="005205B0" w:rsidP="005205B0">
      <w:pPr>
        <w:jc w:val="center"/>
        <w:rPr>
          <w:bCs/>
          <w:sz w:val="6"/>
        </w:rPr>
      </w:pPr>
      <w:r w:rsidRPr="00986968">
        <w:rPr>
          <w:b/>
          <w:bCs/>
          <w:caps/>
        </w:rPr>
        <w:t xml:space="preserve">IMT-2030 (6G) spectrum needs </w:t>
      </w:r>
      <w:r>
        <w:rPr>
          <w:b/>
          <w:bCs/>
          <w:caps/>
        </w:rPr>
        <w:t>Analysis</w:t>
      </w:r>
    </w:p>
    <w:p w14:paraId="7F50DDD1" w14:textId="77777777" w:rsidR="005205B0" w:rsidRPr="005205B0" w:rsidRDefault="005205B0" w:rsidP="005205B0">
      <w:pPr>
        <w:jc w:val="center"/>
        <w:rPr>
          <w:bCs/>
          <w:sz w:val="6"/>
        </w:rPr>
      </w:pPr>
    </w:p>
    <w:p w14:paraId="5C5A9D4D" w14:textId="77777777" w:rsidR="007E7497" w:rsidRDefault="007E7497" w:rsidP="007E7497">
      <w:pPr>
        <w:jc w:val="both"/>
        <w:rPr>
          <w:bCs/>
          <w:sz w:val="6"/>
        </w:rPr>
      </w:pPr>
    </w:p>
    <w:p w14:paraId="1B5185FD" w14:textId="77777777" w:rsidR="005205B0" w:rsidRPr="005E3896" w:rsidRDefault="005205B0" w:rsidP="007E7497">
      <w:pPr>
        <w:jc w:val="both"/>
        <w:rPr>
          <w:bCs/>
          <w:sz w:val="6"/>
        </w:rPr>
      </w:pPr>
    </w:p>
    <w:p w14:paraId="218E0DC8" w14:textId="77777777" w:rsidR="00D84CEE" w:rsidRPr="006F214C" w:rsidRDefault="00CB6C10" w:rsidP="006F214C">
      <w:pPr>
        <w:pStyle w:val="ListParagraph"/>
        <w:numPr>
          <w:ilvl w:val="0"/>
          <w:numId w:val="20"/>
        </w:numPr>
        <w:spacing w:before="120"/>
        <w:outlineLvl w:val="0"/>
        <w:rPr>
          <w:b/>
          <w:color w:val="000000" w:themeColor="text1"/>
          <w:szCs w:val="22"/>
        </w:rPr>
      </w:pPr>
      <w:r>
        <w:rPr>
          <w:b/>
          <w:color w:val="000000" w:themeColor="text1"/>
          <w:szCs w:val="22"/>
        </w:rPr>
        <w:t>Introduction</w:t>
      </w:r>
    </w:p>
    <w:p w14:paraId="61B38773" w14:textId="77777777" w:rsidR="006F214C" w:rsidRPr="006F214C" w:rsidRDefault="006F214C" w:rsidP="006F214C">
      <w:pPr>
        <w:spacing w:before="120"/>
        <w:rPr>
          <w:color w:val="000000" w:themeColor="text1"/>
          <w:szCs w:val="22"/>
        </w:rPr>
      </w:pPr>
      <w:r w:rsidRPr="006F214C">
        <w:rPr>
          <w:color w:val="000000" w:themeColor="text1"/>
          <w:szCs w:val="22"/>
        </w:rPr>
        <w:t xml:space="preserve">This contribution provides a preliminary spectrum needs analysis for IMT-2030 based on assessment methods that are straight-forward, and not over-complicated technically and creates a link between most relevant use cases and their spectrum implications/needs.  The estimated additional spectrum need per network is ~500 to ~750 MHz depending on the existing mid bands spectrum available for IMT and on the number of networks in a specific country. Further work is on-going to </w:t>
      </w:r>
      <w:proofErr w:type="spellStart"/>
      <w:r w:rsidRPr="006F214C">
        <w:rPr>
          <w:color w:val="000000" w:themeColor="text1"/>
          <w:szCs w:val="22"/>
        </w:rPr>
        <w:t>analyse</w:t>
      </w:r>
      <w:proofErr w:type="spellEnd"/>
      <w:r w:rsidRPr="006F214C">
        <w:rPr>
          <w:color w:val="000000" w:themeColor="text1"/>
          <w:szCs w:val="22"/>
        </w:rPr>
        <w:t xml:space="preserve"> the implications of a number of other IMT-2030/6G use-cases. Further results or information will be provided to future APG meetings.</w:t>
      </w:r>
    </w:p>
    <w:p w14:paraId="3F601FCB" w14:textId="77777777" w:rsidR="005205B0" w:rsidRPr="006F214C" w:rsidRDefault="006F214C" w:rsidP="006F214C">
      <w:pPr>
        <w:spacing w:before="120"/>
        <w:rPr>
          <w:color w:val="000000" w:themeColor="text1"/>
          <w:szCs w:val="22"/>
        </w:rPr>
      </w:pPr>
      <w:r w:rsidRPr="006F214C">
        <w:rPr>
          <w:color w:val="000000" w:themeColor="text1"/>
          <w:szCs w:val="22"/>
        </w:rPr>
        <w:t>IMT-2030/6G activities are underway in various research, industry, and regulatory bodies. Spectrum remains a critical enabler and spectrum discussions have started in global, regional and national groups. APG is invited to consider the need for a WRC-27 agenda item to address the additional spectrum needs of IMT-2030/6G.</w:t>
      </w:r>
    </w:p>
    <w:p w14:paraId="65B0807E" w14:textId="77777777" w:rsidR="006F214C" w:rsidRPr="006F214C" w:rsidRDefault="006F214C" w:rsidP="006F214C">
      <w:pPr>
        <w:pStyle w:val="ListParagraph"/>
        <w:numPr>
          <w:ilvl w:val="0"/>
          <w:numId w:val="20"/>
        </w:numPr>
        <w:spacing w:before="120"/>
        <w:outlineLvl w:val="0"/>
        <w:rPr>
          <w:b/>
          <w:color w:val="000000" w:themeColor="text1"/>
          <w:szCs w:val="22"/>
        </w:rPr>
      </w:pPr>
      <w:r w:rsidRPr="006F214C">
        <w:rPr>
          <w:rFonts w:hint="eastAsia"/>
          <w:b/>
          <w:color w:val="000000" w:themeColor="text1"/>
          <w:szCs w:val="22"/>
        </w:rPr>
        <w:t>Proposal</w:t>
      </w:r>
    </w:p>
    <w:p w14:paraId="3F3E4222" w14:textId="77777777" w:rsidR="005205B0" w:rsidRPr="006F214C" w:rsidRDefault="006F214C" w:rsidP="006F214C">
      <w:pPr>
        <w:spacing w:before="120"/>
        <w:rPr>
          <w:color w:val="000000" w:themeColor="text1"/>
          <w:szCs w:val="22"/>
        </w:rPr>
      </w:pPr>
      <w:r>
        <w:t xml:space="preserve">APG is </w:t>
      </w:r>
      <w:r w:rsidRPr="00986968">
        <w:t>invited to consider elements in this contribution in relation to addressing a WRC-27 agenda item for IMT</w:t>
      </w:r>
      <w:r w:rsidR="005205B0" w:rsidRPr="006F214C">
        <w:rPr>
          <w:color w:val="000000" w:themeColor="text1"/>
          <w:szCs w:val="22"/>
        </w:rPr>
        <w:t>.</w:t>
      </w:r>
    </w:p>
    <w:p w14:paraId="527BDC74" w14:textId="77777777" w:rsidR="00EC249E" w:rsidRDefault="00EC249E" w:rsidP="00E5341E">
      <w:pPr>
        <w:spacing w:after="120"/>
        <w:jc w:val="both"/>
        <w:rPr>
          <w:b/>
        </w:rPr>
      </w:pPr>
    </w:p>
    <w:p w14:paraId="74C540A1" w14:textId="77777777" w:rsidR="0037421D" w:rsidRDefault="0037421D" w:rsidP="00E5341E">
      <w:pPr>
        <w:spacing w:after="120"/>
        <w:jc w:val="both"/>
        <w:rPr>
          <w:b/>
        </w:rPr>
      </w:pPr>
    </w:p>
    <w:p w14:paraId="4E4D4F4F" w14:textId="77777777" w:rsidR="0037421D" w:rsidRDefault="0037421D" w:rsidP="00E5341E">
      <w:pPr>
        <w:spacing w:after="120"/>
        <w:jc w:val="both"/>
        <w:rPr>
          <w:b/>
        </w:rPr>
      </w:pPr>
    </w:p>
    <w:p w14:paraId="06E8560E" w14:textId="77777777" w:rsidR="0037421D" w:rsidRDefault="0037421D" w:rsidP="00E5341E">
      <w:pPr>
        <w:spacing w:after="120"/>
        <w:jc w:val="both"/>
        <w:rPr>
          <w:b/>
        </w:rPr>
      </w:pPr>
    </w:p>
    <w:p w14:paraId="1A3A0E16" w14:textId="77777777" w:rsidR="0037421D" w:rsidRDefault="0037421D" w:rsidP="00E5341E">
      <w:pPr>
        <w:spacing w:after="120"/>
        <w:jc w:val="both"/>
        <w:rPr>
          <w:b/>
        </w:rPr>
      </w:pPr>
    </w:p>
    <w:p w14:paraId="403B21E8" w14:textId="77777777" w:rsidR="0037421D" w:rsidRDefault="0037421D" w:rsidP="00E5341E">
      <w:pPr>
        <w:spacing w:after="120"/>
        <w:jc w:val="both"/>
        <w:rPr>
          <w:b/>
        </w:rPr>
      </w:pPr>
    </w:p>
    <w:p w14:paraId="379098CC" w14:textId="77777777" w:rsidR="0037421D" w:rsidRDefault="0037421D" w:rsidP="00E5341E">
      <w:pPr>
        <w:spacing w:after="120"/>
        <w:jc w:val="both"/>
        <w:rPr>
          <w:b/>
        </w:rPr>
      </w:pPr>
    </w:p>
    <w:p w14:paraId="4142A9F1" w14:textId="77777777" w:rsidR="0037421D" w:rsidRDefault="0037421D" w:rsidP="00E5341E">
      <w:pPr>
        <w:spacing w:after="120"/>
        <w:jc w:val="both"/>
        <w:rPr>
          <w:b/>
        </w:rPr>
      </w:pPr>
    </w:p>
    <w:p w14:paraId="357E689B" w14:textId="77777777" w:rsidR="0037421D" w:rsidRDefault="0037421D" w:rsidP="00E5341E">
      <w:pPr>
        <w:spacing w:after="120"/>
        <w:jc w:val="both"/>
        <w:rPr>
          <w:b/>
        </w:rPr>
      </w:pPr>
    </w:p>
    <w:p w14:paraId="4D7FC4EB" w14:textId="77777777" w:rsidR="0037421D" w:rsidRDefault="0037421D" w:rsidP="00E5341E">
      <w:pPr>
        <w:spacing w:after="120"/>
        <w:jc w:val="both"/>
        <w:rPr>
          <w:b/>
        </w:rPr>
      </w:pPr>
    </w:p>
    <w:p w14:paraId="39B25791" w14:textId="77777777" w:rsidR="0037421D" w:rsidRDefault="0037421D" w:rsidP="00E5341E">
      <w:pPr>
        <w:spacing w:after="120"/>
        <w:jc w:val="both"/>
        <w:rPr>
          <w:b/>
        </w:rPr>
      </w:pPr>
    </w:p>
    <w:p w14:paraId="09D63A9C" w14:textId="77777777" w:rsidR="0037421D" w:rsidRDefault="0037421D" w:rsidP="00E5341E">
      <w:pPr>
        <w:spacing w:after="120"/>
        <w:jc w:val="both"/>
        <w:rPr>
          <w:b/>
        </w:rPr>
      </w:pPr>
    </w:p>
    <w:p w14:paraId="7A93197B" w14:textId="77777777" w:rsidR="0037421D" w:rsidRDefault="0037421D" w:rsidP="00E5341E">
      <w:pPr>
        <w:spacing w:after="120"/>
        <w:jc w:val="both"/>
        <w:rPr>
          <w:b/>
        </w:rPr>
      </w:pPr>
    </w:p>
    <w:p w14:paraId="78458754" w14:textId="77777777" w:rsidR="001855D0" w:rsidRPr="001855D0" w:rsidRDefault="001855D0" w:rsidP="001855D0">
      <w:pPr>
        <w:keepNext/>
        <w:ind w:left="431" w:hanging="431"/>
        <w:jc w:val="center"/>
        <w:outlineLvl w:val="0"/>
        <w:rPr>
          <w:rFonts w:ascii="Arial" w:eastAsia="Calibri" w:hAnsi="Arial" w:cs="Arial"/>
          <w:caps/>
          <w:sz w:val="20"/>
          <w:szCs w:val="22"/>
          <w:u w:val="single"/>
          <w:bdr w:val="none" w:sz="0" w:space="0" w:color="auto" w:frame="1"/>
          <w:lang w:val="en-GB"/>
        </w:rPr>
      </w:pPr>
      <w:r w:rsidRPr="001855D0">
        <w:rPr>
          <w:rFonts w:ascii="Arial" w:hAnsi="Arial" w:cs="Arial"/>
          <w:b/>
          <w:bCs/>
          <w:sz w:val="20"/>
          <w:u w:val="single"/>
          <w:bdr w:val="none" w:sz="0" w:space="0" w:color="auto" w:frame="1"/>
          <w:lang w:val="en-GB"/>
        </w:rPr>
        <w:lastRenderedPageBreak/>
        <w:t xml:space="preserve">IMT-2030 / 6G spectrum needs analysis </w:t>
      </w:r>
      <w:r w:rsidRPr="001855D0">
        <w:rPr>
          <w:rFonts w:ascii="Arial" w:hAnsi="Arial" w:cs="Arial"/>
          <w:b/>
          <w:bCs/>
          <w:sz w:val="20"/>
          <w:u w:val="single"/>
          <w:bdr w:val="none" w:sz="0" w:space="0" w:color="auto" w:frame="1"/>
          <w:lang w:val="en-GB"/>
        </w:rPr>
        <w:br/>
      </w:r>
    </w:p>
    <w:p w14:paraId="1E65A744" w14:textId="77777777" w:rsidR="001855D0" w:rsidRPr="001855D0" w:rsidRDefault="001855D0" w:rsidP="001855D0">
      <w:pPr>
        <w:keepNext/>
        <w:jc w:val="center"/>
        <w:outlineLvl w:val="0"/>
        <w:rPr>
          <w:rFonts w:ascii="Arial" w:hAnsi="Arial" w:cs="Arial"/>
          <w:b/>
          <w:bCs/>
          <w:sz w:val="20"/>
          <w:u w:val="single"/>
          <w:bdr w:val="none" w:sz="0" w:space="0" w:color="auto" w:frame="1"/>
          <w:lang w:val="en-GB"/>
        </w:rPr>
      </w:pPr>
      <w:r w:rsidRPr="001855D0">
        <w:rPr>
          <w:rFonts w:ascii="Arial" w:hAnsi="Arial" w:cs="Arial"/>
          <w:b/>
          <w:bCs/>
          <w:sz w:val="20"/>
          <w:u w:val="single"/>
          <w:bdr w:val="none" w:sz="0" w:space="0" w:color="auto" w:frame="1"/>
          <w:lang w:val="en-GB"/>
        </w:rPr>
        <w:t>Introduction</w:t>
      </w:r>
      <w:r w:rsidRPr="001855D0">
        <w:rPr>
          <w:rFonts w:ascii="Arial" w:hAnsi="Arial" w:cs="Arial"/>
          <w:b/>
          <w:bCs/>
          <w:sz w:val="20"/>
          <w:u w:val="single"/>
          <w:bdr w:val="none" w:sz="0" w:space="0" w:color="auto" w:frame="1"/>
          <w:lang w:val="en-GB"/>
        </w:rPr>
        <w:br/>
      </w:r>
    </w:p>
    <w:p w14:paraId="3CCE9805" w14:textId="77777777" w:rsidR="001855D0" w:rsidRPr="001855D0" w:rsidRDefault="001855D0" w:rsidP="001855D0">
      <w:pPr>
        <w:rPr>
          <w:rFonts w:eastAsia="Dotum"/>
        </w:rPr>
      </w:pPr>
      <w:r w:rsidRPr="001855D0">
        <w:rPr>
          <w:rFonts w:eastAsia="Dotum"/>
        </w:rPr>
        <w:t xml:space="preserve">This contribution provides a preliminary analysis on the spectrum needs of specific use cases relevant for IMT-2030/6G. As IMT-2030/6G use cases are still under research and development, the set of use cases is not exhaustive but should provide some insight into the future development of IMT </w:t>
      </w:r>
      <w:r w:rsidRPr="001855D0">
        <w:rPr>
          <w:rFonts w:cs="Arial"/>
        </w:rPr>
        <w:t>and to the corresponding spectrum implications</w:t>
      </w:r>
      <w:r w:rsidRPr="001855D0">
        <w:rPr>
          <w:rFonts w:eastAsia="Dotum"/>
        </w:rPr>
        <w:t>.</w:t>
      </w:r>
      <w:r w:rsidRPr="001855D0">
        <w:rPr>
          <w:rFonts w:eastAsia="Dotum"/>
        </w:rPr>
        <w:br/>
      </w:r>
    </w:p>
    <w:p w14:paraId="5CAADA1F" w14:textId="77777777" w:rsidR="001855D0" w:rsidRPr="001855D0" w:rsidRDefault="001855D0" w:rsidP="001855D0">
      <w:pPr>
        <w:rPr>
          <w:rFonts w:cs="Arial"/>
        </w:rPr>
      </w:pPr>
      <w:r w:rsidRPr="001855D0">
        <w:rPr>
          <w:rFonts w:cs="Arial"/>
        </w:rPr>
        <w:t xml:space="preserve">It is to be noted that similar to the previous cellular generations, one essential component for the success of IMT-2030/6G is the possibility to provide wide contiguous coverage, servicing both indoor and outdoor users and enabling mobility. From this perspective, looking for suitable spectrum range(s) to accommodate future growth is essential. </w:t>
      </w:r>
    </w:p>
    <w:p w14:paraId="217EBD17" w14:textId="77777777" w:rsidR="001855D0" w:rsidRPr="001855D0" w:rsidRDefault="001855D0" w:rsidP="001855D0">
      <w:pPr>
        <w:rPr>
          <w:rFonts w:cs="Arial"/>
        </w:rPr>
      </w:pPr>
    </w:p>
    <w:p w14:paraId="1628EF6E" w14:textId="77777777" w:rsidR="001855D0" w:rsidRPr="001855D0" w:rsidRDefault="001855D0" w:rsidP="001855D0">
      <w:r w:rsidRPr="001855D0">
        <w:rPr>
          <w:rFonts w:cs="Arial"/>
        </w:rPr>
        <w:t>Generally, the lower the frequency the better in terms of propagation, cell size, device complexity and economic network deployments.</w:t>
      </w:r>
      <w:r w:rsidRPr="001855D0">
        <w:t xml:space="preserve"> In addition, certain applications and use cases can be deployed more economically and/or optimally in certain frequency ranges than in others. For instance, Key Performance Indicators (KPI) of outdoor wide area coverage of mobile broadband applications can be met in a more economical way using relatively lower frequencies than higher frequencies. Therefore, the search for spectrum for IMT-2030/6G involves two fronts: finding ‘sufficient’ and ‘adequate’ spectrum. </w:t>
      </w:r>
      <w:r w:rsidRPr="001855D0">
        <w:rPr>
          <w:rFonts w:cs="Arial"/>
          <w:lang w:val="en-GB"/>
        </w:rPr>
        <w:t>I</w:t>
      </w:r>
      <w:proofErr w:type="spellStart"/>
      <w:r w:rsidRPr="001855D0">
        <w:rPr>
          <w:rFonts w:cs="Arial"/>
        </w:rPr>
        <w:t>t</w:t>
      </w:r>
      <w:proofErr w:type="spellEnd"/>
      <w:r w:rsidRPr="001855D0">
        <w:rPr>
          <w:rFonts w:cs="Arial"/>
        </w:rPr>
        <w:t xml:space="preserve"> is also noted that APT is considering the entire range 7-24 GHz and the sub-THz range within 92-</w:t>
      </w:r>
      <w:r w:rsidRPr="001855D0">
        <w:rPr>
          <w:rFonts w:cs="Arial" w:hint="eastAsia"/>
        </w:rPr>
        <w:t>300</w:t>
      </w:r>
      <w:r w:rsidRPr="001855D0">
        <w:rPr>
          <w:rFonts w:cs="Arial"/>
        </w:rPr>
        <w:t xml:space="preserve"> </w:t>
      </w:r>
      <w:r w:rsidRPr="001855D0">
        <w:rPr>
          <w:rFonts w:cs="Arial" w:hint="eastAsia"/>
        </w:rPr>
        <w:t>GHz</w:t>
      </w:r>
      <w:r w:rsidRPr="001855D0">
        <w:rPr>
          <w:rFonts w:cs="Arial"/>
        </w:rPr>
        <w:t xml:space="preserve"> in its questionnaire.</w:t>
      </w:r>
      <w:r w:rsidRPr="001855D0">
        <w:rPr>
          <w:rFonts w:cs="Arial"/>
        </w:rPr>
        <w:br/>
      </w:r>
    </w:p>
    <w:p w14:paraId="3B75FACB" w14:textId="77777777" w:rsidR="001855D0" w:rsidRPr="001855D0" w:rsidRDefault="001855D0" w:rsidP="001855D0">
      <w:pPr>
        <w:rPr>
          <w:rFonts w:cs="Arial"/>
        </w:rPr>
      </w:pPr>
      <w:r w:rsidRPr="001855D0">
        <w:rPr>
          <w:rFonts w:cs="Arial"/>
        </w:rPr>
        <w:t>In the following calculations, the cell-edge Spectral Efficiency (SE) of IMT-2030/6G is assumed to be twice that of IMT-2020/5G, which is a forward-looking assumption with the consideration that IMT-2030/6G will have advanced development of its air-interface technology compared to IMT-2020/5G. For several use-cases such as immersive XR, we also assume advanced video codec, VVC (Versatile Video Coding), along with an optimistic assumption on the compression ratio (e.g., 800:1).</w:t>
      </w:r>
    </w:p>
    <w:p w14:paraId="3823218D" w14:textId="77777777" w:rsidR="001855D0" w:rsidRPr="001855D0" w:rsidRDefault="001855D0" w:rsidP="001855D0">
      <w:pPr>
        <w:rPr>
          <w:rFonts w:cs="Arial"/>
        </w:rPr>
      </w:pPr>
      <w:r w:rsidRPr="001855D0">
        <w:rPr>
          <w:rFonts w:cs="Arial"/>
        </w:rPr>
        <w:br w:type="page"/>
      </w:r>
    </w:p>
    <w:p w14:paraId="36CAF5F7" w14:textId="77777777" w:rsidR="001855D0" w:rsidRPr="001855D0" w:rsidRDefault="001855D0" w:rsidP="001855D0">
      <w:pPr>
        <w:rPr>
          <w:rFonts w:cs="Arial"/>
        </w:rPr>
      </w:pPr>
    </w:p>
    <w:p w14:paraId="234AD31C" w14:textId="77777777" w:rsidR="001855D0" w:rsidRPr="001855D0" w:rsidRDefault="001855D0" w:rsidP="001855D0">
      <w:pPr>
        <w:keepNext/>
        <w:jc w:val="center"/>
        <w:outlineLvl w:val="0"/>
        <w:rPr>
          <w:rFonts w:ascii="Arial" w:hAnsi="Arial" w:cs="Arial"/>
          <w:b/>
          <w:bCs/>
          <w:sz w:val="20"/>
          <w:u w:val="single"/>
          <w:bdr w:val="none" w:sz="0" w:space="0" w:color="auto" w:frame="1"/>
          <w:lang w:val="en-GB"/>
        </w:rPr>
      </w:pPr>
      <w:r w:rsidRPr="001855D0">
        <w:rPr>
          <w:rFonts w:ascii="Arial" w:hAnsi="Arial" w:cs="Arial"/>
          <w:b/>
          <w:bCs/>
          <w:sz w:val="20"/>
          <w:u w:val="single"/>
          <w:bdr w:val="none" w:sz="0" w:space="0" w:color="auto" w:frame="1"/>
          <w:lang w:val="en-GB"/>
        </w:rPr>
        <w:t xml:space="preserve">Spectrum needs estimation methods  </w:t>
      </w:r>
    </w:p>
    <w:p w14:paraId="08918C80" w14:textId="77777777" w:rsidR="001855D0" w:rsidRPr="001855D0" w:rsidRDefault="001855D0" w:rsidP="001855D0">
      <w:pPr>
        <w:rPr>
          <w:lang w:val="en-GB"/>
        </w:rPr>
      </w:pPr>
    </w:p>
    <w:p w14:paraId="52C7CE3C" w14:textId="77777777" w:rsidR="001855D0" w:rsidRPr="001855D0" w:rsidRDefault="001855D0" w:rsidP="001855D0">
      <w:pPr>
        <w:rPr>
          <w:rFonts w:cs="Arial"/>
        </w:rPr>
      </w:pPr>
      <w:r w:rsidRPr="001855D0">
        <w:rPr>
          <w:rFonts w:cs="Arial"/>
        </w:rPr>
        <w:t xml:space="preserve">There is a need to consider different methods for estimating spectrum needs for IMT-2030. This is due to the fact that the requirements of the different IMT-2030/6G use cases can be very divergent. Also, for IMT-2020 [1], there were various methods: traffic forecast-based approach, application-based approach and technical performance-based approach. </w:t>
      </w:r>
    </w:p>
    <w:p w14:paraId="563FB56D" w14:textId="77777777" w:rsidR="001855D0" w:rsidRPr="001855D0" w:rsidRDefault="001855D0" w:rsidP="001855D0">
      <w:pPr>
        <w:rPr>
          <w:rFonts w:cs="Arial"/>
        </w:rPr>
      </w:pPr>
      <w:r w:rsidRPr="001855D0">
        <w:rPr>
          <w:rFonts w:cs="Arial"/>
        </w:rPr>
        <w:t xml:space="preserve">Both methods adopted in this document are technical performance-based. In addition, the approach considers various data-rate requirements of different IMT-2030/6G use cases. Hence, this approach would provide a preliminary analysis of the spectrum needs for each application with </w:t>
      </w:r>
      <w:r w:rsidRPr="001855D0">
        <w:t xml:space="preserve">straight-forward, not overly complicated technical </w:t>
      </w:r>
      <w:r w:rsidRPr="001855D0">
        <w:rPr>
          <w:rFonts w:cs="Arial"/>
        </w:rPr>
        <w:t xml:space="preserve">assessment methods. </w:t>
      </w:r>
      <w:r w:rsidRPr="001855D0">
        <w:rPr>
          <w:rFonts w:eastAsia="Dotum"/>
        </w:rPr>
        <w:t xml:space="preserve">More accurate spectrum needs calculations would require many assumptions including country/deployment dependent (density of population, IMT-2030/6G penetration, etc.) data. </w:t>
      </w:r>
    </w:p>
    <w:p w14:paraId="65200A6F" w14:textId="77777777" w:rsidR="001855D0" w:rsidRPr="001855D0" w:rsidRDefault="001855D0" w:rsidP="001855D0">
      <w:pPr>
        <w:rPr>
          <w:rFonts w:cs="Arial"/>
        </w:rPr>
      </w:pPr>
      <w:r w:rsidRPr="001855D0">
        <w:t>The methods used in this document are presented in the following sub-sections</w:t>
      </w:r>
      <w:r w:rsidRPr="001855D0">
        <w:rPr>
          <w:rFonts w:cs="Arial"/>
        </w:rPr>
        <w:t>.</w:t>
      </w:r>
    </w:p>
    <w:p w14:paraId="193D3D7C" w14:textId="77777777" w:rsidR="001855D0" w:rsidRPr="001855D0" w:rsidRDefault="001855D0" w:rsidP="001855D0">
      <w:pPr>
        <w:rPr>
          <w:rFonts w:cs="Arial"/>
        </w:rPr>
      </w:pPr>
    </w:p>
    <w:p w14:paraId="5D6C8CDF" w14:textId="77777777" w:rsidR="001855D0" w:rsidRPr="001855D0" w:rsidRDefault="001855D0" w:rsidP="001855D0">
      <w:pPr>
        <w:keepNext/>
        <w:keepLines/>
        <w:spacing w:before="40"/>
        <w:outlineLvl w:val="1"/>
        <w:rPr>
          <w:rFonts w:ascii="Arial" w:hAnsi="Arial" w:cs="Arial"/>
          <w:b/>
          <w:bCs/>
          <w:sz w:val="20"/>
          <w:u w:val="single"/>
          <w:bdr w:val="none" w:sz="0" w:space="0" w:color="auto" w:frame="1"/>
          <w:lang w:val="en-GB"/>
        </w:rPr>
      </w:pPr>
      <w:r w:rsidRPr="001855D0">
        <w:rPr>
          <w:rFonts w:ascii="Arial" w:hAnsi="Arial" w:cs="Arial"/>
          <w:b/>
          <w:bCs/>
          <w:sz w:val="20"/>
          <w:u w:val="single"/>
          <w:bdr w:val="none" w:sz="0" w:space="0" w:color="auto" w:frame="1"/>
          <w:lang w:val="en-GB"/>
        </w:rPr>
        <w:t xml:space="preserve">Method 1: Data rate and spectral </w:t>
      </w:r>
      <w:proofErr w:type="gramStart"/>
      <w:r w:rsidRPr="001855D0">
        <w:rPr>
          <w:rFonts w:ascii="Arial" w:hAnsi="Arial" w:cs="Arial"/>
          <w:b/>
          <w:bCs/>
          <w:sz w:val="20"/>
          <w:u w:val="single"/>
          <w:bdr w:val="none" w:sz="0" w:space="0" w:color="auto" w:frame="1"/>
          <w:lang w:val="en-GB"/>
        </w:rPr>
        <w:t>efficiency based</w:t>
      </w:r>
      <w:proofErr w:type="gramEnd"/>
      <w:r w:rsidRPr="001855D0">
        <w:rPr>
          <w:rFonts w:ascii="Arial" w:hAnsi="Arial" w:cs="Arial"/>
          <w:b/>
          <w:bCs/>
          <w:sz w:val="20"/>
          <w:u w:val="single"/>
          <w:bdr w:val="none" w:sz="0" w:space="0" w:color="auto" w:frame="1"/>
          <w:lang w:val="en-GB"/>
        </w:rPr>
        <w:t xml:space="preserve"> method [1]</w:t>
      </w:r>
    </w:p>
    <w:p w14:paraId="28652426" w14:textId="77777777" w:rsidR="001855D0" w:rsidRPr="001855D0" w:rsidRDefault="001855D0" w:rsidP="001855D0"/>
    <w:p w14:paraId="4B28972D" w14:textId="77777777" w:rsidR="001855D0" w:rsidRPr="001855D0" w:rsidRDefault="001855D0" w:rsidP="001855D0">
      <m:oMathPara>
        <m:oMath>
          <m:r>
            <w:rPr>
              <w:rFonts w:ascii="Cambria Math"/>
            </w:rPr>
            <m:t>B=D/S</m:t>
          </m:r>
        </m:oMath>
      </m:oMathPara>
    </w:p>
    <w:p w14:paraId="6F3C7D39" w14:textId="77777777" w:rsidR="001855D0" w:rsidRPr="001855D0" w:rsidRDefault="001855D0" w:rsidP="001855D0">
      <w:pPr>
        <w:rPr>
          <w:rFonts w:cs="Arial"/>
          <w:szCs w:val="20"/>
        </w:rPr>
      </w:pPr>
      <w:r w:rsidRPr="001855D0">
        <w:rPr>
          <w:rFonts w:cs="Arial"/>
          <w:szCs w:val="20"/>
        </w:rPr>
        <w:t>where:</w:t>
      </w:r>
    </w:p>
    <w:p w14:paraId="7E9CF8C7" w14:textId="77777777" w:rsidR="001855D0" w:rsidRPr="001855D0" w:rsidRDefault="001855D0" w:rsidP="001855D0">
      <w:pPr>
        <w:numPr>
          <w:ilvl w:val="0"/>
          <w:numId w:val="21"/>
        </w:numPr>
        <w:spacing w:after="160" w:line="259" w:lineRule="auto"/>
        <w:contextualSpacing/>
        <w:jc w:val="both"/>
        <w:rPr>
          <w:rFonts w:cs="Arial"/>
          <w:szCs w:val="20"/>
        </w:rPr>
      </w:pPr>
      <w:r w:rsidRPr="001855D0">
        <w:rPr>
          <w:rFonts w:eastAsia="SimSun" w:cs="Arial"/>
        </w:rPr>
        <w:t xml:space="preserve">One active user is assumed at the cell edge in a cell requiring a data rate </w:t>
      </w:r>
      <w:r w:rsidRPr="001855D0">
        <w:object w:dxaOrig="260" w:dyaOrig="260" w14:anchorId="4327B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3pt" o:ole="">
            <v:imagedata r:id="rId9" o:title=""/>
          </v:shape>
          <o:OLEObject Type="Embed" ProgID="Equation.DSMT4" ShapeID="_x0000_i1025" DrawAspect="Content" ObjectID="_1737838107" r:id="rId10"/>
        </w:object>
      </w:r>
      <w:r w:rsidRPr="001855D0">
        <w:t>.</w:t>
      </w:r>
      <w:r w:rsidRPr="001855D0">
        <w:rPr>
          <w:rFonts w:eastAsia="SimSun" w:cs="Arial"/>
        </w:rPr>
        <w:t xml:space="preserve">  </w:t>
      </w:r>
    </w:p>
    <w:p w14:paraId="6700DAE8" w14:textId="77777777" w:rsidR="001855D0" w:rsidRPr="001855D0" w:rsidRDefault="001855D0" w:rsidP="001855D0">
      <w:pPr>
        <w:numPr>
          <w:ilvl w:val="0"/>
          <w:numId w:val="21"/>
        </w:numPr>
        <w:spacing w:after="160" w:line="259" w:lineRule="auto"/>
        <w:contextualSpacing/>
        <w:jc w:val="both"/>
      </w:pPr>
      <w:r w:rsidRPr="001855D0">
        <w:rPr>
          <w:rFonts w:cs="Arial"/>
          <w:szCs w:val="20"/>
        </w:rPr>
        <w:object w:dxaOrig="240" w:dyaOrig="260" w14:anchorId="66CACBA3">
          <v:shape id="_x0000_i1026" type="#_x0000_t75" style="width:10pt;height:13pt" o:ole="">
            <v:imagedata r:id="rId11" o:title=""/>
          </v:shape>
          <o:OLEObject Type="Embed" ProgID="Equation.DSMT4" ShapeID="_x0000_i1026" DrawAspect="Content" ObjectID="_1737838108" r:id="rId12"/>
        </w:object>
      </w:r>
      <w:r w:rsidRPr="001855D0">
        <w:t xml:space="preserve"> is the amount of spectrum (Hz) required to support a certain data rate </w:t>
      </w:r>
      <w:r w:rsidRPr="001855D0">
        <w:object w:dxaOrig="260" w:dyaOrig="260" w14:anchorId="0CF30F6C">
          <v:shape id="_x0000_i1027" type="#_x0000_t75" style="width:13pt;height:13pt" o:ole="">
            <v:imagedata r:id="rId9" o:title=""/>
          </v:shape>
          <o:OLEObject Type="Embed" ProgID="Equation.DSMT4" ShapeID="_x0000_i1027" DrawAspect="Content" ObjectID="_1737838109" r:id="rId13"/>
        </w:object>
      </w:r>
      <w:r w:rsidRPr="001855D0">
        <w:t xml:space="preserve">. </w:t>
      </w:r>
    </w:p>
    <w:p w14:paraId="26DAF6C9" w14:textId="77777777" w:rsidR="001855D0" w:rsidRPr="001855D0" w:rsidRDefault="001855D0" w:rsidP="001855D0">
      <w:pPr>
        <w:numPr>
          <w:ilvl w:val="0"/>
          <w:numId w:val="21"/>
        </w:numPr>
        <w:spacing w:after="160" w:line="259" w:lineRule="auto"/>
        <w:contextualSpacing/>
        <w:jc w:val="both"/>
      </w:pPr>
      <w:r w:rsidRPr="001855D0">
        <w:object w:dxaOrig="260" w:dyaOrig="260" w14:anchorId="63A36897">
          <v:shape id="_x0000_i1028" type="#_x0000_t75" style="width:13pt;height:13pt" o:ole="">
            <v:imagedata r:id="rId9" o:title=""/>
          </v:shape>
          <o:OLEObject Type="Embed" ProgID="Equation.DSMT4" ShapeID="_x0000_i1028" DrawAspect="Content" ObjectID="_1737838110" r:id="rId14"/>
        </w:object>
      </w:r>
      <w:r w:rsidRPr="001855D0">
        <w:t xml:space="preserve">is the required data rate (bit/s) by a user/device. </w:t>
      </w:r>
    </w:p>
    <w:p w14:paraId="393A4434" w14:textId="77777777" w:rsidR="001855D0" w:rsidRPr="001855D0" w:rsidRDefault="001855D0" w:rsidP="001855D0">
      <w:pPr>
        <w:numPr>
          <w:ilvl w:val="0"/>
          <w:numId w:val="21"/>
        </w:numPr>
        <w:spacing w:after="160" w:line="259" w:lineRule="auto"/>
        <w:contextualSpacing/>
        <w:jc w:val="both"/>
      </w:pPr>
      <w:r w:rsidRPr="001855D0">
        <w:object w:dxaOrig="220" w:dyaOrig="279" w14:anchorId="0EF05834">
          <v:shape id="_x0000_i1029" type="#_x0000_t75" style="width:10pt;height:17pt" o:ole="">
            <v:imagedata r:id="rId15" o:title=""/>
          </v:shape>
          <o:OLEObject Type="Embed" ProgID="Equation.DSMT4" ShapeID="_x0000_i1029" DrawAspect="Content" ObjectID="_1737838111" r:id="rId16"/>
        </w:object>
      </w:r>
      <w:r w:rsidRPr="001855D0">
        <w:t>is the 5th percentile spectral efficiency (bit/s/Hz/cell), namely, the cell-edge spectral efficiency (</w:t>
      </w:r>
      <w:proofErr w:type="spellStart"/>
      <w:r w:rsidRPr="001855D0">
        <w:t>a.k.a</w:t>
      </w:r>
      <w:proofErr w:type="spellEnd"/>
      <w:r w:rsidRPr="001855D0">
        <w:t>, cell-edge SE).</w:t>
      </w:r>
    </w:p>
    <w:p w14:paraId="0B5747CD" w14:textId="77777777" w:rsidR="001855D0" w:rsidRPr="001855D0" w:rsidRDefault="001855D0" w:rsidP="001855D0">
      <w:pPr>
        <w:spacing w:after="160" w:line="259" w:lineRule="auto"/>
        <w:rPr>
          <w:rFonts w:cs="Arial"/>
        </w:rPr>
      </w:pPr>
      <w:r w:rsidRPr="001855D0">
        <w:rPr>
          <w:rFonts w:cs="Arial"/>
          <w:szCs w:val="20"/>
        </w:rPr>
        <w:t>As mentioned earlier, t</w:t>
      </w:r>
      <w:r w:rsidRPr="001855D0">
        <w:rPr>
          <w:rFonts w:cs="Arial"/>
        </w:rPr>
        <w:t xml:space="preserve">he cell-edge SE of IMT-2030 is assumed to be </w:t>
      </w:r>
      <w:r w:rsidRPr="001855D0">
        <w:rPr>
          <w:rFonts w:cs="Arial"/>
          <w:i/>
          <w:iCs/>
        </w:rPr>
        <w:t>twice</w:t>
      </w:r>
      <w:r w:rsidRPr="001855D0">
        <w:rPr>
          <w:rFonts w:cs="Arial"/>
        </w:rPr>
        <w:t xml:space="preserve"> that of IMT-2020, the latter is specified in ITU-R M.2410. </w:t>
      </w:r>
      <w:r w:rsidRPr="001855D0">
        <w:rPr>
          <w:rFonts w:cs="Arial"/>
          <w:szCs w:val="20"/>
        </w:rPr>
        <w:t xml:space="preserve">In ITU-R M.2412, which contains the assumptions and evaluation methodology that led to the spectral efficiency figures of M.2410, 10 active users were assumed in a cell. Hence, by using the IMT-2020 SE (and the methodologies described in M.2412, M.2410) as a baseline for estimating the SE of IMT-2030, this calculation method implicitly assumes 10 active users in the entire cell, of which 1 user is located at the cell edge. </w:t>
      </w:r>
      <w:r w:rsidRPr="001855D0">
        <w:rPr>
          <w:rFonts w:cs="Arial"/>
        </w:rPr>
        <w:t>While multiple users are served in the same cell, it is expected that the cell-edge user dominates the spectrum needs due to reduced spectral efficiency.</w:t>
      </w:r>
    </w:p>
    <w:p w14:paraId="2E6A2CD6" w14:textId="77777777" w:rsidR="001855D0" w:rsidRPr="001855D0" w:rsidRDefault="001855D0" w:rsidP="001855D0">
      <w:pPr>
        <w:keepNext/>
        <w:keepLines/>
        <w:spacing w:before="40"/>
        <w:outlineLvl w:val="1"/>
        <w:rPr>
          <w:rFonts w:ascii="Arial" w:hAnsi="Arial" w:cs="Arial"/>
          <w:b/>
          <w:bCs/>
          <w:sz w:val="20"/>
          <w:u w:val="single"/>
          <w:bdr w:val="none" w:sz="0" w:space="0" w:color="auto" w:frame="1"/>
          <w:lang w:val="en-GB"/>
        </w:rPr>
      </w:pPr>
    </w:p>
    <w:p w14:paraId="3A46CB69" w14:textId="77777777" w:rsidR="001855D0" w:rsidRPr="001855D0" w:rsidRDefault="001855D0" w:rsidP="001855D0">
      <w:pPr>
        <w:keepNext/>
        <w:keepLines/>
        <w:spacing w:before="40"/>
        <w:outlineLvl w:val="1"/>
        <w:rPr>
          <w:rFonts w:ascii="Arial" w:hAnsi="Arial" w:cs="Arial"/>
          <w:b/>
          <w:bCs/>
          <w:sz w:val="20"/>
          <w:u w:val="single"/>
          <w:bdr w:val="none" w:sz="0" w:space="0" w:color="auto" w:frame="1"/>
          <w:lang w:val="en-GB"/>
        </w:rPr>
      </w:pPr>
      <w:r w:rsidRPr="001855D0">
        <w:rPr>
          <w:rFonts w:ascii="Arial" w:hAnsi="Arial" w:cs="Arial"/>
          <w:b/>
          <w:bCs/>
          <w:sz w:val="20"/>
          <w:u w:val="single"/>
          <w:bdr w:val="none" w:sz="0" w:space="0" w:color="auto" w:frame="1"/>
          <w:lang w:val="en-GB"/>
        </w:rPr>
        <w:t>Method 2: High accuracy sensing/positioning based method [2]</w:t>
      </w:r>
      <w:r w:rsidRPr="001855D0">
        <w:rPr>
          <w:rFonts w:ascii="Arial" w:hAnsi="Arial" w:cs="Arial"/>
          <w:b/>
          <w:bCs/>
          <w:sz w:val="20"/>
          <w:u w:val="single"/>
          <w:bdr w:val="none" w:sz="0" w:space="0" w:color="auto" w:frame="1"/>
          <w:lang w:val="en-GB"/>
        </w:rPr>
        <w:br/>
      </w:r>
    </w:p>
    <w:p w14:paraId="48F6416D" w14:textId="77777777" w:rsidR="001855D0" w:rsidRPr="001855D0" w:rsidRDefault="001855D0" w:rsidP="001855D0">
      <w:r w:rsidRPr="001855D0">
        <w:t>This method is suitable for use cases where high accuracy sensing and positioning is needed.</w:t>
      </w:r>
    </w:p>
    <w:p w14:paraId="2A38DAF9" w14:textId="77777777" w:rsidR="001855D0" w:rsidRPr="001855D0" w:rsidRDefault="001855D0" w:rsidP="001855D0">
      <w:pPr>
        <w:rPr>
          <w:rFonts w:cs="Arial"/>
        </w:rPr>
      </w:pPr>
      <m:oMathPara>
        <m:oMath>
          <m:r>
            <w:rPr>
              <w:rFonts w:ascii="Cambria Math"/>
            </w:rPr>
            <m:t>B=</m:t>
          </m:r>
          <m:f>
            <m:fPr>
              <m:ctrlPr>
                <w:rPr>
                  <w:rFonts w:ascii="Cambria Math" w:hAnsi="Cambria Math"/>
                  <w:i/>
                </w:rPr>
              </m:ctrlPr>
            </m:fPr>
            <m:num>
              <m:r>
                <w:rPr>
                  <w:rFonts w:ascii="Cambria Math"/>
                </w:rPr>
                <m:t>c</m:t>
              </m:r>
            </m:num>
            <m:den>
              <m:r>
                <w:rPr>
                  <w:rFonts w:ascii="Cambria Math"/>
                </w:rPr>
                <m:t>2</m:t>
              </m:r>
              <m:r>
                <w:rPr>
                  <w:rFonts w:ascii="Cambria Math" w:hAnsi="Cambria Math"/>
                </w:rPr>
                <m:t>∆</m:t>
              </m:r>
              <m:r>
                <w:rPr>
                  <w:rFonts w:ascii="Cambria Math"/>
                </w:rPr>
                <m:t>r</m:t>
              </m:r>
            </m:den>
          </m:f>
        </m:oMath>
      </m:oMathPara>
    </w:p>
    <w:p w14:paraId="62355D45" w14:textId="77777777" w:rsidR="001855D0" w:rsidRPr="001855D0" w:rsidRDefault="001855D0" w:rsidP="001855D0">
      <w:pPr>
        <w:rPr>
          <w:rFonts w:cs="Arial"/>
          <w:szCs w:val="20"/>
        </w:rPr>
      </w:pPr>
      <w:r w:rsidRPr="001855D0">
        <w:rPr>
          <w:rFonts w:cs="Arial"/>
          <w:szCs w:val="20"/>
        </w:rPr>
        <w:t>where:</w:t>
      </w:r>
    </w:p>
    <w:p w14:paraId="3447FF9A" w14:textId="77777777" w:rsidR="001855D0" w:rsidRPr="001855D0" w:rsidRDefault="001855D0" w:rsidP="001855D0">
      <w:pPr>
        <w:numPr>
          <w:ilvl w:val="0"/>
          <w:numId w:val="22"/>
        </w:numPr>
        <w:spacing w:before="240" w:after="60"/>
        <w:contextualSpacing/>
        <w:jc w:val="both"/>
      </w:pPr>
      <w:r w:rsidRPr="001855D0">
        <w:object w:dxaOrig="240" w:dyaOrig="260" w14:anchorId="35747338">
          <v:shape id="_x0000_i1030" type="#_x0000_t75" style="width:10pt;height:13pt" o:ole="">
            <v:imagedata r:id="rId11" o:title=""/>
          </v:shape>
          <o:OLEObject Type="Embed" ProgID="Equation.DSMT4" ShapeID="_x0000_i1030" DrawAspect="Content" ObjectID="_1737838112" r:id="rId17"/>
        </w:object>
      </w:r>
      <w:r w:rsidRPr="001855D0">
        <w:rPr>
          <w:rFonts w:cs="Arial"/>
          <w:szCs w:val="20"/>
        </w:rPr>
        <w:t xml:space="preserve"> is the required bandwidth (Hz).</w:t>
      </w:r>
    </w:p>
    <w:p w14:paraId="49258120" w14:textId="77777777" w:rsidR="001855D0" w:rsidRPr="001855D0" w:rsidRDefault="001855D0" w:rsidP="001855D0">
      <w:pPr>
        <w:numPr>
          <w:ilvl w:val="0"/>
          <w:numId w:val="22"/>
        </w:numPr>
        <w:spacing w:before="240" w:after="60"/>
        <w:contextualSpacing/>
        <w:jc w:val="both"/>
      </w:pPr>
      <m:oMath>
        <m:r>
          <w:rPr>
            <w:rFonts w:ascii="Cambria Math" w:hAnsi="Cambria Math" w:cs="Arial"/>
          </w:rPr>
          <m:t>c</m:t>
        </m:r>
      </m:oMath>
      <w:r w:rsidRPr="001855D0">
        <w:rPr>
          <w:rFonts w:cs="Arial"/>
        </w:rPr>
        <w:t xml:space="preserve"> is the speed of light (m/s).</w:t>
      </w:r>
    </w:p>
    <w:p w14:paraId="3ED77BB9" w14:textId="77777777" w:rsidR="001855D0" w:rsidRPr="001855D0" w:rsidRDefault="001855D0" w:rsidP="001855D0">
      <w:pPr>
        <w:numPr>
          <w:ilvl w:val="0"/>
          <w:numId w:val="22"/>
        </w:numPr>
        <w:spacing w:after="160" w:line="259" w:lineRule="auto"/>
        <w:contextualSpacing/>
        <w:jc w:val="both"/>
        <w:rPr>
          <w:rFonts w:cs="Arial"/>
        </w:rPr>
      </w:pPr>
      <m:oMath>
        <m:r>
          <w:rPr>
            <w:rFonts w:ascii="Cambria Math" w:hAnsi="Cambria Math"/>
          </w:rPr>
          <m:t>∆</m:t>
        </m:r>
        <m:r>
          <w:rPr>
            <w:rFonts w:ascii="Cambria Math"/>
          </w:rPr>
          <m:t>r</m:t>
        </m:r>
      </m:oMath>
      <w:r w:rsidRPr="001855D0">
        <w:rPr>
          <w:rFonts w:cs="Arial"/>
        </w:rPr>
        <w:t xml:space="preserve"> is the range resolution (m). </w:t>
      </w:r>
    </w:p>
    <w:p w14:paraId="6BB22C8A" w14:textId="77777777" w:rsidR="001855D0" w:rsidRPr="001855D0" w:rsidRDefault="001855D0" w:rsidP="001855D0">
      <w:pPr>
        <w:rPr>
          <w:rFonts w:ascii="Arial" w:hAnsi="Arial" w:cs="Arial"/>
          <w:b/>
          <w:bCs/>
          <w:sz w:val="20"/>
          <w:u w:val="single"/>
          <w:bdr w:val="none" w:sz="0" w:space="0" w:color="auto" w:frame="1"/>
          <w:lang w:val="en-GB"/>
        </w:rPr>
      </w:pPr>
      <w:r w:rsidRPr="001855D0">
        <w:rPr>
          <w:rFonts w:ascii="Arial" w:hAnsi="Arial" w:cs="Arial"/>
          <w:sz w:val="20"/>
          <w:bdr w:val="none" w:sz="0" w:space="0" w:color="auto" w:frame="1"/>
          <w:lang w:val="en-GB"/>
        </w:rPr>
        <w:br w:type="page"/>
      </w:r>
    </w:p>
    <w:p w14:paraId="2D639D26" w14:textId="77777777" w:rsidR="001855D0" w:rsidRPr="001855D0" w:rsidRDefault="001855D0" w:rsidP="001855D0">
      <w:pPr>
        <w:keepNext/>
        <w:jc w:val="center"/>
        <w:outlineLvl w:val="0"/>
        <w:rPr>
          <w:rFonts w:ascii="Arial" w:hAnsi="Arial" w:cs="Arial"/>
          <w:b/>
          <w:bCs/>
          <w:sz w:val="20"/>
          <w:u w:val="single"/>
          <w:bdr w:val="none" w:sz="0" w:space="0" w:color="auto" w:frame="1"/>
          <w:lang w:val="en-GB"/>
        </w:rPr>
      </w:pPr>
    </w:p>
    <w:p w14:paraId="61908DC0" w14:textId="77777777" w:rsidR="001855D0" w:rsidRPr="001855D0" w:rsidRDefault="001855D0" w:rsidP="001855D0">
      <w:pPr>
        <w:keepNext/>
        <w:jc w:val="center"/>
        <w:outlineLvl w:val="0"/>
        <w:rPr>
          <w:rFonts w:ascii="Arial" w:hAnsi="Arial" w:cs="Arial"/>
          <w:b/>
          <w:bCs/>
          <w:sz w:val="20"/>
          <w:u w:val="single"/>
          <w:bdr w:val="none" w:sz="0" w:space="0" w:color="auto" w:frame="1"/>
          <w:lang w:val="en-GB"/>
        </w:rPr>
      </w:pPr>
      <w:r w:rsidRPr="001855D0">
        <w:rPr>
          <w:rFonts w:ascii="Arial" w:hAnsi="Arial" w:cs="Arial"/>
          <w:b/>
          <w:bCs/>
          <w:sz w:val="20"/>
          <w:u w:val="single"/>
          <w:bdr w:val="none" w:sz="0" w:space="0" w:color="auto" w:frame="1"/>
          <w:lang w:val="en-GB"/>
        </w:rPr>
        <w:t>Spectrum needs estimation of some IMT-2030/6G use cases</w:t>
      </w:r>
      <w:r w:rsidRPr="001855D0">
        <w:rPr>
          <w:rFonts w:ascii="Arial" w:hAnsi="Arial" w:cs="Arial"/>
          <w:b/>
          <w:bCs/>
          <w:sz w:val="20"/>
          <w:u w:val="single"/>
          <w:bdr w:val="none" w:sz="0" w:space="0" w:color="auto" w:frame="1"/>
          <w:lang w:val="en-GB"/>
        </w:rPr>
        <w:br/>
      </w:r>
    </w:p>
    <w:p w14:paraId="019ADB84" w14:textId="77777777" w:rsidR="001855D0" w:rsidRPr="001855D0" w:rsidRDefault="001855D0" w:rsidP="001855D0">
      <w:pPr>
        <w:keepNext/>
        <w:keepLines/>
        <w:spacing w:before="40"/>
        <w:outlineLvl w:val="1"/>
        <w:rPr>
          <w:rFonts w:ascii="Arial" w:eastAsiaTheme="majorEastAsia" w:hAnsi="Arial" w:cs="Arial"/>
          <w:color w:val="365F91" w:themeColor="accent1" w:themeShade="BF"/>
          <w:sz w:val="20"/>
          <w:szCs w:val="26"/>
          <w:bdr w:val="none" w:sz="0" w:space="0" w:color="auto" w:frame="1"/>
          <w:lang w:val="en-GB"/>
        </w:rPr>
      </w:pPr>
      <w:r w:rsidRPr="001855D0">
        <w:rPr>
          <w:rFonts w:ascii="Arial" w:hAnsi="Arial" w:cs="Arial"/>
          <w:b/>
          <w:bCs/>
          <w:sz w:val="20"/>
          <w:u w:val="single"/>
          <w:bdr w:val="none" w:sz="0" w:space="0" w:color="auto" w:frame="1"/>
          <w:lang w:val="en-GB"/>
        </w:rPr>
        <w:t xml:space="preserve">XR </w:t>
      </w:r>
      <w:r w:rsidRPr="001855D0">
        <w:rPr>
          <w:rFonts w:ascii="Arial" w:eastAsiaTheme="majorEastAsia" w:hAnsi="Arial" w:cs="Arial"/>
          <w:color w:val="365F91" w:themeColor="accent1" w:themeShade="BF"/>
          <w:sz w:val="20"/>
          <w:szCs w:val="26"/>
          <w:bdr w:val="none" w:sz="0" w:space="0" w:color="auto" w:frame="1"/>
          <w:lang w:val="en-GB"/>
        </w:rPr>
        <w:t xml:space="preserve"> </w:t>
      </w:r>
      <w:r w:rsidRPr="001855D0">
        <w:rPr>
          <w:rFonts w:ascii="Arial" w:eastAsiaTheme="majorEastAsia" w:hAnsi="Arial" w:cs="Arial"/>
          <w:color w:val="365F91" w:themeColor="accent1" w:themeShade="BF"/>
          <w:sz w:val="20"/>
          <w:szCs w:val="26"/>
          <w:bdr w:val="none" w:sz="0" w:space="0" w:color="auto" w:frame="1"/>
          <w:lang w:val="en-GB"/>
        </w:rPr>
        <w:br/>
      </w:r>
    </w:p>
    <w:p w14:paraId="2CE4057C" w14:textId="77777777" w:rsidR="001855D0" w:rsidRDefault="001855D0" w:rsidP="001855D0">
      <w:pPr>
        <w:rPr>
          <w:rFonts w:cs="Arial"/>
        </w:rPr>
      </w:pPr>
      <w:r w:rsidRPr="001855D0">
        <w:rPr>
          <w:rFonts w:cs="Arial"/>
        </w:rPr>
        <w:t>Extended Reality (XR) is an umbrella term encompassing Virtual Reality (VR), Augmented Reality (AR), and Mixed Reality (MR). In conventional XR, the data processing required to present immersive experiences are carried out by the user devices themselves, thereby contributing to the size/weight, complexity, cost and energy consumption of the user devices. To mitigate this, cloud-based technologies and XR will be brought together to deliver superior experiences via cloud-based platforms, i.e. Cloud XR [3].</w:t>
      </w:r>
    </w:p>
    <w:p w14:paraId="42B3382B" w14:textId="77777777" w:rsidR="00CB6C10" w:rsidRPr="001855D0" w:rsidRDefault="00CB6C10" w:rsidP="001855D0">
      <w:pPr>
        <w:rPr>
          <w:rFonts w:cs="Arial"/>
        </w:rPr>
      </w:pPr>
    </w:p>
    <w:p w14:paraId="707EB1F5" w14:textId="77777777" w:rsidR="001855D0" w:rsidRDefault="001855D0" w:rsidP="001855D0">
      <w:pPr>
        <w:rPr>
          <w:rFonts w:ascii="SimSun" w:eastAsia="SimSun" w:hAnsi="SimSun" w:cs="SimSun"/>
          <w:lang w:eastAsia="zh-CN"/>
        </w:rPr>
      </w:pPr>
      <w:r w:rsidRPr="001855D0">
        <w:rPr>
          <w:rFonts w:cs="Arial"/>
        </w:rPr>
        <w:t>In Cloud XR, content will be stored, rendered and computed in the cloud, i.e. in the network. This will greatly reduce the computing load and energy consumption of XR devices. As such, lightweight devices and network communication are combined to provide ubiquitous XR services across the network [4]</w:t>
      </w:r>
      <w:r w:rsidRPr="001855D0">
        <w:rPr>
          <w:rFonts w:ascii="SimSun" w:eastAsia="SimSun" w:hAnsi="SimSun" w:cs="SimSun" w:hint="eastAsia"/>
          <w:lang w:eastAsia="zh-CN"/>
        </w:rPr>
        <w:t>.</w:t>
      </w:r>
    </w:p>
    <w:p w14:paraId="477DEE8D" w14:textId="77777777" w:rsidR="00CB6C10" w:rsidRPr="001855D0" w:rsidRDefault="00CB6C10" w:rsidP="001855D0">
      <w:pPr>
        <w:rPr>
          <w:rFonts w:cs="Arial"/>
        </w:rPr>
      </w:pPr>
    </w:p>
    <w:p w14:paraId="45357C73" w14:textId="77777777" w:rsidR="001855D0" w:rsidRDefault="001855D0" w:rsidP="001855D0">
      <w:pPr>
        <w:rPr>
          <w:rFonts w:cs="Arial"/>
        </w:rPr>
      </w:pPr>
      <w:r w:rsidRPr="001855D0">
        <w:rPr>
          <w:rFonts w:cs="Arial"/>
        </w:rPr>
        <w:t xml:space="preserve">IMT-2020 Cloud XR [4] currently supports a motion-to-photon (MTP) latency of less than 20 </w:t>
      </w:r>
      <w:proofErr w:type="spellStart"/>
      <w:r w:rsidRPr="001855D0">
        <w:rPr>
          <w:rFonts w:cs="Arial"/>
        </w:rPr>
        <w:t>ms</w:t>
      </w:r>
      <w:proofErr w:type="spellEnd"/>
      <w:r w:rsidRPr="001855D0">
        <w:rPr>
          <w:rFonts w:cs="Arial"/>
        </w:rPr>
        <w:t xml:space="preserve"> and end-to-end latency of up to 70 </w:t>
      </w:r>
      <w:proofErr w:type="spellStart"/>
      <w:r w:rsidRPr="001855D0">
        <w:rPr>
          <w:rFonts w:cs="Arial"/>
        </w:rPr>
        <w:t>ms.</w:t>
      </w:r>
      <w:proofErr w:type="spellEnd"/>
      <w:r w:rsidRPr="001855D0">
        <w:rPr>
          <w:rFonts w:cs="Arial"/>
        </w:rPr>
        <w:t xml:space="preserve"> Towards 2030 and beyond, the end-to-end latency of cloud XR is expected to be further reduced to below 10 </w:t>
      </w:r>
      <w:proofErr w:type="spellStart"/>
      <w:r w:rsidRPr="001855D0">
        <w:rPr>
          <w:rFonts w:cs="Arial"/>
        </w:rPr>
        <w:t>ms</w:t>
      </w:r>
      <w:proofErr w:type="spellEnd"/>
      <w:r w:rsidRPr="001855D0">
        <w:rPr>
          <w:rFonts w:cs="Arial"/>
        </w:rPr>
        <w:t xml:space="preserve"> through the use of IMT-2030 technology. A fully immersive XR experience requires 16K</w:t>
      </w:r>
      <w:r w:rsidRPr="001855D0">
        <w:rPr>
          <w:rFonts w:cs="Arial"/>
        </w:rPr>
        <w:sym w:font="Symbol" w:char="F0B4"/>
      </w:r>
      <w:proofErr w:type="spellStart"/>
      <w:r w:rsidRPr="001855D0">
        <w:rPr>
          <w:rFonts w:cs="Arial"/>
        </w:rPr>
        <w:t>16K</w:t>
      </w:r>
      <w:proofErr w:type="spellEnd"/>
      <w:r w:rsidRPr="001855D0">
        <w:rPr>
          <w:rFonts w:cs="Arial"/>
        </w:rPr>
        <w:t xml:space="preserve"> resolution, a frame rate of at least 60 Hz (for single eye), and each pixel being represented by 12 bits. To reduce motion sickness, the required throughput will approximate be 0.45 Gbit/s</w:t>
      </w:r>
      <w:r w:rsidRPr="001855D0">
        <w:rPr>
          <w:vertAlign w:val="superscript"/>
        </w:rPr>
        <w:footnoteReference w:id="2"/>
      </w:r>
      <w:r w:rsidRPr="001855D0">
        <w:rPr>
          <w:rFonts w:cs="Arial"/>
        </w:rPr>
        <w:t xml:space="preserve">, given </w:t>
      </w:r>
      <w:proofErr w:type="gramStart"/>
      <w:r w:rsidRPr="001855D0">
        <w:rPr>
          <w:rFonts w:cs="Arial"/>
        </w:rPr>
        <w:t>a</w:t>
      </w:r>
      <w:proofErr w:type="gramEnd"/>
      <w:r w:rsidRPr="001855D0">
        <w:rPr>
          <w:rFonts w:cs="Arial"/>
        </w:rPr>
        <w:t xml:space="preserve"> 800:1 compression ratio. </w:t>
      </w:r>
    </w:p>
    <w:p w14:paraId="2FF430D4" w14:textId="77777777" w:rsidR="00CB6C10" w:rsidRPr="001855D0" w:rsidRDefault="00CB6C10" w:rsidP="001855D0">
      <w:pPr>
        <w:rPr>
          <w:rFonts w:cs="Arial"/>
        </w:rPr>
      </w:pPr>
    </w:p>
    <w:p w14:paraId="460201D1" w14:textId="77777777" w:rsidR="001855D0" w:rsidRDefault="001855D0" w:rsidP="001855D0">
      <w:pPr>
        <w:rPr>
          <w:rFonts w:cs="Arial"/>
        </w:rPr>
      </w:pPr>
      <w:r w:rsidRPr="001855D0">
        <w:rPr>
          <w:rFonts w:cs="Arial"/>
        </w:rPr>
        <w:t>Table 4 shows the required bandwidths for Cloud XR, derived based on Method 1 (</w:t>
      </w:r>
      <m:oMath>
        <m:r>
          <w:rPr>
            <w:rFonts w:ascii="Cambria Math" w:hAnsi="Cambria Math" w:cs="Arial"/>
          </w:rPr>
          <m:t>B</m:t>
        </m:r>
        <m:r>
          <m:rPr>
            <m:sty m:val="p"/>
          </m:rPr>
          <w:rPr>
            <w:rFonts w:ascii="Cambria Math" w:hAnsi="Cambria Math" w:cs="Arial"/>
          </w:rPr>
          <m:t>=</m:t>
        </m:r>
        <m:f>
          <m:fPr>
            <m:type m:val="lin"/>
            <m:ctrlPr>
              <w:rPr>
                <w:rFonts w:ascii="Cambria Math" w:hAnsi="Cambria Math" w:cs="Arial"/>
              </w:rPr>
            </m:ctrlPr>
          </m:fPr>
          <m:num>
            <m:r>
              <w:rPr>
                <w:rFonts w:ascii="Cambria Math" w:hAnsi="Cambria Math" w:cs="Arial"/>
              </w:rPr>
              <m:t>D</m:t>
            </m:r>
          </m:num>
          <m:den>
            <m:r>
              <w:rPr>
                <w:rFonts w:ascii="Cambria Math" w:hAnsi="Cambria Math" w:cs="Arial"/>
              </w:rPr>
              <m:t>S</m:t>
            </m:r>
          </m:den>
        </m:f>
      </m:oMath>
      <w:r w:rsidRPr="001855D0">
        <w:rPr>
          <w:rFonts w:cs="Arial"/>
        </w:rPr>
        <w:t xml:space="preserve">), assuming a cell-edge SE of 0.45 bits/s/Hz/cell for outdoor and 0.6 bits/s/Hz/cell for Indoor, and a link throughput </w:t>
      </w:r>
      <m:oMath>
        <m:r>
          <w:rPr>
            <w:rFonts w:ascii="Cambria Math" w:hAnsi="Cambria Math" w:cs="Arial"/>
          </w:rPr>
          <m:t>D</m:t>
        </m:r>
      </m:oMath>
      <w:r w:rsidRPr="001855D0">
        <w:rPr>
          <w:rFonts w:cs="Arial"/>
        </w:rPr>
        <w:t xml:space="preserve"> of 450 Mbit/s.</w:t>
      </w:r>
    </w:p>
    <w:p w14:paraId="560C8FBB" w14:textId="77777777" w:rsidR="00CB6C10" w:rsidRPr="001855D0" w:rsidRDefault="00CB6C10" w:rsidP="001855D0">
      <w:pPr>
        <w:rPr>
          <w:rFonts w:cs="Arial"/>
        </w:rPr>
      </w:pPr>
    </w:p>
    <w:p w14:paraId="3AF2ECD9" w14:textId="77777777" w:rsidR="001855D0" w:rsidRPr="001855D0" w:rsidRDefault="001855D0" w:rsidP="001855D0">
      <w:pPr>
        <w:rPr>
          <w:rFonts w:cs="Arial"/>
        </w:rPr>
      </w:pPr>
      <w:r w:rsidRPr="001855D0">
        <w:rPr>
          <w:rFonts w:cs="Arial"/>
        </w:rPr>
        <w:t>The resulting B (in MHz) is as follows assuming a dense-urban eMBB scenario in the calculation.</w:t>
      </w:r>
    </w:p>
    <w:p w14:paraId="14751A99" w14:textId="77777777" w:rsidR="001855D0" w:rsidRPr="001855D0" w:rsidRDefault="001855D0" w:rsidP="001855D0">
      <w:pPr>
        <w:keepNext/>
        <w:tabs>
          <w:tab w:val="left" w:pos="1134"/>
          <w:tab w:val="left" w:pos="1871"/>
          <w:tab w:val="left" w:pos="2268"/>
        </w:tabs>
        <w:suppressAutoHyphens/>
        <w:overflowPunct w:val="0"/>
        <w:spacing w:before="560" w:after="120"/>
        <w:jc w:val="center"/>
        <w:textAlignment w:val="baseline"/>
        <w:rPr>
          <w:rFonts w:eastAsia="MS Mincho" w:cs="Arial"/>
          <w:caps/>
          <w:szCs w:val="20"/>
          <w:lang w:eastAsia="ja-JP"/>
        </w:rPr>
      </w:pPr>
      <w:r w:rsidRPr="001855D0">
        <w:rPr>
          <w:rFonts w:eastAsia="SimSun" w:cs="Arial"/>
          <w:caps/>
          <w:szCs w:val="20"/>
        </w:rPr>
        <w:t>Table 4</w:t>
      </w:r>
    </w:p>
    <w:p w14:paraId="6B8A2A49" w14:textId="77777777" w:rsidR="001855D0" w:rsidRPr="001855D0" w:rsidRDefault="001855D0" w:rsidP="001855D0">
      <w:pPr>
        <w:keepNext/>
        <w:keepLines/>
        <w:tabs>
          <w:tab w:val="left" w:pos="1134"/>
          <w:tab w:val="left" w:pos="1871"/>
          <w:tab w:val="left" w:pos="2268"/>
        </w:tabs>
        <w:suppressAutoHyphens/>
        <w:overflowPunct w:val="0"/>
        <w:spacing w:after="120"/>
        <w:jc w:val="center"/>
        <w:textAlignment w:val="baseline"/>
        <w:rPr>
          <w:rFonts w:eastAsia="MS Mincho" w:cs="Arial"/>
          <w:b/>
          <w:bCs/>
          <w:szCs w:val="20"/>
          <w:lang w:eastAsia="ja-JP"/>
        </w:rPr>
      </w:pPr>
      <w:r w:rsidRPr="001855D0">
        <w:rPr>
          <w:rFonts w:eastAsia="MS Mincho" w:cs="Arial"/>
          <w:b/>
          <w:bCs/>
          <w:szCs w:val="20"/>
          <w:lang w:eastAsia="ja-JP"/>
        </w:rPr>
        <w:t>DL Spectrum needs to support Cloud XR</w:t>
      </w:r>
    </w:p>
    <w:tbl>
      <w:tblPr>
        <w:tblStyle w:val="TableGrid"/>
        <w:tblW w:w="0" w:type="auto"/>
        <w:jc w:val="center"/>
        <w:tblLook w:val="04A0" w:firstRow="1" w:lastRow="0" w:firstColumn="1" w:lastColumn="0" w:noHBand="0" w:noVBand="1"/>
      </w:tblPr>
      <w:tblGrid>
        <w:gridCol w:w="2589"/>
        <w:gridCol w:w="2202"/>
      </w:tblGrid>
      <w:tr w:rsidR="001855D0" w:rsidRPr="001855D0" w14:paraId="41C4D0C2" w14:textId="77777777" w:rsidTr="00D725E4">
        <w:trPr>
          <w:trHeight w:val="360"/>
          <w:jc w:val="center"/>
        </w:trPr>
        <w:tc>
          <w:tcPr>
            <w:tcW w:w="4791" w:type="dxa"/>
            <w:gridSpan w:val="2"/>
          </w:tcPr>
          <w:p w14:paraId="2E851008" w14:textId="77777777" w:rsidR="001855D0" w:rsidRPr="001855D0" w:rsidRDefault="001855D0" w:rsidP="001855D0">
            <w:pPr>
              <w:jc w:val="center"/>
              <w:rPr>
                <w:rFonts w:cs="Arial"/>
                <w:szCs w:val="20"/>
              </w:rPr>
            </w:pPr>
            <w:r w:rsidRPr="001855D0">
              <w:rPr>
                <w:rFonts w:cs="Arial"/>
                <w:szCs w:val="20"/>
              </w:rPr>
              <w:t>DL spectrum needs for Cloud XR (GHz per Network)</w:t>
            </w:r>
          </w:p>
        </w:tc>
      </w:tr>
      <w:tr w:rsidR="001855D0" w:rsidRPr="001855D0" w14:paraId="4135A2E3" w14:textId="77777777" w:rsidTr="00D725E4">
        <w:trPr>
          <w:trHeight w:val="180"/>
          <w:jc w:val="center"/>
        </w:trPr>
        <w:tc>
          <w:tcPr>
            <w:tcW w:w="2589" w:type="dxa"/>
          </w:tcPr>
          <w:p w14:paraId="368971C0" w14:textId="77777777" w:rsidR="001855D0" w:rsidRPr="001855D0" w:rsidRDefault="001855D0" w:rsidP="001855D0">
            <w:pPr>
              <w:jc w:val="center"/>
              <w:rPr>
                <w:rFonts w:cs="Arial"/>
                <w:szCs w:val="20"/>
              </w:rPr>
            </w:pPr>
            <w:r w:rsidRPr="001855D0">
              <w:rPr>
                <w:rFonts w:cs="Arial"/>
                <w:szCs w:val="20"/>
              </w:rPr>
              <w:t>Indoor</w:t>
            </w:r>
          </w:p>
        </w:tc>
        <w:tc>
          <w:tcPr>
            <w:tcW w:w="2202" w:type="dxa"/>
          </w:tcPr>
          <w:p w14:paraId="51DDB355" w14:textId="77777777" w:rsidR="001855D0" w:rsidRPr="001855D0" w:rsidRDefault="001855D0" w:rsidP="001855D0">
            <w:pPr>
              <w:jc w:val="center"/>
              <w:rPr>
                <w:rFonts w:cs="Arial"/>
                <w:szCs w:val="20"/>
              </w:rPr>
            </w:pPr>
            <w:r w:rsidRPr="001855D0">
              <w:rPr>
                <w:rFonts w:cs="Arial"/>
                <w:szCs w:val="20"/>
              </w:rPr>
              <w:t>Outdoor</w:t>
            </w:r>
          </w:p>
        </w:tc>
      </w:tr>
      <w:tr w:rsidR="001855D0" w:rsidRPr="001855D0" w14:paraId="01AAAE30" w14:textId="77777777" w:rsidTr="00D725E4">
        <w:trPr>
          <w:trHeight w:val="180"/>
          <w:jc w:val="center"/>
        </w:trPr>
        <w:tc>
          <w:tcPr>
            <w:tcW w:w="2589" w:type="dxa"/>
          </w:tcPr>
          <w:p w14:paraId="41B6C498" w14:textId="77777777" w:rsidR="001855D0" w:rsidRPr="001855D0" w:rsidRDefault="001855D0" w:rsidP="001855D0">
            <w:pPr>
              <w:jc w:val="center"/>
              <w:rPr>
                <w:rFonts w:cs="Arial"/>
                <w:b/>
                <w:bCs/>
                <w:szCs w:val="20"/>
              </w:rPr>
            </w:pPr>
            <w:r w:rsidRPr="001855D0">
              <w:rPr>
                <w:rFonts w:cs="Arial"/>
                <w:b/>
                <w:bCs/>
                <w:szCs w:val="20"/>
              </w:rPr>
              <w:t>0.75</w:t>
            </w:r>
          </w:p>
        </w:tc>
        <w:tc>
          <w:tcPr>
            <w:tcW w:w="2202" w:type="dxa"/>
          </w:tcPr>
          <w:p w14:paraId="1BA0C4CD" w14:textId="77777777" w:rsidR="001855D0" w:rsidRPr="001855D0" w:rsidRDefault="001855D0" w:rsidP="001855D0">
            <w:pPr>
              <w:jc w:val="center"/>
              <w:rPr>
                <w:rFonts w:eastAsia="SimSun" w:cs="Arial"/>
                <w:b/>
                <w:bCs/>
                <w:szCs w:val="20"/>
              </w:rPr>
            </w:pPr>
            <w:r w:rsidRPr="001855D0">
              <w:rPr>
                <w:rFonts w:eastAsia="SimSun" w:cs="Arial"/>
                <w:b/>
                <w:bCs/>
                <w:szCs w:val="20"/>
              </w:rPr>
              <w:t>1</w:t>
            </w:r>
          </w:p>
        </w:tc>
      </w:tr>
    </w:tbl>
    <w:p w14:paraId="0BE92661" w14:textId="77777777" w:rsidR="001855D0" w:rsidRPr="001855D0" w:rsidRDefault="001855D0" w:rsidP="001855D0">
      <w:pPr>
        <w:keepNext/>
        <w:keepLines/>
        <w:tabs>
          <w:tab w:val="left" w:pos="1134"/>
          <w:tab w:val="left" w:pos="1871"/>
          <w:tab w:val="left" w:pos="2268"/>
        </w:tabs>
        <w:suppressAutoHyphens/>
        <w:overflowPunct w:val="0"/>
        <w:spacing w:after="120"/>
        <w:jc w:val="center"/>
        <w:textAlignment w:val="baseline"/>
        <w:rPr>
          <w:rFonts w:eastAsia="MS Mincho" w:cs="Arial"/>
          <w:b/>
          <w:bCs/>
          <w:szCs w:val="20"/>
          <w:lang w:eastAsia="ja-JP"/>
        </w:rPr>
      </w:pPr>
    </w:p>
    <w:p w14:paraId="0A7220E6" w14:textId="77777777" w:rsidR="001855D0" w:rsidRPr="001855D0" w:rsidRDefault="001855D0" w:rsidP="001855D0"/>
    <w:p w14:paraId="5764D0DD" w14:textId="77777777" w:rsidR="001855D0" w:rsidRPr="001855D0" w:rsidRDefault="001855D0" w:rsidP="001855D0">
      <w:pPr>
        <w:keepNext/>
        <w:keepLines/>
        <w:spacing w:before="40"/>
        <w:outlineLvl w:val="1"/>
        <w:rPr>
          <w:rFonts w:asciiTheme="majorHAnsi" w:eastAsiaTheme="majorEastAsia" w:hAnsiTheme="majorHAnsi" w:cstheme="majorBidi"/>
          <w:color w:val="365F91" w:themeColor="accent1" w:themeShade="BF"/>
          <w:sz w:val="26"/>
          <w:szCs w:val="26"/>
          <w:lang w:eastAsia="zh-CN"/>
        </w:rPr>
      </w:pPr>
      <w:r w:rsidRPr="001855D0">
        <w:rPr>
          <w:rFonts w:ascii="Arial" w:hAnsi="Arial" w:cs="Arial"/>
          <w:b/>
          <w:bCs/>
          <w:sz w:val="20"/>
          <w:u w:val="single"/>
          <w:bdr w:val="none" w:sz="0" w:space="0" w:color="auto" w:frame="1"/>
          <w:lang w:val="en-GB"/>
        </w:rPr>
        <w:lastRenderedPageBreak/>
        <w:t>Holographic communications</w:t>
      </w:r>
      <w:r w:rsidRPr="001855D0">
        <w:rPr>
          <w:rFonts w:ascii="Arial" w:hAnsi="Arial" w:cs="Arial"/>
          <w:b/>
          <w:bCs/>
          <w:sz w:val="20"/>
          <w:u w:val="single"/>
          <w:bdr w:val="none" w:sz="0" w:space="0" w:color="auto" w:frame="1"/>
          <w:lang w:val="en-GB"/>
        </w:rPr>
        <w:br/>
      </w:r>
    </w:p>
    <w:p w14:paraId="51AD9D82" w14:textId="77777777" w:rsidR="001855D0" w:rsidRPr="001855D0" w:rsidRDefault="001855D0" w:rsidP="001855D0">
      <w:pPr>
        <w:rPr>
          <w:rFonts w:cs="Arial"/>
        </w:rPr>
      </w:pPr>
      <w:r w:rsidRPr="001855D0">
        <w:rPr>
          <w:rFonts w:cs="Arial"/>
        </w:rPr>
        <w:t>Holographic communications are expected to be widely used, e.g. for social communication, work and training, healthcare, education, retail and shopping, entertainment, and in industry production facilities. This use case may start indoors but expand to outdoor environments shortly after its adoption, similar to voice and video applications in previous mobile generations. This will bring a fully immersive experience to users without the restrictions of time, space, and the boundary between the real and virtual worlds. It will require future IMT-2030 networks to provide information exchange capabilities supporting real-time 3D display and fast transfer of holographic images.</w:t>
      </w:r>
      <w:r w:rsidRPr="001855D0">
        <w:rPr>
          <w:rFonts w:cs="Arial"/>
        </w:rPr>
        <w:br/>
      </w:r>
    </w:p>
    <w:p w14:paraId="0C805467" w14:textId="77777777" w:rsidR="001855D0" w:rsidRPr="001855D0" w:rsidRDefault="001855D0" w:rsidP="001855D0">
      <w:pPr>
        <w:rPr>
          <w:rFonts w:cs="Arial"/>
        </w:rPr>
      </w:pPr>
      <w:r w:rsidRPr="001855D0">
        <w:rPr>
          <w:rFonts w:cs="Arial"/>
        </w:rPr>
        <w:t xml:space="preserve">Holograms are mainly generated with image- and volumetric-based method [5]. Image-based holograms (e.g. Light Field Video) have the characteristics of high-fidelity image and are conceptually simple, but requires significant storage and transmission bandwidth. It is expected to require up to 1 Tbit/s bandwidth [4, 6]. Another way is to base holographic representation on volumetric media (e.g. point clouds). The objects are represented as sets of 3D volume pixels (i.e., voxels). The actual image is then dynamically rendered from any viewing angle at the local endpoint, which will greatly reduce the requirement of bandwidth. </w:t>
      </w:r>
      <w:r w:rsidRPr="001855D0">
        <w:rPr>
          <w:rFonts w:cs="Arial"/>
        </w:rPr>
        <w:br/>
      </w:r>
    </w:p>
    <w:p w14:paraId="3232B488" w14:textId="77777777" w:rsidR="001855D0" w:rsidRPr="001855D0" w:rsidRDefault="001855D0" w:rsidP="001855D0">
      <w:pPr>
        <w:rPr>
          <w:rFonts w:cs="Arial"/>
        </w:rPr>
      </w:pPr>
      <w:r w:rsidRPr="001855D0">
        <w:rPr>
          <w:rFonts w:cs="Arial"/>
        </w:rPr>
        <w:t xml:space="preserve">As shown in the figure below, networks are required to support a throughput of approximately over 500 Mbps, if based on the volumetric-method (e.g. point clouds). Note that this figure is just an illustrative indication of data rates required and does not present any typical outdoor use case of holographic communications. </w:t>
      </w:r>
    </w:p>
    <w:p w14:paraId="5E449953" w14:textId="77777777" w:rsidR="001855D0" w:rsidRPr="001855D0" w:rsidRDefault="001855D0" w:rsidP="001855D0">
      <w:pPr>
        <w:rPr>
          <w:rFonts w:cs="Arial"/>
        </w:rPr>
      </w:pPr>
    </w:p>
    <w:p w14:paraId="08BAEFC7" w14:textId="77777777" w:rsidR="001855D0" w:rsidRPr="001855D0" w:rsidRDefault="001855D0" w:rsidP="001855D0">
      <w:pPr>
        <w:rPr>
          <w:rFonts w:cs="Arial"/>
        </w:rPr>
      </w:pPr>
      <w:r w:rsidRPr="001855D0">
        <w:rPr>
          <w:rFonts w:cs="Arial"/>
        </w:rPr>
        <w:br w:type="page"/>
      </w:r>
    </w:p>
    <w:p w14:paraId="068D6AFB" w14:textId="77777777" w:rsidR="001855D0" w:rsidRPr="001855D0" w:rsidRDefault="001855D0" w:rsidP="001855D0">
      <w:pPr>
        <w:rPr>
          <w:rFonts w:cs="Arial"/>
        </w:rPr>
      </w:pPr>
    </w:p>
    <w:p w14:paraId="7A4DCFCF" w14:textId="77777777" w:rsidR="001855D0" w:rsidRPr="001855D0" w:rsidRDefault="001855D0" w:rsidP="00CB6C10">
      <w:pPr>
        <w:jc w:val="center"/>
        <w:rPr>
          <w:rFonts w:cs="Arial"/>
          <w:szCs w:val="20"/>
        </w:rPr>
      </w:pPr>
      <w:r w:rsidRPr="001855D0">
        <w:rPr>
          <w:rFonts w:cs="Arial"/>
          <w:noProof/>
          <w:szCs w:val="20"/>
          <w:lang w:eastAsia="ko-KR"/>
        </w:rPr>
        <w:drawing>
          <wp:inline distT="0" distB="0" distL="0" distR="0" wp14:anchorId="4F750B40" wp14:editId="583D8345">
            <wp:extent cx="5188217" cy="18733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88217" cy="1873346"/>
                    </a:xfrm>
                    <a:prstGeom prst="rect">
                      <a:avLst/>
                    </a:prstGeom>
                  </pic:spPr>
                </pic:pic>
              </a:graphicData>
            </a:graphic>
          </wp:inline>
        </w:drawing>
      </w:r>
    </w:p>
    <w:p w14:paraId="162A33FC" w14:textId="77777777" w:rsidR="001855D0" w:rsidRPr="001855D0" w:rsidRDefault="001855D0" w:rsidP="00CB6C10">
      <w:pPr>
        <w:pStyle w:val="Caption"/>
        <w:rPr>
          <w:rFonts w:cs="Arial"/>
          <w:color w:val="auto"/>
          <w:lang w:val="en-US"/>
        </w:rPr>
      </w:pPr>
      <w:r w:rsidRPr="001855D0">
        <w:rPr>
          <w:rFonts w:cs="Arial"/>
          <w:color w:val="auto"/>
          <w:lang w:val="en-US"/>
        </w:rPr>
        <w:t>Figure 1. Data-rate requirement evolution for Holographic communications [5]</w:t>
      </w:r>
    </w:p>
    <w:p w14:paraId="6C1900B8" w14:textId="77777777" w:rsidR="001855D0" w:rsidRPr="001855D0" w:rsidRDefault="001855D0" w:rsidP="001855D0">
      <w:pPr>
        <w:rPr>
          <w:rFonts w:cs="Arial"/>
          <w:szCs w:val="20"/>
        </w:rPr>
      </w:pPr>
      <w:r w:rsidRPr="001855D0">
        <w:rPr>
          <w:rFonts w:cs="Arial"/>
          <w:szCs w:val="20"/>
        </w:rPr>
        <w:t xml:space="preserve">Considering such a required data rate of 500 Mbps, and using Method 1 with </w:t>
      </w:r>
      <w:r w:rsidRPr="001855D0">
        <w:rPr>
          <w:rFonts w:cs="Arial"/>
        </w:rPr>
        <w:t xml:space="preserve">a cell-edge spectral efficiency of </w:t>
      </w:r>
      <m:oMath>
        <m:r>
          <w:rPr>
            <w:rFonts w:ascii="Cambria Math"/>
          </w:rPr>
          <m:t>S</m:t>
        </m:r>
      </m:oMath>
      <w:r w:rsidRPr="001855D0">
        <w:rPr>
          <w:rFonts w:cs="Arial"/>
        </w:rPr>
        <w:t xml:space="preserve"> = 0.45 bit/s/Hz for outdoor and </w:t>
      </w:r>
      <m:oMath>
        <m:r>
          <w:rPr>
            <w:rFonts w:ascii="Cambria Math"/>
          </w:rPr>
          <m:t>S</m:t>
        </m:r>
      </m:oMath>
      <w:r w:rsidRPr="001855D0">
        <w:rPr>
          <w:rFonts w:cs="Arial"/>
        </w:rPr>
        <w:t xml:space="preserve"> = 0.6 bit/s/Hz for indoor</w:t>
      </w:r>
      <w:r w:rsidRPr="001855D0">
        <w:rPr>
          <w:rFonts w:cs="Arial"/>
          <w:szCs w:val="20"/>
        </w:rPr>
        <w:t>, the DL spectrum needs for Holographic communications can be estimated as shown below:</w:t>
      </w:r>
    </w:p>
    <w:p w14:paraId="163D7933" w14:textId="77777777" w:rsidR="001855D0" w:rsidRPr="001855D0" w:rsidRDefault="001855D0" w:rsidP="00CB6C10">
      <w:pPr>
        <w:pStyle w:val="Caption"/>
        <w:rPr>
          <w:rFonts w:cs="Arial"/>
          <w:color w:val="auto"/>
          <w:lang w:val="en-US"/>
        </w:rPr>
      </w:pPr>
      <w:r w:rsidRPr="001855D0">
        <w:rPr>
          <w:rFonts w:cs="Arial"/>
          <w:color w:val="auto"/>
          <w:lang w:val="en-US"/>
        </w:rPr>
        <w:t>Table 5. DL spectrum needs for Holographic communications</w:t>
      </w:r>
    </w:p>
    <w:tbl>
      <w:tblPr>
        <w:tblStyle w:val="TableGrid"/>
        <w:tblW w:w="0" w:type="auto"/>
        <w:jc w:val="center"/>
        <w:tblLook w:val="04A0" w:firstRow="1" w:lastRow="0" w:firstColumn="1" w:lastColumn="0" w:noHBand="0" w:noVBand="1"/>
      </w:tblPr>
      <w:tblGrid>
        <w:gridCol w:w="2589"/>
        <w:gridCol w:w="2202"/>
      </w:tblGrid>
      <w:tr w:rsidR="001855D0" w:rsidRPr="001855D0" w14:paraId="16D1E8C3" w14:textId="77777777" w:rsidTr="003D72E8">
        <w:trPr>
          <w:trHeight w:val="360"/>
          <w:jc w:val="center"/>
        </w:trPr>
        <w:tc>
          <w:tcPr>
            <w:tcW w:w="4791" w:type="dxa"/>
            <w:gridSpan w:val="2"/>
          </w:tcPr>
          <w:p w14:paraId="4F5F51CC" w14:textId="77777777" w:rsidR="001855D0" w:rsidRPr="001855D0" w:rsidRDefault="001855D0" w:rsidP="001855D0">
            <w:pPr>
              <w:jc w:val="center"/>
              <w:rPr>
                <w:rFonts w:cs="Arial"/>
                <w:szCs w:val="20"/>
              </w:rPr>
            </w:pPr>
            <w:r w:rsidRPr="001855D0">
              <w:rPr>
                <w:rFonts w:cs="Arial"/>
                <w:szCs w:val="20"/>
              </w:rPr>
              <w:t>DL spectrum needs for Holographic communications (GHz per Network)</w:t>
            </w:r>
          </w:p>
        </w:tc>
      </w:tr>
      <w:tr w:rsidR="001855D0" w:rsidRPr="001855D0" w14:paraId="25F36B22" w14:textId="77777777" w:rsidTr="003D72E8">
        <w:trPr>
          <w:trHeight w:val="180"/>
          <w:jc w:val="center"/>
        </w:trPr>
        <w:tc>
          <w:tcPr>
            <w:tcW w:w="2589" w:type="dxa"/>
          </w:tcPr>
          <w:p w14:paraId="0DDB38AA" w14:textId="77777777" w:rsidR="001855D0" w:rsidRPr="001855D0" w:rsidRDefault="001855D0" w:rsidP="001855D0">
            <w:pPr>
              <w:jc w:val="center"/>
              <w:rPr>
                <w:rFonts w:cs="Arial"/>
                <w:szCs w:val="20"/>
              </w:rPr>
            </w:pPr>
            <w:r w:rsidRPr="001855D0">
              <w:rPr>
                <w:rFonts w:cs="Arial"/>
                <w:szCs w:val="20"/>
              </w:rPr>
              <w:t>Indoor</w:t>
            </w:r>
          </w:p>
        </w:tc>
        <w:tc>
          <w:tcPr>
            <w:tcW w:w="2202" w:type="dxa"/>
          </w:tcPr>
          <w:p w14:paraId="2E199199" w14:textId="77777777" w:rsidR="001855D0" w:rsidRPr="001855D0" w:rsidRDefault="001855D0" w:rsidP="001855D0">
            <w:pPr>
              <w:jc w:val="center"/>
              <w:rPr>
                <w:rFonts w:cs="Arial"/>
                <w:szCs w:val="20"/>
              </w:rPr>
            </w:pPr>
            <w:r w:rsidRPr="001855D0">
              <w:rPr>
                <w:rFonts w:cs="Arial"/>
                <w:szCs w:val="20"/>
              </w:rPr>
              <w:t>Outdoor</w:t>
            </w:r>
          </w:p>
        </w:tc>
      </w:tr>
      <w:tr w:rsidR="001855D0" w:rsidRPr="001855D0" w14:paraId="32F00891" w14:textId="77777777" w:rsidTr="003D72E8">
        <w:trPr>
          <w:trHeight w:val="180"/>
          <w:jc w:val="center"/>
        </w:trPr>
        <w:tc>
          <w:tcPr>
            <w:tcW w:w="2589" w:type="dxa"/>
          </w:tcPr>
          <w:p w14:paraId="0661B4F2" w14:textId="77777777" w:rsidR="001855D0" w:rsidRPr="001855D0" w:rsidRDefault="001855D0" w:rsidP="001855D0">
            <w:pPr>
              <w:jc w:val="center"/>
              <w:rPr>
                <w:rFonts w:cs="Arial"/>
                <w:b/>
                <w:bCs/>
                <w:szCs w:val="20"/>
              </w:rPr>
            </w:pPr>
            <w:r w:rsidRPr="001855D0">
              <w:rPr>
                <w:rFonts w:cs="Arial"/>
                <w:b/>
                <w:bCs/>
                <w:szCs w:val="20"/>
              </w:rPr>
              <w:t>0.83</w:t>
            </w:r>
          </w:p>
        </w:tc>
        <w:tc>
          <w:tcPr>
            <w:tcW w:w="2202" w:type="dxa"/>
          </w:tcPr>
          <w:p w14:paraId="6D67673A" w14:textId="77777777" w:rsidR="001855D0" w:rsidRPr="001855D0" w:rsidRDefault="001855D0" w:rsidP="001855D0">
            <w:pPr>
              <w:jc w:val="center"/>
              <w:rPr>
                <w:rFonts w:eastAsia="SimSun" w:cs="Arial"/>
                <w:b/>
                <w:bCs/>
                <w:szCs w:val="20"/>
              </w:rPr>
            </w:pPr>
            <w:r w:rsidRPr="001855D0">
              <w:rPr>
                <w:rFonts w:eastAsia="SimSun" w:cs="Arial"/>
                <w:b/>
                <w:bCs/>
                <w:szCs w:val="20"/>
              </w:rPr>
              <w:t>1.1</w:t>
            </w:r>
          </w:p>
        </w:tc>
      </w:tr>
    </w:tbl>
    <w:p w14:paraId="3D857D1D" w14:textId="77777777" w:rsidR="001855D0" w:rsidRPr="001855D0" w:rsidRDefault="001855D0" w:rsidP="001855D0">
      <w:pPr>
        <w:rPr>
          <w:rFonts w:cs="Arial"/>
          <w:szCs w:val="20"/>
        </w:rPr>
      </w:pPr>
      <w:r w:rsidRPr="001855D0">
        <w:rPr>
          <w:rFonts w:cs="Arial"/>
          <w:szCs w:val="20"/>
        </w:rPr>
        <w:br/>
        <w:t>On the other hand, if using image-based holograms (e.g. Light Field Video) to achieve hologram images, it is expected to require between 100 Gbit/s and 1 Tbit/s data-rate [5, 6] for the transmission of these images, which implies a huge amount of spectrum (approximately above tens of GHz) needed to realize this holographic experience, in addition to the need</w:t>
      </w:r>
      <w:r w:rsidRPr="001855D0">
        <w:rPr>
          <w:rFonts w:cs="Arial" w:hint="eastAsia"/>
          <w:szCs w:val="20"/>
        </w:rPr>
        <w:t>,</w:t>
      </w:r>
      <w:r w:rsidRPr="001855D0">
        <w:rPr>
          <w:rFonts w:cs="Arial"/>
          <w:szCs w:val="20"/>
        </w:rPr>
        <w:t xml:space="preserve"> e.g., for either a high resolution LCD panel with optics or a projector array system.</w:t>
      </w:r>
    </w:p>
    <w:p w14:paraId="451DA497" w14:textId="77777777" w:rsidR="001855D0" w:rsidRPr="001855D0" w:rsidRDefault="001855D0" w:rsidP="001855D0"/>
    <w:p w14:paraId="1D4013A4" w14:textId="77777777" w:rsidR="001855D0" w:rsidRPr="001855D0" w:rsidRDefault="001855D0" w:rsidP="001855D0">
      <w:pPr>
        <w:keepNext/>
        <w:keepLines/>
        <w:spacing w:before="40"/>
        <w:outlineLvl w:val="1"/>
        <w:rPr>
          <w:rFonts w:ascii="Arial" w:hAnsi="Arial" w:cs="Arial"/>
          <w:b/>
          <w:bCs/>
          <w:sz w:val="20"/>
          <w:u w:val="single"/>
          <w:bdr w:val="none" w:sz="0" w:space="0" w:color="auto" w:frame="1"/>
          <w:lang w:val="en-GB"/>
        </w:rPr>
      </w:pPr>
      <w:r w:rsidRPr="001855D0">
        <w:rPr>
          <w:rFonts w:ascii="Arial" w:hAnsi="Arial" w:cs="Arial"/>
          <w:b/>
          <w:bCs/>
          <w:sz w:val="20"/>
          <w:u w:val="single"/>
          <w:bdr w:val="none" w:sz="0" w:space="0" w:color="auto" w:frame="1"/>
          <w:lang w:val="en-GB"/>
        </w:rPr>
        <w:t>Integrated sensing and communication (ISAC)/Joint communication and sensing</w:t>
      </w:r>
    </w:p>
    <w:p w14:paraId="3E3E4BCD" w14:textId="77777777" w:rsidR="001855D0" w:rsidRPr="001855D0" w:rsidRDefault="001855D0" w:rsidP="001855D0">
      <w:pPr>
        <w:rPr>
          <w:rFonts w:cs="Arial"/>
        </w:rPr>
      </w:pPr>
      <w:r w:rsidRPr="001855D0">
        <w:rPr>
          <w:rFonts w:cs="Arial"/>
        </w:rPr>
        <w:br/>
        <w:t xml:space="preserve">Integrated sensing and communication (ISAC) or Joint communication and sensing (JCS), is a new use case envisioned for IMT-2030/6G [4]. It will include various applications such as object positioning and monitoring, real-time wireless map construction, and will also help to improve the performance and efficiency of the communication system itself, by optimizing the utilization of radio resources when sensing information are </w:t>
      </w:r>
      <w:proofErr w:type="gramStart"/>
      <w:r w:rsidRPr="001855D0">
        <w:rPr>
          <w:rFonts w:cs="Arial"/>
        </w:rPr>
        <w:t>taken into account</w:t>
      </w:r>
      <w:proofErr w:type="gramEnd"/>
      <w:r w:rsidRPr="001855D0">
        <w:rPr>
          <w:rFonts w:cs="Arial"/>
        </w:rPr>
        <w:t>.</w:t>
      </w:r>
    </w:p>
    <w:p w14:paraId="76EECD6A" w14:textId="77777777" w:rsidR="001855D0" w:rsidRPr="001855D0" w:rsidRDefault="001855D0" w:rsidP="001855D0">
      <w:pPr>
        <w:rPr>
          <w:rFonts w:cs="Arial"/>
        </w:rPr>
      </w:pPr>
    </w:p>
    <w:p w14:paraId="424B4276" w14:textId="77777777" w:rsidR="001855D0" w:rsidRPr="001855D0" w:rsidRDefault="001855D0" w:rsidP="001855D0">
      <w:pPr>
        <w:rPr>
          <w:rFonts w:cs="Arial"/>
        </w:rPr>
      </w:pPr>
      <w:r w:rsidRPr="001855D0">
        <w:rPr>
          <w:rFonts w:cs="Arial"/>
        </w:rPr>
        <w:t xml:space="preserve">The sensing resolution, </w:t>
      </w:r>
      <m:oMath>
        <m:r>
          <m:rPr>
            <m:sty m:val="p"/>
          </m:rPr>
          <w:rPr>
            <w:rFonts w:ascii="Cambria Math" w:hAnsi="Cambria Math" w:cs="Arial"/>
          </w:rPr>
          <m:t>∆</m:t>
        </m:r>
        <m:r>
          <w:rPr>
            <w:rFonts w:ascii="Cambria Math" w:hAnsi="Cambria Math" w:cs="Arial"/>
          </w:rPr>
          <m:t>r</m:t>
        </m:r>
      </m:oMath>
      <w:r w:rsidRPr="001855D0">
        <w:rPr>
          <w:rFonts w:cs="Arial"/>
        </w:rPr>
        <w:t xml:space="preserve">, is defined as the resolution with which the location of objects can be determined and is one of the key technical performance indicators for sensing applications. Different applications have various requirements on the sensing range resolution. For example, sensing range resolution can be in the order of tens of cm </w:t>
      </w:r>
      <w:bookmarkStart w:id="0" w:name="_Hlk124078056"/>
      <w:r w:rsidRPr="001855D0">
        <w:rPr>
          <w:rFonts w:cs="Arial"/>
        </w:rPr>
        <w:t>or dm levels for traffic management/collision avoidance etc. in the outdoor environment,</w:t>
      </w:r>
      <w:bookmarkEnd w:id="0"/>
      <w:r w:rsidRPr="001855D0">
        <w:rPr>
          <w:rFonts w:cs="Arial"/>
        </w:rPr>
        <w:t xml:space="preserve"> but may need to be at cm or sub-cm level in smart factory or automatic assembly line applications [4] in the indoor environment. </w:t>
      </w:r>
    </w:p>
    <w:p w14:paraId="5C417285" w14:textId="77777777" w:rsidR="001855D0" w:rsidRPr="001855D0" w:rsidRDefault="001855D0" w:rsidP="001855D0">
      <w:pPr>
        <w:rPr>
          <w:rFonts w:cs="Arial"/>
        </w:rPr>
      </w:pPr>
    </w:p>
    <w:p w14:paraId="55D3475C" w14:textId="77777777" w:rsidR="001855D0" w:rsidRPr="001855D0" w:rsidRDefault="001855D0" w:rsidP="001855D0">
      <w:pPr>
        <w:rPr>
          <w:rFonts w:cs="Arial"/>
        </w:rPr>
      </w:pPr>
      <w:r w:rsidRPr="001855D0">
        <w:rPr>
          <w:rFonts w:cs="Arial"/>
        </w:rPr>
        <w:t>Sensing the locations of objects by directly using the reference signals transmitted in radio communication systems is a typical feature of ISAC systems [4]. With this, the spectrum required to satisfy the sensing performance is to a large extent the same spectrum that is used by the communication system.</w:t>
      </w:r>
    </w:p>
    <w:p w14:paraId="2565759B" w14:textId="77777777" w:rsidR="001855D0" w:rsidRPr="001855D0" w:rsidRDefault="001855D0" w:rsidP="001855D0">
      <w:pPr>
        <w:tabs>
          <w:tab w:val="left" w:pos="8160"/>
        </w:tabs>
        <w:rPr>
          <w:rFonts w:cs="Arial"/>
        </w:rPr>
      </w:pPr>
      <w:r w:rsidRPr="001855D0">
        <w:rPr>
          <w:rFonts w:cs="Arial"/>
        </w:rPr>
        <w:lastRenderedPageBreak/>
        <w:tab/>
      </w:r>
    </w:p>
    <w:p w14:paraId="405D8557" w14:textId="77777777" w:rsidR="001855D0" w:rsidRPr="001855D0" w:rsidRDefault="001855D0" w:rsidP="001855D0">
      <w:pPr>
        <w:rPr>
          <w:rFonts w:cs="Arial"/>
        </w:rPr>
      </w:pPr>
      <w:r w:rsidRPr="001855D0">
        <w:rPr>
          <w:rFonts w:cs="Arial"/>
        </w:rPr>
        <w:t>By using Method 2 as introduced in the previous section, Table 7 below shows the bandwidths required for different values of sensing range resolution, considering that in outdoor scenarios such as outdoor traffic management/collision avoidance, more relaxed accuracies, e.g., dm levels may be sufficient. Such outdoor scenarios are of high relevance in the context of this document since these are the ones that would be adding to the mobile network traffic; hence Table 7 represents the relevant figures for outdoor applications.</w:t>
      </w:r>
    </w:p>
    <w:p w14:paraId="5ED11FC3" w14:textId="77777777" w:rsidR="001855D0" w:rsidRPr="001855D0" w:rsidRDefault="001855D0" w:rsidP="00CB6C10">
      <w:pPr>
        <w:pStyle w:val="Caption"/>
        <w:rPr>
          <w:rFonts w:cs="Arial"/>
          <w:color w:val="auto"/>
          <w:lang w:val="en-US"/>
        </w:rPr>
      </w:pPr>
      <w:r w:rsidRPr="001855D0">
        <w:rPr>
          <w:rFonts w:cs="Arial"/>
          <w:color w:val="auto"/>
          <w:lang w:val="en-US"/>
        </w:rPr>
        <w:t>Table 7. Required contiguous bandwidth – applicable for outdoor applications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02"/>
        <w:gridCol w:w="1344"/>
        <w:gridCol w:w="1344"/>
      </w:tblGrid>
      <w:tr w:rsidR="001855D0" w:rsidRPr="001855D0" w14:paraId="0711CBEE" w14:textId="77777777" w:rsidTr="003D72E8">
        <w:trPr>
          <w:jc w:val="center"/>
        </w:trPr>
        <w:tc>
          <w:tcPr>
            <w:tcW w:w="2202" w:type="dxa"/>
            <w:tcMar>
              <w:top w:w="0" w:type="dxa"/>
              <w:left w:w="108" w:type="dxa"/>
              <w:bottom w:w="0" w:type="dxa"/>
              <w:right w:w="108" w:type="dxa"/>
            </w:tcMar>
          </w:tcPr>
          <w:p w14:paraId="17BC6EC8"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 xml:space="preserve">Sensing range resolution </w:t>
            </w:r>
            <m:oMath>
              <m:r>
                <m:rPr>
                  <m:sty m:val="p"/>
                </m:rPr>
                <w:rPr>
                  <w:rFonts w:ascii="Cambria Math" w:hAnsi="Cambria Math" w:cs="Arial"/>
                </w:rPr>
                <m:t>∆</m:t>
              </m:r>
              <m:r>
                <w:rPr>
                  <w:rFonts w:ascii="Cambria Math" w:hAnsi="Cambria Math" w:cs="Arial"/>
                </w:rPr>
                <m:t>r</m:t>
              </m:r>
            </m:oMath>
            <w:r w:rsidRPr="001855D0">
              <w:rPr>
                <w:rFonts w:eastAsia="SimSun" w:cs="Arial"/>
              </w:rPr>
              <w:t xml:space="preserve"> (in cm)</w:t>
            </w:r>
          </w:p>
        </w:tc>
        <w:tc>
          <w:tcPr>
            <w:tcW w:w="1344" w:type="dxa"/>
            <w:tcMar>
              <w:top w:w="0" w:type="dxa"/>
              <w:left w:w="108" w:type="dxa"/>
              <w:bottom w:w="0" w:type="dxa"/>
              <w:right w:w="108" w:type="dxa"/>
            </w:tcMar>
            <w:vAlign w:val="center"/>
          </w:tcPr>
          <w:p w14:paraId="32F2BA8F"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50</w:t>
            </w:r>
          </w:p>
        </w:tc>
        <w:tc>
          <w:tcPr>
            <w:tcW w:w="1344" w:type="dxa"/>
            <w:tcMar>
              <w:top w:w="0" w:type="dxa"/>
              <w:left w:w="108" w:type="dxa"/>
              <w:bottom w:w="0" w:type="dxa"/>
              <w:right w:w="108" w:type="dxa"/>
            </w:tcMar>
            <w:vAlign w:val="center"/>
          </w:tcPr>
          <w:p w14:paraId="24EBD9DD"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20</w:t>
            </w:r>
          </w:p>
        </w:tc>
      </w:tr>
      <w:tr w:rsidR="001855D0" w:rsidRPr="001855D0" w14:paraId="59572FEB" w14:textId="77777777" w:rsidTr="003D72E8">
        <w:trPr>
          <w:jc w:val="center"/>
        </w:trPr>
        <w:tc>
          <w:tcPr>
            <w:tcW w:w="2202" w:type="dxa"/>
            <w:tcMar>
              <w:top w:w="0" w:type="dxa"/>
              <w:left w:w="108" w:type="dxa"/>
              <w:bottom w:w="0" w:type="dxa"/>
              <w:right w:w="108" w:type="dxa"/>
            </w:tcMar>
            <w:hideMark/>
          </w:tcPr>
          <w:p w14:paraId="50C9185E"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cs="Arial"/>
              </w:rPr>
            </w:pPr>
            <w:r w:rsidRPr="001855D0">
              <w:rPr>
                <w:rFonts w:eastAsia="SimSun" w:cs="Arial"/>
                <w:szCs w:val="20"/>
              </w:rPr>
              <w:t xml:space="preserve">Required bandwidth </w:t>
            </w:r>
            <w:r w:rsidRPr="001855D0">
              <w:rPr>
                <w:rFonts w:eastAsia="SimSun" w:cs="Arial"/>
                <w:i/>
                <w:szCs w:val="20"/>
              </w:rPr>
              <w:t xml:space="preserve">B </w:t>
            </w:r>
            <w:r w:rsidRPr="001855D0">
              <w:rPr>
                <w:rFonts w:eastAsia="SimSun" w:cs="Arial"/>
                <w:szCs w:val="20"/>
              </w:rPr>
              <w:t>(GHz)</w:t>
            </w:r>
          </w:p>
        </w:tc>
        <w:tc>
          <w:tcPr>
            <w:tcW w:w="1344" w:type="dxa"/>
            <w:tcMar>
              <w:top w:w="0" w:type="dxa"/>
              <w:left w:w="108" w:type="dxa"/>
              <w:bottom w:w="0" w:type="dxa"/>
              <w:right w:w="108" w:type="dxa"/>
            </w:tcMar>
            <w:vAlign w:val="center"/>
          </w:tcPr>
          <w:p w14:paraId="4DB89CBF"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0.3</w:t>
            </w:r>
          </w:p>
        </w:tc>
        <w:tc>
          <w:tcPr>
            <w:tcW w:w="1344" w:type="dxa"/>
            <w:tcMar>
              <w:top w:w="0" w:type="dxa"/>
              <w:left w:w="108" w:type="dxa"/>
              <w:bottom w:w="0" w:type="dxa"/>
              <w:right w:w="108" w:type="dxa"/>
            </w:tcMar>
            <w:vAlign w:val="center"/>
          </w:tcPr>
          <w:p w14:paraId="3E6239FB"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0.75</w:t>
            </w:r>
          </w:p>
        </w:tc>
      </w:tr>
    </w:tbl>
    <w:p w14:paraId="00D62D21" w14:textId="77777777" w:rsidR="001855D0" w:rsidRPr="001855D0" w:rsidRDefault="001855D0" w:rsidP="001855D0">
      <w:pPr>
        <w:rPr>
          <w:rFonts w:cs="Arial"/>
        </w:rPr>
      </w:pPr>
      <w:r w:rsidRPr="001855D0">
        <w:rPr>
          <w:rFonts w:cs="Arial"/>
        </w:rPr>
        <w:br/>
        <w:t>On the other hand, certain industrial use cases, mostly in the local-area and indoor environment, may require mm or cm level range resolution, thus corresponding to the spectrum needs shown in Table 8:</w:t>
      </w:r>
    </w:p>
    <w:p w14:paraId="338E0DE6" w14:textId="77777777" w:rsidR="001855D0" w:rsidRPr="001855D0" w:rsidRDefault="001855D0" w:rsidP="00CB6C10">
      <w:pPr>
        <w:pStyle w:val="Caption"/>
        <w:rPr>
          <w:rFonts w:cs="Arial"/>
          <w:color w:val="auto"/>
          <w:lang w:val="en-US"/>
        </w:rPr>
      </w:pPr>
      <w:r w:rsidRPr="001855D0">
        <w:rPr>
          <w:rFonts w:cs="Arial"/>
          <w:color w:val="auto"/>
          <w:lang w:val="en-US"/>
        </w:rPr>
        <w:t>Table 8. Required bandwidth – applicable for certain industrial applications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02"/>
        <w:gridCol w:w="1344"/>
        <w:gridCol w:w="1344"/>
      </w:tblGrid>
      <w:tr w:rsidR="001855D0" w:rsidRPr="001855D0" w14:paraId="7FAD0AE2" w14:textId="77777777" w:rsidTr="003D72E8">
        <w:trPr>
          <w:jc w:val="center"/>
        </w:trPr>
        <w:tc>
          <w:tcPr>
            <w:tcW w:w="2202" w:type="dxa"/>
            <w:tcMar>
              <w:top w:w="0" w:type="dxa"/>
              <w:left w:w="108" w:type="dxa"/>
              <w:bottom w:w="0" w:type="dxa"/>
              <w:right w:w="108" w:type="dxa"/>
            </w:tcMar>
          </w:tcPr>
          <w:p w14:paraId="6BB81243"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 xml:space="preserve">Sensing range resolution </w:t>
            </w:r>
            <m:oMath>
              <m:r>
                <m:rPr>
                  <m:sty m:val="p"/>
                </m:rPr>
                <w:rPr>
                  <w:rFonts w:ascii="Cambria Math" w:hAnsi="Cambria Math" w:cs="Arial"/>
                </w:rPr>
                <m:t>∆</m:t>
              </m:r>
              <m:r>
                <w:rPr>
                  <w:rFonts w:ascii="Cambria Math" w:hAnsi="Cambria Math" w:cs="Arial"/>
                </w:rPr>
                <m:t>r</m:t>
              </m:r>
            </m:oMath>
            <w:r w:rsidRPr="001855D0">
              <w:rPr>
                <w:rFonts w:eastAsia="SimSun" w:cs="Arial"/>
              </w:rPr>
              <w:t xml:space="preserve"> (in cm)</w:t>
            </w:r>
          </w:p>
        </w:tc>
        <w:tc>
          <w:tcPr>
            <w:tcW w:w="1344" w:type="dxa"/>
            <w:vAlign w:val="center"/>
          </w:tcPr>
          <w:p w14:paraId="0FA1744A"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1</w:t>
            </w:r>
          </w:p>
        </w:tc>
        <w:tc>
          <w:tcPr>
            <w:tcW w:w="1344" w:type="dxa"/>
            <w:vAlign w:val="center"/>
          </w:tcPr>
          <w:p w14:paraId="3FF6F1F5"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&lt;1</w:t>
            </w:r>
          </w:p>
        </w:tc>
      </w:tr>
      <w:tr w:rsidR="001855D0" w:rsidRPr="001855D0" w14:paraId="4BFD2593" w14:textId="77777777" w:rsidTr="003D72E8">
        <w:trPr>
          <w:jc w:val="center"/>
        </w:trPr>
        <w:tc>
          <w:tcPr>
            <w:tcW w:w="2202" w:type="dxa"/>
            <w:tcMar>
              <w:top w:w="0" w:type="dxa"/>
              <w:left w:w="108" w:type="dxa"/>
              <w:bottom w:w="0" w:type="dxa"/>
              <w:right w:w="108" w:type="dxa"/>
            </w:tcMar>
            <w:hideMark/>
          </w:tcPr>
          <w:p w14:paraId="2C8779DD"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cs="Arial"/>
              </w:rPr>
            </w:pPr>
            <w:r w:rsidRPr="001855D0">
              <w:rPr>
                <w:rFonts w:eastAsia="SimSun" w:cs="Arial"/>
                <w:szCs w:val="20"/>
              </w:rPr>
              <w:t xml:space="preserve">Required contiguous bandwidth </w:t>
            </w:r>
            <w:r w:rsidRPr="001855D0">
              <w:rPr>
                <w:rFonts w:eastAsia="SimSun" w:cs="Arial"/>
                <w:i/>
                <w:szCs w:val="20"/>
              </w:rPr>
              <w:t xml:space="preserve">B </w:t>
            </w:r>
            <w:r w:rsidRPr="001855D0">
              <w:rPr>
                <w:rFonts w:eastAsia="SimSun" w:cs="Arial"/>
                <w:szCs w:val="20"/>
              </w:rPr>
              <w:t>(GHz)</w:t>
            </w:r>
          </w:p>
        </w:tc>
        <w:tc>
          <w:tcPr>
            <w:tcW w:w="1344" w:type="dxa"/>
            <w:vAlign w:val="center"/>
          </w:tcPr>
          <w:p w14:paraId="645ACD34"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15</w:t>
            </w:r>
          </w:p>
        </w:tc>
        <w:tc>
          <w:tcPr>
            <w:tcW w:w="1344" w:type="dxa"/>
            <w:vAlign w:val="center"/>
          </w:tcPr>
          <w:p w14:paraId="0A7F2D65" w14:textId="77777777" w:rsidR="001855D0" w:rsidRPr="001855D0" w:rsidRDefault="001855D0" w:rsidP="001855D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uppressAutoHyphens/>
              <w:overflowPunct w:val="0"/>
              <w:spacing w:before="40" w:after="40"/>
              <w:jc w:val="center"/>
              <w:textAlignment w:val="baseline"/>
              <w:rPr>
                <w:rFonts w:eastAsia="SimSun" w:cs="Arial"/>
                <w:szCs w:val="20"/>
              </w:rPr>
            </w:pPr>
            <w:r w:rsidRPr="001855D0">
              <w:rPr>
                <w:rFonts w:eastAsia="SimSun" w:cs="Arial"/>
                <w:szCs w:val="20"/>
              </w:rPr>
              <w:t>&gt;15</w:t>
            </w:r>
          </w:p>
        </w:tc>
      </w:tr>
    </w:tbl>
    <w:p w14:paraId="499766D9" w14:textId="77777777" w:rsidR="001855D0" w:rsidRPr="001855D0" w:rsidRDefault="001855D0" w:rsidP="001855D0">
      <w:pPr>
        <w:rPr>
          <w:rFonts w:cs="Arial"/>
        </w:rPr>
      </w:pPr>
      <w:r w:rsidRPr="001855D0">
        <w:rPr>
          <w:rFonts w:eastAsia="SimSun" w:cs="Arial"/>
        </w:rPr>
        <w:br/>
        <w:t xml:space="preserve">In addition, it must be noted that due to the feature of </w:t>
      </w:r>
      <w:r w:rsidRPr="001855D0">
        <w:rPr>
          <w:rFonts w:cs="Arial"/>
        </w:rPr>
        <w:t>integrated/joint sensing and communication, sensing can be done in a time-division manner or directly using the reference signals, together with communication. Therefore, the spectrum needs of integrated/joint sensing and communication is not expected to increase the overall spectrum needs resulting from other IMT-2030/6G use cases (e.g., XR and holographic communications).</w:t>
      </w:r>
    </w:p>
    <w:p w14:paraId="505162A1" w14:textId="77777777" w:rsidR="001855D0" w:rsidRPr="001855D0" w:rsidRDefault="001855D0" w:rsidP="001855D0">
      <w:pPr>
        <w:rPr>
          <w:rFonts w:cs="Arial"/>
        </w:rPr>
      </w:pPr>
      <w:r w:rsidRPr="001855D0">
        <w:rPr>
          <w:rFonts w:cs="Arial"/>
        </w:rPr>
        <w:br w:type="page"/>
      </w:r>
    </w:p>
    <w:p w14:paraId="5D41A57C" w14:textId="77777777" w:rsidR="001855D0" w:rsidRPr="001855D0" w:rsidRDefault="001855D0" w:rsidP="001855D0">
      <w:pPr>
        <w:keepNext/>
        <w:ind w:left="431" w:hanging="431"/>
        <w:jc w:val="center"/>
        <w:outlineLvl w:val="0"/>
        <w:rPr>
          <w:rFonts w:ascii="Arial" w:eastAsia="Calibri" w:hAnsi="Arial" w:cs="Arial"/>
          <w:caps/>
          <w:sz w:val="20"/>
          <w:szCs w:val="22"/>
          <w:u w:val="single"/>
          <w:bdr w:val="none" w:sz="0" w:space="0" w:color="auto" w:frame="1"/>
          <w:lang w:val="en-GB"/>
        </w:rPr>
      </w:pPr>
    </w:p>
    <w:p w14:paraId="3A766E93" w14:textId="77777777" w:rsidR="001855D0" w:rsidRPr="001855D0" w:rsidRDefault="001855D0" w:rsidP="001855D0">
      <w:pPr>
        <w:keepNext/>
        <w:ind w:left="431" w:hanging="431"/>
        <w:jc w:val="center"/>
        <w:outlineLvl w:val="0"/>
        <w:rPr>
          <w:b/>
          <w:bCs/>
          <w:u w:val="single"/>
        </w:rPr>
      </w:pPr>
      <w:r w:rsidRPr="001855D0">
        <w:rPr>
          <w:rFonts w:ascii="Arial" w:eastAsia="Calibri" w:hAnsi="Arial" w:cs="Arial"/>
          <w:b/>
          <w:bCs/>
          <w:caps/>
          <w:sz w:val="20"/>
          <w:szCs w:val="22"/>
          <w:u w:val="single"/>
          <w:bdr w:val="none" w:sz="0" w:space="0" w:color="auto" w:frame="1"/>
          <w:lang w:val="en-GB"/>
        </w:rPr>
        <w:t>The summary of spectrum needs of some IMT-2030/6G use cases</w:t>
      </w:r>
      <w:r w:rsidRPr="001855D0">
        <w:rPr>
          <w:b/>
          <w:bCs/>
          <w:u w:val="single"/>
        </w:rPr>
        <w:br/>
      </w:r>
    </w:p>
    <w:p w14:paraId="6C7CBFC9" w14:textId="77777777" w:rsidR="001855D0" w:rsidRPr="001855D0" w:rsidRDefault="001855D0" w:rsidP="001855D0">
      <w:pPr>
        <w:rPr>
          <w:rFonts w:cs="Arial"/>
        </w:rPr>
      </w:pPr>
      <w:r w:rsidRPr="001855D0">
        <w:rPr>
          <w:rFonts w:cs="Arial"/>
        </w:rPr>
        <w:t>In this contribution, example</w:t>
      </w:r>
      <w:bookmarkStart w:id="1" w:name="_Hlk124003906"/>
      <w:r w:rsidRPr="001855D0">
        <w:rPr>
          <w:rFonts w:cs="Arial"/>
        </w:rPr>
        <w:t>s of preliminary</w:t>
      </w:r>
      <w:bookmarkEnd w:id="1"/>
      <w:r w:rsidRPr="001855D0">
        <w:rPr>
          <w:rFonts w:cs="Arial"/>
        </w:rPr>
        <w:t xml:space="preserve"> calculations of spectrum needs for some specific use cases relevant for IMT-2030/6G are provided. </w:t>
      </w:r>
      <w:bookmarkStart w:id="2" w:name="_Hlk123835541"/>
      <w:r w:rsidRPr="001855D0">
        <w:rPr>
          <w:rFonts w:cs="Arial"/>
        </w:rPr>
        <w:t>This set of use cases is not exhaustive but should provide some insight into the future development of IMT</w:t>
      </w:r>
      <w:bookmarkEnd w:id="2"/>
      <w:r w:rsidRPr="001855D0">
        <w:rPr>
          <w:rFonts w:cs="Arial"/>
        </w:rPr>
        <w:t xml:space="preserve"> and to the corresponding spectrum implications by using </w:t>
      </w:r>
      <w:r w:rsidRPr="001855D0">
        <w:t xml:space="preserve">straight-forward, not overly complicated technical </w:t>
      </w:r>
      <w:r w:rsidRPr="001855D0">
        <w:rPr>
          <w:rFonts w:cs="Arial"/>
        </w:rPr>
        <w:t>assessment methods. Spectrum needs results estimated from each considered use case are summarized in the table below:</w:t>
      </w:r>
    </w:p>
    <w:p w14:paraId="08D67FAE" w14:textId="77777777" w:rsidR="001855D0" w:rsidRPr="001855D0" w:rsidRDefault="001855D0" w:rsidP="001855D0">
      <w:pPr>
        <w:rPr>
          <w:rFonts w:cs="Arial"/>
          <w:b/>
          <w:bCs/>
        </w:rPr>
      </w:pPr>
    </w:p>
    <w:p w14:paraId="27ECDADA" w14:textId="77777777" w:rsidR="001855D0" w:rsidRPr="001855D0" w:rsidRDefault="001855D0" w:rsidP="001855D0">
      <w:pPr>
        <w:rPr>
          <w:rFonts w:cs="Arial"/>
          <w:b/>
          <w:bCs/>
        </w:rPr>
      </w:pPr>
      <w:r w:rsidRPr="001855D0">
        <w:rPr>
          <w:rFonts w:cs="Arial"/>
          <w:b/>
          <w:bCs/>
        </w:rPr>
        <w:t>Table 9. Estimated required spectrum needs per network to support the studied IMT-2030/6G use cases</w:t>
      </w:r>
    </w:p>
    <w:p w14:paraId="4494B037" w14:textId="77777777" w:rsidR="001855D0" w:rsidRPr="001855D0" w:rsidRDefault="001855D0" w:rsidP="001855D0">
      <w:pPr>
        <w:rPr>
          <w:rFonts w:cs="Arial"/>
          <w:b/>
          <w:bCs/>
        </w:rPr>
      </w:pPr>
    </w:p>
    <w:tbl>
      <w:tblPr>
        <w:tblStyle w:val="TableGrid"/>
        <w:tblW w:w="6232" w:type="dxa"/>
        <w:jc w:val="center"/>
        <w:tblLayout w:type="fixed"/>
        <w:tblLook w:val="04A0" w:firstRow="1" w:lastRow="0" w:firstColumn="1" w:lastColumn="0" w:noHBand="0" w:noVBand="1"/>
      </w:tblPr>
      <w:tblGrid>
        <w:gridCol w:w="1696"/>
        <w:gridCol w:w="709"/>
        <w:gridCol w:w="1985"/>
        <w:gridCol w:w="1842"/>
      </w:tblGrid>
      <w:tr w:rsidR="001855D0" w:rsidRPr="001855D0" w14:paraId="06383BDB" w14:textId="77777777" w:rsidTr="003D72E8">
        <w:trPr>
          <w:jc w:val="center"/>
        </w:trPr>
        <w:tc>
          <w:tcPr>
            <w:tcW w:w="1696" w:type="dxa"/>
          </w:tcPr>
          <w:p w14:paraId="173911B6" w14:textId="77777777" w:rsidR="001855D0" w:rsidRPr="001855D0" w:rsidRDefault="001855D0" w:rsidP="001855D0">
            <w:pPr>
              <w:rPr>
                <w:rFonts w:cs="Arial"/>
                <w:b/>
                <w:bCs/>
                <w:szCs w:val="20"/>
              </w:rPr>
            </w:pPr>
            <w:r w:rsidRPr="001855D0">
              <w:rPr>
                <w:rFonts w:cs="Arial"/>
                <w:b/>
                <w:bCs/>
                <w:szCs w:val="20"/>
              </w:rPr>
              <w:t>Unit: GHz</w:t>
            </w:r>
          </w:p>
        </w:tc>
        <w:tc>
          <w:tcPr>
            <w:tcW w:w="709" w:type="dxa"/>
            <w:tcBorders>
              <w:left w:val="double" w:sz="4" w:space="0" w:color="auto"/>
            </w:tcBorders>
          </w:tcPr>
          <w:p w14:paraId="036943E5" w14:textId="77777777" w:rsidR="001855D0" w:rsidRPr="001855D0" w:rsidRDefault="001855D0" w:rsidP="001855D0">
            <w:pPr>
              <w:rPr>
                <w:rFonts w:cs="Arial"/>
                <w:szCs w:val="20"/>
              </w:rPr>
            </w:pPr>
            <w:r w:rsidRPr="001855D0">
              <w:rPr>
                <w:rFonts w:cs="Arial"/>
                <w:szCs w:val="20"/>
              </w:rPr>
              <w:t>XR</w:t>
            </w:r>
          </w:p>
        </w:tc>
        <w:tc>
          <w:tcPr>
            <w:tcW w:w="1985" w:type="dxa"/>
          </w:tcPr>
          <w:p w14:paraId="785E5452" w14:textId="77777777" w:rsidR="001855D0" w:rsidRPr="001855D0" w:rsidRDefault="001855D0" w:rsidP="001855D0">
            <w:pPr>
              <w:rPr>
                <w:rFonts w:cs="Arial"/>
                <w:szCs w:val="20"/>
              </w:rPr>
            </w:pPr>
            <w:r w:rsidRPr="001855D0">
              <w:rPr>
                <w:rFonts w:cs="Arial"/>
                <w:szCs w:val="20"/>
              </w:rPr>
              <w:t>Holographic communications</w:t>
            </w:r>
          </w:p>
        </w:tc>
        <w:tc>
          <w:tcPr>
            <w:tcW w:w="1842" w:type="dxa"/>
          </w:tcPr>
          <w:p w14:paraId="55D5CD77" w14:textId="77777777" w:rsidR="001855D0" w:rsidRPr="001855D0" w:rsidRDefault="001855D0" w:rsidP="001855D0">
            <w:pPr>
              <w:rPr>
                <w:rFonts w:cs="Arial"/>
                <w:szCs w:val="20"/>
              </w:rPr>
            </w:pPr>
            <w:r w:rsidRPr="001855D0">
              <w:rPr>
                <w:rFonts w:cs="Arial"/>
                <w:szCs w:val="20"/>
              </w:rPr>
              <w:t>ISAC/JCS</w:t>
            </w:r>
          </w:p>
        </w:tc>
      </w:tr>
      <w:tr w:rsidR="001855D0" w:rsidRPr="001855D0" w14:paraId="547744F8" w14:textId="77777777" w:rsidTr="003D72E8">
        <w:trPr>
          <w:jc w:val="center"/>
        </w:trPr>
        <w:tc>
          <w:tcPr>
            <w:tcW w:w="1696" w:type="dxa"/>
          </w:tcPr>
          <w:p w14:paraId="365CEA12" w14:textId="77777777" w:rsidR="001855D0" w:rsidRPr="001855D0" w:rsidRDefault="001855D0" w:rsidP="001855D0">
            <w:pPr>
              <w:rPr>
                <w:rFonts w:cs="Arial"/>
                <w:szCs w:val="20"/>
              </w:rPr>
            </w:pPr>
            <w:r w:rsidRPr="001855D0">
              <w:rPr>
                <w:rFonts w:cs="Arial"/>
                <w:szCs w:val="20"/>
              </w:rPr>
              <w:t xml:space="preserve">Wide area use cases </w:t>
            </w:r>
          </w:p>
        </w:tc>
        <w:tc>
          <w:tcPr>
            <w:tcW w:w="709" w:type="dxa"/>
            <w:tcBorders>
              <w:left w:val="double" w:sz="4" w:space="0" w:color="auto"/>
            </w:tcBorders>
          </w:tcPr>
          <w:p w14:paraId="258C8025" w14:textId="77777777" w:rsidR="001855D0" w:rsidRPr="001855D0" w:rsidRDefault="001855D0" w:rsidP="001855D0">
            <w:pPr>
              <w:rPr>
                <w:rFonts w:eastAsia="SimSun" w:cs="Arial"/>
                <w:szCs w:val="20"/>
              </w:rPr>
            </w:pPr>
            <w:r w:rsidRPr="001855D0">
              <w:rPr>
                <w:rFonts w:eastAsia="SimSun" w:cs="Arial"/>
                <w:szCs w:val="20"/>
              </w:rPr>
              <w:t>1</w:t>
            </w:r>
          </w:p>
        </w:tc>
        <w:tc>
          <w:tcPr>
            <w:tcW w:w="1985" w:type="dxa"/>
          </w:tcPr>
          <w:p w14:paraId="1A1CC97C" w14:textId="77777777" w:rsidR="001855D0" w:rsidRPr="001855D0" w:rsidRDefault="001855D0" w:rsidP="001855D0">
            <w:pPr>
              <w:rPr>
                <w:rFonts w:cs="Arial"/>
                <w:szCs w:val="20"/>
              </w:rPr>
            </w:pPr>
            <w:r w:rsidRPr="001855D0">
              <w:rPr>
                <w:rFonts w:cs="Arial"/>
                <w:szCs w:val="20"/>
              </w:rPr>
              <w:t>1.1</w:t>
            </w:r>
          </w:p>
        </w:tc>
        <w:tc>
          <w:tcPr>
            <w:tcW w:w="1842" w:type="dxa"/>
          </w:tcPr>
          <w:p w14:paraId="5D6A5CCE" w14:textId="77777777" w:rsidR="001855D0" w:rsidRPr="001855D0" w:rsidRDefault="001855D0" w:rsidP="001855D0">
            <w:pPr>
              <w:rPr>
                <w:rFonts w:cs="Arial"/>
                <w:szCs w:val="20"/>
              </w:rPr>
            </w:pPr>
            <w:r w:rsidRPr="001855D0">
              <w:rPr>
                <w:rFonts w:cs="Arial"/>
                <w:szCs w:val="20"/>
              </w:rPr>
              <w:t>0.3-0.75</w:t>
            </w:r>
          </w:p>
        </w:tc>
      </w:tr>
      <w:tr w:rsidR="001855D0" w:rsidRPr="001855D0" w14:paraId="4D5899FD" w14:textId="77777777" w:rsidTr="003D72E8">
        <w:trPr>
          <w:jc w:val="center"/>
        </w:trPr>
        <w:tc>
          <w:tcPr>
            <w:tcW w:w="1696" w:type="dxa"/>
          </w:tcPr>
          <w:p w14:paraId="7E9DBAC7" w14:textId="77777777" w:rsidR="001855D0" w:rsidRPr="001855D0" w:rsidRDefault="001855D0" w:rsidP="001855D0">
            <w:pPr>
              <w:rPr>
                <w:rFonts w:cs="Arial"/>
                <w:szCs w:val="20"/>
              </w:rPr>
            </w:pPr>
            <w:r w:rsidRPr="001855D0">
              <w:rPr>
                <w:rFonts w:cs="Arial"/>
                <w:szCs w:val="20"/>
              </w:rPr>
              <w:t xml:space="preserve">Local area use cases </w:t>
            </w:r>
          </w:p>
        </w:tc>
        <w:tc>
          <w:tcPr>
            <w:tcW w:w="709" w:type="dxa"/>
            <w:tcBorders>
              <w:left w:val="double" w:sz="4" w:space="0" w:color="auto"/>
            </w:tcBorders>
          </w:tcPr>
          <w:p w14:paraId="04135896" w14:textId="77777777" w:rsidR="001855D0" w:rsidRPr="001855D0" w:rsidRDefault="001855D0" w:rsidP="001855D0">
            <w:pPr>
              <w:rPr>
                <w:rFonts w:cs="Arial"/>
                <w:szCs w:val="20"/>
              </w:rPr>
            </w:pPr>
          </w:p>
        </w:tc>
        <w:tc>
          <w:tcPr>
            <w:tcW w:w="1985" w:type="dxa"/>
          </w:tcPr>
          <w:p w14:paraId="753A225E" w14:textId="77777777" w:rsidR="001855D0" w:rsidRPr="001855D0" w:rsidRDefault="001855D0" w:rsidP="001855D0">
            <w:pPr>
              <w:rPr>
                <w:rFonts w:cs="Arial"/>
                <w:szCs w:val="20"/>
              </w:rPr>
            </w:pPr>
            <w:r w:rsidRPr="001855D0">
              <w:rPr>
                <w:rFonts w:cs="Arial"/>
                <w:szCs w:val="20"/>
              </w:rPr>
              <w:t>&gt;10s of GHz</w:t>
            </w:r>
          </w:p>
        </w:tc>
        <w:tc>
          <w:tcPr>
            <w:tcW w:w="1842" w:type="dxa"/>
          </w:tcPr>
          <w:p w14:paraId="524572F9" w14:textId="77777777" w:rsidR="001855D0" w:rsidRPr="001855D0" w:rsidRDefault="001855D0" w:rsidP="001855D0">
            <w:pPr>
              <w:rPr>
                <w:rFonts w:cs="Arial"/>
                <w:szCs w:val="20"/>
              </w:rPr>
            </w:pPr>
            <w:r w:rsidRPr="001855D0">
              <w:rPr>
                <w:rFonts w:cs="Arial"/>
                <w:szCs w:val="20"/>
              </w:rPr>
              <w:t>&gt;15</w:t>
            </w:r>
          </w:p>
        </w:tc>
      </w:tr>
    </w:tbl>
    <w:p w14:paraId="5B186F73" w14:textId="77777777" w:rsidR="001855D0" w:rsidRPr="001855D0" w:rsidRDefault="001855D0" w:rsidP="001855D0">
      <w:pPr>
        <w:rPr>
          <w:rFonts w:cs="Arial"/>
        </w:rPr>
      </w:pPr>
    </w:p>
    <w:p w14:paraId="5378883C" w14:textId="77777777" w:rsidR="001855D0" w:rsidRPr="001855D0" w:rsidRDefault="001855D0" w:rsidP="001855D0">
      <w:pPr>
        <w:rPr>
          <w:rFonts w:cs="Arial"/>
        </w:rPr>
      </w:pPr>
      <w:r w:rsidRPr="001855D0">
        <w:rPr>
          <w:rFonts w:cs="Arial"/>
        </w:rPr>
        <w:t xml:space="preserve">In this summary Table, the split is done to differentiate between cases where usage of IMT-2030/6G use cases is required for wide-area outdoors and/or with supported mobility versus the case where usage of IMT-2030/6G is for local-area/indoors.   </w:t>
      </w:r>
    </w:p>
    <w:p w14:paraId="520F507E" w14:textId="77777777" w:rsidR="001855D0" w:rsidRPr="001855D0" w:rsidRDefault="001855D0" w:rsidP="001855D0">
      <w:pPr>
        <w:rPr>
          <w:rFonts w:cs="Arial"/>
        </w:rPr>
      </w:pPr>
    </w:p>
    <w:p w14:paraId="308FE4CA" w14:textId="77777777" w:rsidR="001855D0" w:rsidRDefault="001855D0" w:rsidP="001855D0">
      <w:pPr>
        <w:rPr>
          <w:rFonts w:cs="Arial"/>
        </w:rPr>
      </w:pPr>
      <w:r w:rsidRPr="001855D0">
        <w:rPr>
          <w:rFonts w:cs="Arial"/>
        </w:rPr>
        <w:t xml:space="preserve">Each expected IMT-2030/6G use case will have different spectrum bandwidth needs due to different bit rate requirements, etc. The overall spectrum needs of IMT-2030/6G will need to correspond to the aggregated spectrum needs of the different IMT-2030/6G use cases. </w:t>
      </w:r>
    </w:p>
    <w:p w14:paraId="1B48EC42" w14:textId="77777777" w:rsidR="001855D0" w:rsidRPr="001855D0" w:rsidRDefault="001855D0" w:rsidP="001855D0">
      <w:pPr>
        <w:rPr>
          <w:rFonts w:cs="Arial"/>
        </w:rPr>
      </w:pPr>
      <w:r w:rsidRPr="001855D0">
        <w:rPr>
          <w:rFonts w:cs="Arial"/>
        </w:rPr>
        <w:br/>
        <w:t>However, some of the considered use cases are mutually exclusive, for instance XR and holographic communication would not be used at the same time by the same user, but in a given cell there could be a mixture of those use cases, by different users. On the other hand, some use cases could be realized at the same time by the same user. In this latter case, the spectrum needs of these use cases should be added up.</w:t>
      </w:r>
      <w:r w:rsidRPr="001855D0">
        <w:rPr>
          <w:rFonts w:cs="Arial"/>
        </w:rPr>
        <w:br/>
      </w:r>
    </w:p>
    <w:p w14:paraId="579C4F68" w14:textId="77777777" w:rsidR="001855D0" w:rsidRPr="001855D0" w:rsidRDefault="001855D0" w:rsidP="001855D0">
      <w:pPr>
        <w:rPr>
          <w:rFonts w:cs="Arial"/>
        </w:rPr>
      </w:pPr>
      <w:r w:rsidRPr="001855D0">
        <w:rPr>
          <w:rFonts w:cs="Arial"/>
        </w:rPr>
        <w:t xml:space="preserve">With that, from the summary table, the aggregated spectrum needs required to enable mobility and outdoor application of the analyzed IMT-2030/6G use cases are estimated to be in the order of 1 GHz per network. If assuming typically 3-4 networks in a country, and that in the long term, existing mid bands spectrum will be re-used for IMT-2030/6G wide area use cases, the overall additional spectrum needs will approximately be </w:t>
      </w:r>
      <w:r w:rsidRPr="001855D0">
        <w:rPr>
          <w:rFonts w:cs="Arial"/>
          <w:b/>
          <w:bCs/>
        </w:rPr>
        <w:t>2 to 3 GHz</w:t>
      </w:r>
      <w:r w:rsidRPr="001855D0">
        <w:rPr>
          <w:rFonts w:cs="Arial"/>
        </w:rPr>
        <w:t xml:space="preserve"> for the analyzed wide-area use cases (corresponding respectively to the cases of 3 and 4 operators in a country). This estimation is based on the simplistic assumption that all existing mid bands spectrum available for IMT (roughly ~1GHz) will solely be used to address the analyzed IMT-2030/6G wide area use cases, i.e., not considering existing MBB usage. So based on above, </w:t>
      </w:r>
      <w:r w:rsidRPr="001855D0">
        <w:rPr>
          <w:rFonts w:cs="Arial"/>
          <w:b/>
          <w:bCs/>
        </w:rPr>
        <w:t>the estimated additional wide-area spectrum need per network can be rounded to ~500 - 750 MHz</w:t>
      </w:r>
      <w:r w:rsidRPr="001855D0">
        <w:rPr>
          <w:rFonts w:cs="Arial"/>
        </w:rPr>
        <w:t xml:space="preserve"> depending on the existing mid bands spectrum available for IMT and on the number of networks in a specific country.  It should be noted that the lower the frequency range the better from coverage and mobility perspectives as spectrum bands do not have the same propagation characteristics. On the other hand, the estimated spectrum needs of the local-area, indoor use cases are around tens of GHz, suitable for short range type of usage in extremely high frequencies.</w:t>
      </w:r>
      <w:r w:rsidRPr="001855D0">
        <w:rPr>
          <w:rFonts w:cs="Arial"/>
        </w:rPr>
        <w:br/>
      </w:r>
    </w:p>
    <w:p w14:paraId="229F21CC" w14:textId="77777777" w:rsidR="001855D0" w:rsidRPr="001855D0" w:rsidRDefault="001855D0" w:rsidP="001855D0">
      <w:r w:rsidRPr="001855D0">
        <w:rPr>
          <w:rFonts w:eastAsia="Malgun Gothic"/>
          <w:lang w:eastAsia="ko-KR"/>
        </w:rPr>
        <w:lastRenderedPageBreak/>
        <w:t xml:space="preserve">Since no single frequency range satisfies all the criteria required to deploy IMT systems, the type of deployment scenario (e.g., urban, sub-urban, local area/indoors, </w:t>
      </w:r>
      <w:proofErr w:type="spellStart"/>
      <w:r w:rsidRPr="001855D0">
        <w:rPr>
          <w:rFonts w:eastAsia="Malgun Gothic"/>
          <w:lang w:eastAsia="ko-KR"/>
        </w:rPr>
        <w:t>etc</w:t>
      </w:r>
      <w:proofErr w:type="spellEnd"/>
      <w:r w:rsidRPr="001855D0">
        <w:rPr>
          <w:rFonts w:eastAsia="Malgun Gothic"/>
          <w:lang w:eastAsia="ko-KR"/>
        </w:rPr>
        <w:t xml:space="preserve">) and propagation characteristics of the different frequency bands will have a direct impact on which spectrum ranges the specific use case </w:t>
      </w:r>
      <w:r w:rsidRPr="001855D0">
        <w:rPr>
          <w:rFonts w:cs="Arial"/>
        </w:rPr>
        <w:t>can be deployed in</w:t>
      </w:r>
      <w:r w:rsidRPr="001855D0">
        <w:rPr>
          <w:rFonts w:eastAsia="Malgun Gothic"/>
          <w:lang w:eastAsia="ko-KR"/>
        </w:rPr>
        <w:t xml:space="preserve"> (</w:t>
      </w:r>
      <w:r w:rsidRPr="001855D0">
        <w:rPr>
          <w:rFonts w:cs="Arial"/>
        </w:rPr>
        <w:t>e.g., existing IMT spectrum, potential new spectrum which could be identified at WRC-23, and/or potential new spectrum at WRC-27).</w:t>
      </w:r>
    </w:p>
    <w:p w14:paraId="4DE060DB" w14:textId="77777777" w:rsidR="001855D0" w:rsidRPr="001855D0" w:rsidRDefault="001855D0" w:rsidP="001855D0">
      <w:pPr>
        <w:rPr>
          <w:rFonts w:eastAsia="SimSun"/>
        </w:rPr>
      </w:pPr>
    </w:p>
    <w:p w14:paraId="33F091EB" w14:textId="77777777" w:rsidR="001855D0" w:rsidRPr="001855D0" w:rsidRDefault="001855D0" w:rsidP="001855D0">
      <w:r w:rsidRPr="001855D0">
        <w:t xml:space="preserve">Further work is on-going to </w:t>
      </w:r>
      <w:proofErr w:type="spellStart"/>
      <w:r w:rsidRPr="001855D0">
        <w:t>analyse</w:t>
      </w:r>
      <w:proofErr w:type="spellEnd"/>
      <w:r w:rsidRPr="001855D0">
        <w:t xml:space="preserve"> the spectrum needs of a number of IMT-2030/6G use-cases as well as adequate and suitable spectrum ranges for implementation of those use cases, to be provided to future APG meetings.</w:t>
      </w:r>
    </w:p>
    <w:p w14:paraId="2F1AAE7A" w14:textId="77777777" w:rsidR="001855D0" w:rsidRPr="001855D0" w:rsidRDefault="001855D0" w:rsidP="001855D0">
      <w:r w:rsidRPr="001855D0">
        <w:br w:type="page"/>
      </w:r>
    </w:p>
    <w:p w14:paraId="2DA44A73" w14:textId="77777777" w:rsidR="001855D0" w:rsidRPr="001855D0" w:rsidRDefault="001855D0" w:rsidP="001855D0">
      <w:pPr>
        <w:rPr>
          <w:rFonts w:cs="Arial"/>
        </w:rPr>
      </w:pPr>
    </w:p>
    <w:p w14:paraId="12C8E63C" w14:textId="77777777" w:rsidR="001855D0" w:rsidRPr="001855D0" w:rsidRDefault="001855D0" w:rsidP="001855D0">
      <w:pPr>
        <w:keepNext/>
        <w:jc w:val="center"/>
        <w:outlineLvl w:val="0"/>
        <w:rPr>
          <w:rFonts w:ascii="Arial" w:hAnsi="Arial" w:cs="Arial"/>
          <w:b/>
          <w:bCs/>
          <w:sz w:val="20"/>
          <w:u w:val="single"/>
          <w:bdr w:val="none" w:sz="0" w:space="0" w:color="auto" w:frame="1"/>
          <w:lang w:val="en-GB"/>
        </w:rPr>
      </w:pPr>
      <w:r w:rsidRPr="001855D0">
        <w:rPr>
          <w:rFonts w:ascii="Arial" w:hAnsi="Arial" w:cs="Arial"/>
          <w:b/>
          <w:bCs/>
          <w:sz w:val="20"/>
          <w:u w:val="single"/>
          <w:bdr w:val="none" w:sz="0" w:space="0" w:color="auto" w:frame="1"/>
          <w:lang w:val="en-GB" w:eastAsia="zh-CN"/>
        </w:rPr>
        <w:t>Reference</w:t>
      </w:r>
      <w:r w:rsidRPr="001855D0">
        <w:rPr>
          <w:rFonts w:ascii="Arial" w:hAnsi="Arial" w:cs="Arial"/>
          <w:b/>
          <w:bCs/>
          <w:sz w:val="20"/>
          <w:u w:val="single"/>
          <w:bdr w:val="none" w:sz="0" w:space="0" w:color="auto" w:frame="1"/>
          <w:lang w:val="en-GB"/>
        </w:rPr>
        <w:t xml:space="preserve">s </w:t>
      </w:r>
    </w:p>
    <w:p w14:paraId="40355813" w14:textId="77777777" w:rsidR="001855D0" w:rsidRPr="001855D0" w:rsidRDefault="001855D0" w:rsidP="001855D0"/>
    <w:p w14:paraId="5980A74B" w14:textId="77777777" w:rsidR="001855D0" w:rsidRPr="001855D0" w:rsidRDefault="001855D0" w:rsidP="001855D0">
      <w:pPr>
        <w:widowControl w:val="0"/>
        <w:numPr>
          <w:ilvl w:val="0"/>
          <w:numId w:val="23"/>
        </w:numPr>
        <w:rPr>
          <w:rFonts w:cs="Arial"/>
        </w:rPr>
      </w:pPr>
      <w:r w:rsidRPr="001855D0">
        <w:rPr>
          <w:rFonts w:cs="Arial"/>
        </w:rPr>
        <w:t>ITU-R Document 5-1/36, “</w:t>
      </w:r>
      <w:r w:rsidRPr="001855D0">
        <w:t xml:space="preserve">spectrum needs </w:t>
      </w:r>
      <w:r w:rsidRPr="001855D0">
        <w:rPr>
          <w:lang w:eastAsia="ja-JP"/>
        </w:rPr>
        <w:t xml:space="preserve">and characteristics for </w:t>
      </w:r>
      <w:r w:rsidRPr="001855D0">
        <w:t>the terrestrial component of IMT</w:t>
      </w:r>
      <w:r w:rsidRPr="001855D0">
        <w:rPr>
          <w:lang w:eastAsia="ja-JP"/>
        </w:rPr>
        <w:t xml:space="preserve"> in the frequency range between 24.25 GHz and 86 GHz”</w:t>
      </w:r>
    </w:p>
    <w:p w14:paraId="379ED2A5" w14:textId="77777777" w:rsidR="001855D0" w:rsidRPr="001855D0" w:rsidRDefault="001855D0" w:rsidP="001855D0">
      <w:pPr>
        <w:widowControl w:val="0"/>
        <w:numPr>
          <w:ilvl w:val="0"/>
          <w:numId w:val="23"/>
        </w:numPr>
        <w:jc w:val="both"/>
        <w:rPr>
          <w:rFonts w:cs="Arial"/>
        </w:rPr>
      </w:pPr>
      <w:r w:rsidRPr="001855D0">
        <w:rPr>
          <w:rFonts w:cs="Arial" w:hint="eastAsia"/>
        </w:rPr>
        <w:t>G</w:t>
      </w:r>
      <w:r w:rsidRPr="001855D0">
        <w:rPr>
          <w:rFonts w:cs="Arial"/>
        </w:rPr>
        <w:t xml:space="preserve">. </w:t>
      </w:r>
      <w:r w:rsidRPr="001855D0">
        <w:rPr>
          <w:rFonts w:cs="Arial" w:hint="eastAsia"/>
          <w:lang w:eastAsia="zh-CN"/>
        </w:rPr>
        <w:t>R</w:t>
      </w:r>
      <w:r w:rsidRPr="001855D0">
        <w:rPr>
          <w:rFonts w:cs="Arial" w:hint="eastAsia"/>
        </w:rPr>
        <w:t>.</w:t>
      </w:r>
      <w:r w:rsidRPr="001855D0">
        <w:rPr>
          <w:rFonts w:cs="Arial"/>
        </w:rPr>
        <w:t xml:space="preserve"> Curry, Radar System Performance Modeling, Artech House, 2005.</w:t>
      </w:r>
    </w:p>
    <w:p w14:paraId="6303DB15" w14:textId="77777777" w:rsidR="001855D0" w:rsidRPr="001855D0" w:rsidRDefault="001855D0" w:rsidP="001855D0">
      <w:pPr>
        <w:widowControl w:val="0"/>
        <w:numPr>
          <w:ilvl w:val="0"/>
          <w:numId w:val="23"/>
        </w:numPr>
        <w:jc w:val="both"/>
        <w:rPr>
          <w:rFonts w:cs="Arial"/>
        </w:rPr>
      </w:pPr>
      <w:r w:rsidRPr="001855D0">
        <w:rPr>
          <w:rFonts w:cs="Arial"/>
        </w:rPr>
        <w:t>GSMA Online Document: Cloud AR/VR Whitepaper, April 2019.</w:t>
      </w:r>
    </w:p>
    <w:p w14:paraId="25F897FC" w14:textId="77777777" w:rsidR="001855D0" w:rsidRPr="001855D0" w:rsidRDefault="001855D0" w:rsidP="001855D0">
      <w:pPr>
        <w:widowControl w:val="0"/>
        <w:numPr>
          <w:ilvl w:val="0"/>
          <w:numId w:val="23"/>
        </w:numPr>
        <w:jc w:val="both"/>
        <w:rPr>
          <w:rFonts w:cs="Arial"/>
        </w:rPr>
      </w:pPr>
      <w:r w:rsidRPr="001855D0">
        <w:rPr>
          <w:rFonts w:cs="Arial"/>
        </w:rPr>
        <w:t>IMT-2030 (6G) Promotion Group, White paper on 6G vision and candidate technologies, June 2021.</w:t>
      </w:r>
    </w:p>
    <w:p w14:paraId="4CEB72D7" w14:textId="77777777" w:rsidR="001855D0" w:rsidRPr="001855D0" w:rsidRDefault="001855D0" w:rsidP="001855D0">
      <w:pPr>
        <w:numPr>
          <w:ilvl w:val="0"/>
          <w:numId w:val="23"/>
        </w:numPr>
        <w:spacing w:after="160" w:line="259" w:lineRule="auto"/>
        <w:contextualSpacing/>
        <w:rPr>
          <w:rFonts w:cs="Arial"/>
          <w:szCs w:val="20"/>
        </w:rPr>
      </w:pPr>
      <w:r w:rsidRPr="001855D0">
        <w:rPr>
          <w:rFonts w:cs="Arial"/>
          <w:color w:val="333333"/>
          <w:szCs w:val="20"/>
          <w:shd w:val="clear" w:color="auto" w:fill="FFFFFF"/>
        </w:rPr>
        <w:t xml:space="preserve">A. Clemm, M. T. Vega, H. K. </w:t>
      </w:r>
      <w:proofErr w:type="spellStart"/>
      <w:r w:rsidRPr="001855D0">
        <w:rPr>
          <w:rFonts w:cs="Arial"/>
          <w:color w:val="333333"/>
          <w:szCs w:val="20"/>
          <w:shd w:val="clear" w:color="auto" w:fill="FFFFFF"/>
        </w:rPr>
        <w:t>Ravuri</w:t>
      </w:r>
      <w:proofErr w:type="spellEnd"/>
      <w:r w:rsidRPr="001855D0">
        <w:rPr>
          <w:rFonts w:cs="Arial"/>
          <w:color w:val="333333"/>
          <w:szCs w:val="20"/>
          <w:shd w:val="clear" w:color="auto" w:fill="FFFFFF"/>
        </w:rPr>
        <w:t xml:space="preserve">, T. </w:t>
      </w:r>
      <w:proofErr w:type="spellStart"/>
      <w:r w:rsidRPr="001855D0">
        <w:rPr>
          <w:rFonts w:cs="Arial"/>
          <w:color w:val="333333"/>
          <w:szCs w:val="20"/>
          <w:shd w:val="clear" w:color="auto" w:fill="FFFFFF"/>
        </w:rPr>
        <w:t>Wauters</w:t>
      </w:r>
      <w:proofErr w:type="spellEnd"/>
      <w:r w:rsidRPr="001855D0">
        <w:rPr>
          <w:rFonts w:cs="Arial"/>
          <w:color w:val="333333"/>
          <w:szCs w:val="20"/>
          <w:shd w:val="clear" w:color="auto" w:fill="FFFFFF"/>
        </w:rPr>
        <w:t xml:space="preserve"> and F. D. </w:t>
      </w:r>
      <w:proofErr w:type="spellStart"/>
      <w:r w:rsidRPr="001855D0">
        <w:rPr>
          <w:rFonts w:cs="Arial"/>
          <w:color w:val="333333"/>
          <w:szCs w:val="20"/>
          <w:shd w:val="clear" w:color="auto" w:fill="FFFFFF"/>
        </w:rPr>
        <w:t>Turck</w:t>
      </w:r>
      <w:proofErr w:type="spellEnd"/>
      <w:r w:rsidRPr="001855D0">
        <w:rPr>
          <w:rFonts w:cs="Arial"/>
          <w:color w:val="333333"/>
          <w:szCs w:val="20"/>
          <w:shd w:val="clear" w:color="auto" w:fill="FFFFFF"/>
        </w:rPr>
        <w:t>, "Toward Truly Immersive Holographic-Type Communication: Challenges and Solutions," in </w:t>
      </w:r>
      <w:r w:rsidRPr="001855D0">
        <w:rPr>
          <w:rFonts w:cs="Arial"/>
          <w:i/>
          <w:iCs/>
          <w:color w:val="333333"/>
          <w:szCs w:val="20"/>
          <w:shd w:val="clear" w:color="auto" w:fill="FFFFFF"/>
        </w:rPr>
        <w:t>IEEE Communications Magazine</w:t>
      </w:r>
      <w:r w:rsidRPr="001855D0">
        <w:rPr>
          <w:rFonts w:cs="Arial"/>
          <w:color w:val="333333"/>
          <w:szCs w:val="20"/>
          <w:shd w:val="clear" w:color="auto" w:fill="FFFFFF"/>
        </w:rPr>
        <w:t>, vol. 58, no. 1, pp. 93-99, January 2020</w:t>
      </w:r>
    </w:p>
    <w:p w14:paraId="7FA18934" w14:textId="77777777" w:rsidR="001855D0" w:rsidRPr="001855D0" w:rsidRDefault="001855D0" w:rsidP="001855D0">
      <w:pPr>
        <w:numPr>
          <w:ilvl w:val="0"/>
          <w:numId w:val="23"/>
        </w:numPr>
        <w:spacing w:after="160" w:line="259" w:lineRule="auto"/>
        <w:contextualSpacing/>
        <w:rPr>
          <w:rFonts w:cs="Arial"/>
        </w:rPr>
      </w:pPr>
      <w:r w:rsidRPr="001855D0">
        <w:rPr>
          <w:rFonts w:cs="Arial"/>
          <w:szCs w:val="20"/>
        </w:rPr>
        <w:t xml:space="preserve">J. </w:t>
      </w:r>
      <w:proofErr w:type="spellStart"/>
      <w:r w:rsidRPr="001855D0">
        <w:rPr>
          <w:rFonts w:cs="Arial"/>
          <w:szCs w:val="20"/>
        </w:rPr>
        <w:t>Karafin</w:t>
      </w:r>
      <w:proofErr w:type="spellEnd"/>
      <w:r w:rsidRPr="001855D0">
        <w:rPr>
          <w:rFonts w:cs="Arial"/>
          <w:szCs w:val="20"/>
        </w:rPr>
        <w:t xml:space="preserve"> and B. </w:t>
      </w:r>
      <w:proofErr w:type="spellStart"/>
      <w:r w:rsidRPr="001855D0">
        <w:rPr>
          <w:rFonts w:cs="Arial"/>
          <w:szCs w:val="20"/>
        </w:rPr>
        <w:t>Bevensee</w:t>
      </w:r>
      <w:proofErr w:type="spellEnd"/>
      <w:r w:rsidRPr="001855D0">
        <w:rPr>
          <w:rFonts w:cs="Arial"/>
          <w:szCs w:val="20"/>
        </w:rPr>
        <w:t xml:space="preserve">, “25-2: On the Support of Light Field and Holographic Video Display Technology,” SID </w:t>
      </w:r>
      <w:proofErr w:type="spellStart"/>
      <w:r w:rsidRPr="001855D0">
        <w:rPr>
          <w:rFonts w:cs="Arial"/>
          <w:szCs w:val="20"/>
        </w:rPr>
        <w:t>Symp</w:t>
      </w:r>
      <w:proofErr w:type="spellEnd"/>
      <w:r w:rsidRPr="001855D0">
        <w:rPr>
          <w:rFonts w:cs="Arial"/>
          <w:szCs w:val="20"/>
        </w:rPr>
        <w:t>. Dig. Tech. Pap., vol. 49, no. 1, 2018, p. 318–21</w:t>
      </w:r>
    </w:p>
    <w:p w14:paraId="73198DB1" w14:textId="77777777" w:rsidR="0037421D" w:rsidRDefault="0037421D" w:rsidP="00E5341E">
      <w:pPr>
        <w:spacing w:after="120"/>
        <w:jc w:val="both"/>
        <w:rPr>
          <w:b/>
        </w:rPr>
      </w:pPr>
    </w:p>
    <w:p w14:paraId="365DBE9B" w14:textId="77777777" w:rsidR="0037421D" w:rsidRDefault="0037421D" w:rsidP="00E5341E">
      <w:pPr>
        <w:spacing w:after="120"/>
        <w:jc w:val="both"/>
        <w:rPr>
          <w:b/>
        </w:rPr>
      </w:pPr>
    </w:p>
    <w:p w14:paraId="45660B29" w14:textId="77777777" w:rsidR="003076A7" w:rsidRDefault="003076A7">
      <w:pPr>
        <w:rPr>
          <w:b/>
        </w:rPr>
      </w:pPr>
      <w:r>
        <w:rPr>
          <w:b/>
        </w:rPr>
        <w:br w:type="page"/>
      </w:r>
    </w:p>
    <w:p w14:paraId="76C70F57" w14:textId="77777777" w:rsidR="0037421D" w:rsidRPr="003076A7" w:rsidRDefault="003076A7" w:rsidP="00E5341E">
      <w:pPr>
        <w:spacing w:after="120"/>
        <w:jc w:val="both"/>
        <w:rPr>
          <w:rFonts w:eastAsia="SimSun"/>
          <w:b/>
          <w:lang w:eastAsia="zh-CN"/>
        </w:rPr>
      </w:pPr>
      <w:r>
        <w:rPr>
          <w:rFonts w:eastAsia="SimSun" w:hint="eastAsia"/>
          <w:b/>
          <w:lang w:eastAsia="zh-CN"/>
        </w:rPr>
        <w:lastRenderedPageBreak/>
        <w:t>A</w:t>
      </w:r>
      <w:r>
        <w:rPr>
          <w:rFonts w:eastAsia="SimSun"/>
          <w:b/>
          <w:lang w:eastAsia="zh-CN"/>
        </w:rPr>
        <w:t>ttachment:</w:t>
      </w:r>
    </w:p>
    <w:p w14:paraId="4DA46894" w14:textId="77777777" w:rsidR="003076A7" w:rsidRPr="001C5C3C" w:rsidRDefault="003076A7" w:rsidP="003076A7">
      <w:pPr>
        <w:jc w:val="center"/>
        <w:rPr>
          <w:b/>
          <w:bCs/>
          <w:sz w:val="28"/>
          <w:szCs w:val="28"/>
        </w:rPr>
      </w:pPr>
      <w:r w:rsidRPr="001C5C3C">
        <w:rPr>
          <w:b/>
          <w:bCs/>
          <w:sz w:val="28"/>
          <w:szCs w:val="28"/>
        </w:rPr>
        <w:t>Global mobile Suppliers Association - GSA</w:t>
      </w:r>
    </w:p>
    <w:p w14:paraId="374CC5DD" w14:textId="77777777" w:rsidR="003076A7" w:rsidRPr="001C5C3C" w:rsidRDefault="003076A7" w:rsidP="003076A7">
      <w:pPr>
        <w:jc w:val="center"/>
      </w:pPr>
      <w:r w:rsidRPr="001C5C3C">
        <w:t>The Industry Voice of the Global Mobile Ecosystem</w:t>
      </w:r>
    </w:p>
    <w:p w14:paraId="174F8FCC" w14:textId="77777777" w:rsidR="003076A7" w:rsidRPr="001C5C3C" w:rsidRDefault="003076A7" w:rsidP="003076A7">
      <w:pPr>
        <w:jc w:val="center"/>
        <w:rPr>
          <w:i/>
          <w:iCs/>
        </w:rPr>
      </w:pPr>
      <w:r w:rsidRPr="001C5C3C">
        <w:rPr>
          <w:i/>
          <w:iCs/>
        </w:rPr>
        <w:t>We promote the 3GPP technology roadmap.</w:t>
      </w:r>
    </w:p>
    <w:p w14:paraId="624C36C9" w14:textId="77777777" w:rsidR="003076A7" w:rsidRPr="001C5C3C" w:rsidRDefault="003076A7" w:rsidP="003076A7">
      <w:pPr>
        <w:widowControl w:val="0"/>
        <w:autoSpaceDE w:val="0"/>
        <w:autoSpaceDN w:val="0"/>
        <w:spacing w:before="60" w:after="60"/>
        <w:rPr>
          <w:rFonts w:ascii="Open Sans" w:eastAsia="Open Sans" w:hAnsi="Open Sans" w:cs="Open Sans"/>
          <w:sz w:val="20"/>
          <w:szCs w:val="20"/>
        </w:rPr>
      </w:pPr>
    </w:p>
    <w:p w14:paraId="20DEA745" w14:textId="77777777" w:rsidR="003076A7" w:rsidRPr="001C5C3C" w:rsidRDefault="003076A7" w:rsidP="003076A7">
      <w:pPr>
        <w:rPr>
          <w:b/>
          <w:bCs/>
        </w:rPr>
      </w:pPr>
      <w:r w:rsidRPr="001C5C3C">
        <w:rPr>
          <w:b/>
          <w:bCs/>
        </w:rPr>
        <w:t>About</w:t>
      </w:r>
      <w:r w:rsidRPr="001C5C3C">
        <w:rPr>
          <w:b/>
          <w:bCs/>
          <w:spacing w:val="1"/>
        </w:rPr>
        <w:t xml:space="preserve"> </w:t>
      </w:r>
      <w:r w:rsidRPr="001C5C3C">
        <w:rPr>
          <w:b/>
          <w:bCs/>
        </w:rPr>
        <w:t>GSA</w:t>
      </w:r>
    </w:p>
    <w:p w14:paraId="18C3CB46"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GSA was established in 1998 as a not-for-profit association to represent the broader mobile ecosystem of suppliers and mobile network technology developers. GSA is now well established and broadly respected in the industry and our research is contained in summary &amp; member reports that promote the development and progress of 3GPP technologies. GSA data is referenced globally.</w:t>
      </w:r>
    </w:p>
    <w:p w14:paraId="2A5A01AA"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 xml:space="preserve">In recent years GSA has strengthened its Executive Board and Ordinary Membership which now consists of many of the leading ecosystem suppliers. In addition, as GSA has expanded its research functions and industry databases – known as </w:t>
      </w:r>
      <w:proofErr w:type="spellStart"/>
      <w:r w:rsidRPr="001C5C3C">
        <w:rPr>
          <w:rFonts w:eastAsia="Open Sans"/>
        </w:rPr>
        <w:t>GAMBoD</w:t>
      </w:r>
      <w:proofErr w:type="spellEnd"/>
      <w:r w:rsidRPr="001C5C3C">
        <w:rPr>
          <w:rFonts w:eastAsia="Open Sans"/>
        </w:rPr>
        <w:t xml:space="preserve"> – there has been major growth in the number of GSA Associate subscribers who gain access to exclusive Member Reports and </w:t>
      </w:r>
      <w:proofErr w:type="spellStart"/>
      <w:r w:rsidRPr="001C5C3C">
        <w:rPr>
          <w:rFonts w:eastAsia="Open Sans"/>
        </w:rPr>
        <w:t>GAMBoD</w:t>
      </w:r>
      <w:proofErr w:type="spellEnd"/>
      <w:r w:rsidRPr="001C5C3C">
        <w:rPr>
          <w:rFonts w:eastAsia="Open Sans"/>
        </w:rPr>
        <w:t xml:space="preserve"> databases. Over 100 businesses, regulators, analysts etc. participate and drive the success of GSA.</w:t>
      </w:r>
    </w:p>
    <w:p w14:paraId="59FEAA4D" w14:textId="77777777" w:rsidR="003076A7" w:rsidRPr="001C5C3C" w:rsidRDefault="003076A7" w:rsidP="003076A7">
      <w:pPr>
        <w:widowControl w:val="0"/>
        <w:autoSpaceDE w:val="0"/>
        <w:autoSpaceDN w:val="0"/>
        <w:spacing w:before="60" w:after="60"/>
        <w:jc w:val="both"/>
        <w:rPr>
          <w:rFonts w:eastAsia="Open Sans"/>
        </w:rPr>
      </w:pPr>
    </w:p>
    <w:p w14:paraId="19D83A1F" w14:textId="77777777" w:rsidR="003076A7" w:rsidRPr="001C5C3C" w:rsidRDefault="003076A7" w:rsidP="003076A7">
      <w:pPr>
        <w:rPr>
          <w:b/>
          <w:bCs/>
        </w:rPr>
      </w:pPr>
      <w:r w:rsidRPr="001C5C3C">
        <w:rPr>
          <w:b/>
          <w:bCs/>
        </w:rPr>
        <w:t>Research</w:t>
      </w:r>
    </w:p>
    <w:p w14:paraId="173A6B31" w14:textId="77777777" w:rsidR="003076A7" w:rsidRPr="001C5C3C" w:rsidRDefault="003076A7" w:rsidP="003076A7">
      <w:pPr>
        <w:jc w:val="both"/>
      </w:pPr>
      <w:r w:rsidRPr="001C5C3C">
        <w:t xml:space="preserve">The GSA research team produces valuable data on the evolution and roll out of 3GPP technologies, global spectrum assignments, devices, networks and new industry initiatives all of which feeds into </w:t>
      </w:r>
      <w:proofErr w:type="spellStart"/>
      <w:r w:rsidRPr="001C5C3C">
        <w:t>GAMBoD</w:t>
      </w:r>
      <w:proofErr w:type="spellEnd"/>
      <w:r w:rsidRPr="001C5C3C">
        <w:t xml:space="preserve"> databases and GSA industry reports, presentations and fact sheets.</w:t>
      </w:r>
    </w:p>
    <w:p w14:paraId="372EE58F" w14:textId="77777777" w:rsidR="003076A7" w:rsidRPr="001C5C3C" w:rsidRDefault="003076A7" w:rsidP="003076A7">
      <w:pPr>
        <w:jc w:val="both"/>
      </w:pPr>
    </w:p>
    <w:p w14:paraId="1D295F9D" w14:textId="77777777" w:rsidR="003076A7" w:rsidRPr="001C5C3C" w:rsidRDefault="003076A7" w:rsidP="003076A7">
      <w:pPr>
        <w:rPr>
          <w:b/>
          <w:bCs/>
        </w:rPr>
      </w:pPr>
      <w:r w:rsidRPr="001C5C3C">
        <w:rPr>
          <w:b/>
          <w:bCs/>
        </w:rPr>
        <w:t>Spectrum Group</w:t>
      </w:r>
    </w:p>
    <w:p w14:paraId="5745DA82"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The GSA Spectrum Group consists of over 190 participants from Member companies split into 7 regional teams, as well as specific focused working groups. The Spectrum Group responds to regional consultations, advises on spectrum related issues, and is a driving force in the promotion, harmonization and release of spectrum for IMT/3GPP technologies.</w:t>
      </w:r>
    </w:p>
    <w:p w14:paraId="2DDC8A37" w14:textId="77777777" w:rsidR="003076A7" w:rsidRPr="001C5C3C" w:rsidRDefault="003076A7" w:rsidP="003076A7">
      <w:pPr>
        <w:widowControl w:val="0"/>
        <w:autoSpaceDE w:val="0"/>
        <w:autoSpaceDN w:val="0"/>
        <w:spacing w:before="60" w:after="60"/>
        <w:jc w:val="both"/>
        <w:rPr>
          <w:rFonts w:eastAsia="Open Sans"/>
        </w:rPr>
      </w:pPr>
    </w:p>
    <w:p w14:paraId="00AF236C" w14:textId="77777777" w:rsidR="003076A7" w:rsidRPr="001C5C3C" w:rsidRDefault="003076A7" w:rsidP="003076A7">
      <w:pPr>
        <w:widowControl w:val="0"/>
        <w:autoSpaceDE w:val="0"/>
        <w:autoSpaceDN w:val="0"/>
        <w:spacing w:before="60" w:after="60"/>
        <w:rPr>
          <w:rFonts w:eastAsia="Open Sans"/>
          <w:b/>
          <w:bCs/>
        </w:rPr>
      </w:pPr>
      <w:r w:rsidRPr="001C5C3C">
        <w:rPr>
          <w:rFonts w:eastAsia="Open Sans"/>
          <w:b/>
          <w:bCs/>
        </w:rPr>
        <w:t>Standards Group</w:t>
      </w:r>
    </w:p>
    <w:p w14:paraId="59EE85A1"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 xml:space="preserve">The GSA Standards Group’s objective is to ensure the long-term success of a global 3GPP ecosystem, which in turn will play a vital role to meet general societal expectations for connecting people and devices globally. </w:t>
      </w:r>
    </w:p>
    <w:p w14:paraId="2E894F73" w14:textId="77777777" w:rsidR="003076A7" w:rsidRPr="001C5C3C" w:rsidRDefault="003076A7" w:rsidP="003076A7">
      <w:pPr>
        <w:widowControl w:val="0"/>
        <w:autoSpaceDE w:val="0"/>
        <w:autoSpaceDN w:val="0"/>
        <w:spacing w:before="60" w:after="60"/>
        <w:jc w:val="both"/>
        <w:rPr>
          <w:rFonts w:eastAsia="Open Sans"/>
        </w:rPr>
      </w:pPr>
    </w:p>
    <w:p w14:paraId="64B9CB89" w14:textId="77777777" w:rsidR="003076A7" w:rsidRPr="001C5C3C" w:rsidRDefault="003076A7" w:rsidP="003076A7">
      <w:pPr>
        <w:widowControl w:val="0"/>
        <w:autoSpaceDE w:val="0"/>
        <w:autoSpaceDN w:val="0"/>
        <w:spacing w:before="60" w:after="60"/>
        <w:jc w:val="both"/>
        <w:rPr>
          <w:rFonts w:eastAsia="Open Sans"/>
          <w:b/>
          <w:bCs/>
        </w:rPr>
      </w:pPr>
      <w:r w:rsidRPr="001C5C3C">
        <w:rPr>
          <w:rFonts w:eastAsia="Open Sans"/>
          <w:b/>
          <w:bCs/>
        </w:rPr>
        <w:t>Special Interest Groups (SIG)</w:t>
      </w:r>
    </w:p>
    <w:p w14:paraId="46C24207"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The 4G-5G Fixed Wireless Access Forum is a special interest group that promotes 3GPP technologies for fixed wireless applications and produces reports and research to support the growth of this market segment.</w:t>
      </w:r>
    </w:p>
    <w:p w14:paraId="256BD8AB"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The Private Mobile Networks Special Interest Group is collecting and collating data on non-public-mobile-networks to support more accurate industry data on this growing mobile market segment.</w:t>
      </w:r>
    </w:p>
    <w:p w14:paraId="3563CE98" w14:textId="77777777" w:rsidR="003076A7" w:rsidRPr="001C5C3C" w:rsidRDefault="003076A7" w:rsidP="003076A7">
      <w:pPr>
        <w:widowControl w:val="0"/>
        <w:autoSpaceDE w:val="0"/>
        <w:autoSpaceDN w:val="0"/>
        <w:spacing w:before="60" w:after="60"/>
        <w:jc w:val="both"/>
        <w:rPr>
          <w:rFonts w:eastAsia="Open Sans"/>
          <w:b/>
          <w:bCs/>
        </w:rPr>
      </w:pPr>
      <w:r w:rsidRPr="001C5C3C">
        <w:rPr>
          <w:rFonts w:eastAsia="Open Sans"/>
          <w:b/>
          <w:bCs/>
        </w:rPr>
        <w:t>Website</w:t>
      </w:r>
    </w:p>
    <w:p w14:paraId="50F97915" w14:textId="77777777" w:rsidR="003076A7" w:rsidRPr="001C5C3C" w:rsidRDefault="00000000" w:rsidP="003076A7">
      <w:pPr>
        <w:widowControl w:val="0"/>
        <w:autoSpaceDE w:val="0"/>
        <w:autoSpaceDN w:val="0"/>
        <w:spacing w:before="60" w:after="60"/>
        <w:jc w:val="both"/>
        <w:rPr>
          <w:rFonts w:eastAsia="Open Sans"/>
        </w:rPr>
      </w:pPr>
      <w:hyperlink r:id="rId19" w:history="1">
        <w:r w:rsidR="003076A7" w:rsidRPr="001C5C3C">
          <w:rPr>
            <w:rFonts w:eastAsia="Open Sans"/>
            <w:color w:val="0000FF" w:themeColor="hyperlink"/>
            <w:u w:val="single"/>
          </w:rPr>
          <w:t>https://gsacom.com</w:t>
        </w:r>
      </w:hyperlink>
      <w:r w:rsidR="003076A7" w:rsidRPr="001C5C3C">
        <w:rPr>
          <w:rFonts w:eastAsia="Open Sans"/>
        </w:rPr>
        <w:t xml:space="preserve"> is the home of GSA where registered users can freely download reports, presentations, infographics and access on-line tools to gain a clear understanding of the long-term success of 3GPP technologies. GSA Member companies and Associate subscribers gain access to a broader range of detailed reports, GSA resources, and can access &amp; filter data &amp; create graphs from </w:t>
      </w:r>
      <w:proofErr w:type="spellStart"/>
      <w:r w:rsidR="003076A7" w:rsidRPr="001C5C3C">
        <w:rPr>
          <w:rFonts w:eastAsia="Open Sans"/>
        </w:rPr>
        <w:t>GAMBoD</w:t>
      </w:r>
      <w:proofErr w:type="spellEnd"/>
      <w:r w:rsidR="003076A7" w:rsidRPr="001C5C3C">
        <w:rPr>
          <w:rFonts w:eastAsia="Open Sans"/>
        </w:rPr>
        <w:t xml:space="preserve"> databases.</w:t>
      </w:r>
    </w:p>
    <w:p w14:paraId="0DA6E8A2" w14:textId="77777777" w:rsidR="003076A7" w:rsidRPr="001C5C3C" w:rsidRDefault="003076A7" w:rsidP="003076A7">
      <w:pPr>
        <w:widowControl w:val="0"/>
        <w:autoSpaceDE w:val="0"/>
        <w:autoSpaceDN w:val="0"/>
        <w:spacing w:before="60" w:after="60"/>
        <w:jc w:val="both"/>
        <w:rPr>
          <w:rFonts w:eastAsia="Open Sans"/>
        </w:rPr>
      </w:pPr>
    </w:p>
    <w:p w14:paraId="573745B3" w14:textId="77777777" w:rsidR="003076A7" w:rsidRPr="001C5C3C" w:rsidRDefault="003076A7" w:rsidP="003076A7">
      <w:pPr>
        <w:widowControl w:val="0"/>
        <w:autoSpaceDE w:val="0"/>
        <w:autoSpaceDN w:val="0"/>
        <w:spacing w:before="60" w:after="60"/>
        <w:jc w:val="both"/>
        <w:rPr>
          <w:rFonts w:eastAsia="Open Sans"/>
          <w:b/>
          <w:bCs/>
        </w:rPr>
      </w:pPr>
      <w:r w:rsidRPr="001C5C3C">
        <w:rPr>
          <w:rFonts w:eastAsia="Open Sans"/>
          <w:b/>
          <w:bCs/>
        </w:rPr>
        <w:t>Membership of GSA</w:t>
      </w:r>
    </w:p>
    <w:p w14:paraId="7E79BC5D"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 xml:space="preserve">Companies who are part of the worldwide mobile ecosystem, engaged in the supply of infrastructure, semiconductors, test equipment, devices, mobile applications, and support services can become a member of GSA. Alternatively, it is possible for any company to subscribe to gain access to all GSA resources as an Associate. GSA offers a 60% discounted Associate fee for regulators, government agencies, mobile operators (with licensed spectrum) and universities. </w:t>
      </w:r>
      <w:r>
        <w:rPr>
          <w:rFonts w:eastAsia="Open Sans"/>
        </w:rPr>
        <w:t xml:space="preserve"> Regulatory associated organisations that are associate members of GSA include IMDA, </w:t>
      </w:r>
      <w:proofErr w:type="spellStart"/>
      <w:r>
        <w:rPr>
          <w:rFonts w:eastAsia="Open Sans"/>
        </w:rPr>
        <w:t>Comreg</w:t>
      </w:r>
      <w:proofErr w:type="spellEnd"/>
      <w:r>
        <w:rPr>
          <w:rFonts w:eastAsia="Open Sans"/>
        </w:rPr>
        <w:t>, ISED, ARCEP, CAICT, ECO, OFCOM, IFT, MCMC, TRA, CSTC, etc. at a cost of around $1.3k per annum.</w:t>
      </w:r>
    </w:p>
    <w:p w14:paraId="1F3C41E9" w14:textId="77777777" w:rsidR="003076A7" w:rsidRPr="001C5C3C" w:rsidRDefault="003076A7" w:rsidP="003076A7">
      <w:pPr>
        <w:widowControl w:val="0"/>
        <w:autoSpaceDE w:val="0"/>
        <w:autoSpaceDN w:val="0"/>
        <w:spacing w:before="60" w:after="60"/>
        <w:jc w:val="both"/>
        <w:rPr>
          <w:rFonts w:eastAsia="Open Sans"/>
        </w:rPr>
      </w:pPr>
    </w:p>
    <w:p w14:paraId="65B94083" w14:textId="77777777" w:rsidR="003076A7" w:rsidRPr="001C5C3C" w:rsidRDefault="003076A7" w:rsidP="003076A7">
      <w:pPr>
        <w:widowControl w:val="0"/>
        <w:autoSpaceDE w:val="0"/>
        <w:autoSpaceDN w:val="0"/>
        <w:spacing w:before="60" w:after="60"/>
        <w:jc w:val="both"/>
        <w:rPr>
          <w:rFonts w:eastAsia="Open Sans"/>
          <w:b/>
          <w:bCs/>
        </w:rPr>
      </w:pPr>
      <w:r w:rsidRPr="001C5C3C">
        <w:rPr>
          <w:rFonts w:eastAsia="Open Sans"/>
          <w:b/>
          <w:bCs/>
        </w:rPr>
        <w:t>Industry representation</w:t>
      </w:r>
    </w:p>
    <w:p w14:paraId="0EECDCA0"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 xml:space="preserve">GSA is a Market Representation Partner in 3GPP and co-operates with other key organisations including ETSI, GSMA, GCF, MFA, </w:t>
      </w:r>
      <w:proofErr w:type="spellStart"/>
      <w:r w:rsidRPr="001C5C3C">
        <w:rPr>
          <w:rFonts w:eastAsia="Open Sans"/>
        </w:rPr>
        <w:t>OnGo</w:t>
      </w:r>
      <w:proofErr w:type="spellEnd"/>
      <w:r w:rsidRPr="001C5C3C">
        <w:rPr>
          <w:rFonts w:eastAsia="Open Sans"/>
        </w:rPr>
        <w:t xml:space="preserve"> Alliance, 5G-ACIA; and is an Associate Member of APT, CITEL and ATU regional ITU bodies.</w:t>
      </w:r>
    </w:p>
    <w:p w14:paraId="2FD8A358" w14:textId="77777777" w:rsidR="003076A7" w:rsidRPr="001C5C3C" w:rsidRDefault="003076A7" w:rsidP="003076A7">
      <w:pPr>
        <w:widowControl w:val="0"/>
        <w:autoSpaceDE w:val="0"/>
        <w:autoSpaceDN w:val="0"/>
        <w:spacing w:before="60" w:after="60"/>
        <w:jc w:val="both"/>
        <w:rPr>
          <w:rFonts w:eastAsia="Open Sans"/>
        </w:rPr>
      </w:pPr>
    </w:p>
    <w:p w14:paraId="24FF29CF" w14:textId="77777777" w:rsidR="003076A7" w:rsidRPr="001C5C3C" w:rsidRDefault="003076A7" w:rsidP="003076A7">
      <w:pPr>
        <w:widowControl w:val="0"/>
        <w:autoSpaceDE w:val="0"/>
        <w:autoSpaceDN w:val="0"/>
        <w:spacing w:before="60" w:after="60"/>
        <w:jc w:val="both"/>
        <w:rPr>
          <w:rFonts w:eastAsia="Open Sans"/>
          <w:b/>
          <w:bCs/>
        </w:rPr>
      </w:pPr>
      <w:r w:rsidRPr="001C5C3C">
        <w:rPr>
          <w:rFonts w:eastAsia="Open Sans"/>
          <w:b/>
          <w:bCs/>
        </w:rPr>
        <w:t>Contact GSA</w:t>
      </w:r>
    </w:p>
    <w:p w14:paraId="6BF39E92"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 xml:space="preserve">Email: </w:t>
      </w:r>
      <w:hyperlink r:id="rId20" w:history="1">
        <w:r w:rsidRPr="001C5C3C">
          <w:rPr>
            <w:rFonts w:eastAsia="Open Sans"/>
            <w:color w:val="0000FF" w:themeColor="hyperlink"/>
            <w:u w:val="single"/>
          </w:rPr>
          <w:t>admin@gsacom.com</w:t>
        </w:r>
      </w:hyperlink>
      <w:r w:rsidRPr="001C5C3C">
        <w:rPr>
          <w:rFonts w:eastAsia="Open Sans"/>
        </w:rPr>
        <w:t xml:space="preserve"> Web: </w:t>
      </w:r>
      <w:hyperlink r:id="rId21" w:history="1">
        <w:r w:rsidRPr="001C5C3C">
          <w:rPr>
            <w:rFonts w:eastAsia="Open Sans"/>
            <w:color w:val="0000FF" w:themeColor="hyperlink"/>
            <w:u w:val="single"/>
          </w:rPr>
          <w:t>https://gsacom.com</w:t>
        </w:r>
      </w:hyperlink>
      <w:r w:rsidRPr="001C5C3C">
        <w:rPr>
          <w:rFonts w:eastAsia="Open Sans"/>
        </w:rPr>
        <w:t xml:space="preserve"> </w:t>
      </w:r>
    </w:p>
    <w:p w14:paraId="7C1745F7" w14:textId="77777777" w:rsidR="003076A7" w:rsidRPr="001C5C3C" w:rsidRDefault="003076A7" w:rsidP="003076A7">
      <w:pPr>
        <w:widowControl w:val="0"/>
        <w:autoSpaceDE w:val="0"/>
        <w:autoSpaceDN w:val="0"/>
        <w:spacing w:before="60" w:after="60"/>
        <w:jc w:val="both"/>
        <w:rPr>
          <w:rFonts w:eastAsia="Open Sans"/>
        </w:rPr>
      </w:pPr>
      <w:r w:rsidRPr="001C5C3C">
        <w:rPr>
          <w:rFonts w:eastAsia="Open Sans"/>
        </w:rPr>
        <w:t>GSA is an Association governed by Swiss law with its seat in Zürich, Switzerland and business offices in the UK and Singapore.</w:t>
      </w:r>
    </w:p>
    <w:p w14:paraId="23E4098C" w14:textId="77777777" w:rsidR="003076A7" w:rsidRPr="001C5C3C" w:rsidRDefault="003076A7" w:rsidP="003076A7">
      <w:pPr>
        <w:spacing w:after="120"/>
        <w:jc w:val="both"/>
        <w:rPr>
          <w:b/>
        </w:rPr>
      </w:pPr>
    </w:p>
    <w:p w14:paraId="7E4EFA3A" w14:textId="77777777" w:rsidR="003076A7" w:rsidRDefault="003076A7" w:rsidP="003076A7">
      <w:pPr>
        <w:spacing w:after="120"/>
        <w:jc w:val="both"/>
        <w:rPr>
          <w:b/>
        </w:rPr>
      </w:pPr>
    </w:p>
    <w:sectPr w:rsidR="003076A7" w:rsidSect="00FF72BB">
      <w:headerReference w:type="default" r:id="rId22"/>
      <w:footerReference w:type="even" r:id="rId23"/>
      <w:footerReference w:type="default" r:id="rId24"/>
      <w:footerReference w:type="first" r:id="rId25"/>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6A35" w14:textId="77777777" w:rsidR="00343FEC" w:rsidRDefault="00343FEC">
      <w:r>
        <w:separator/>
      </w:r>
    </w:p>
  </w:endnote>
  <w:endnote w:type="continuationSeparator" w:id="0">
    <w:p w14:paraId="30EAD36E" w14:textId="77777777" w:rsidR="00343FEC" w:rsidRDefault="0034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altName w:val="BatangChe"/>
    <w:charset w:val="81"/>
    <w:family w:val="modern"/>
    <w:pitch w:val="fixed"/>
    <w:sig w:usb0="B00002AF" w:usb1="69D77CFB" w:usb2="00000030" w:usb3="00000000" w:csb0="0008009F" w:csb1="00000000"/>
  </w:font>
  <w:font w:name="GulimChe">
    <w:altName w:val="굴림체"/>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12B7" w14:textId="77777777" w:rsidR="00B54758" w:rsidRDefault="00B54758"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BFF509" w14:textId="77777777" w:rsidR="00B54758" w:rsidRDefault="00B54758"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CDFC" w14:textId="1B34DB18" w:rsidR="00051E1E" w:rsidRDefault="00051E1E">
    <w:pPr>
      <w:pStyle w:val="Footer"/>
    </w:pPr>
    <w:r>
      <w:t>A</w:t>
    </w:r>
    <w:r w:rsidR="001E1432">
      <w:t>PG23-</w:t>
    </w:r>
    <w:r w:rsidR="005405B5">
      <w:t>5</w:t>
    </w:r>
    <w:r>
      <w:t>/IN</w:t>
    </w:r>
    <w:r w:rsidR="00AE387B">
      <w:t>F</w:t>
    </w:r>
    <w:r>
      <w:t>-</w:t>
    </w:r>
    <w:r w:rsidR="0057702E">
      <w:t>26</w:t>
    </w:r>
    <w:r>
      <w:tab/>
    </w:r>
    <w:r>
      <w:tab/>
      <w:t xml:space="preserve">Page </w:t>
    </w:r>
    <w:r>
      <w:rPr>
        <w:b/>
        <w:bCs/>
      </w:rPr>
      <w:fldChar w:fldCharType="begin"/>
    </w:r>
    <w:r>
      <w:rPr>
        <w:b/>
        <w:bCs/>
      </w:rPr>
      <w:instrText xml:space="preserve"> PAGE  \* Arabic  \* MERGEFORMAT </w:instrText>
    </w:r>
    <w:r>
      <w:rPr>
        <w:b/>
        <w:bCs/>
      </w:rPr>
      <w:fldChar w:fldCharType="separate"/>
    </w:r>
    <w:r w:rsidR="00FF72BB">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F72BB">
      <w:rPr>
        <w:b/>
        <w:bCs/>
        <w:noProof/>
      </w:rPr>
      <w:t>3</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6" w:type="dxa"/>
      <w:jc w:val="center"/>
      <w:tblBorders>
        <w:top w:val="single" w:sz="8" w:space="0" w:color="auto"/>
      </w:tblBorders>
      <w:tblLayout w:type="fixed"/>
      <w:tblCellMar>
        <w:left w:w="29" w:type="dxa"/>
        <w:right w:w="29" w:type="dxa"/>
      </w:tblCellMar>
      <w:tblLook w:val="0000" w:firstRow="0" w:lastRow="0" w:firstColumn="0" w:lastColumn="0" w:noHBand="0" w:noVBand="0"/>
    </w:tblPr>
    <w:tblGrid>
      <w:gridCol w:w="1152"/>
      <w:gridCol w:w="5040"/>
      <w:gridCol w:w="3024"/>
    </w:tblGrid>
    <w:tr w:rsidR="00B54758" w14:paraId="549C256E" w14:textId="77777777" w:rsidTr="007E7497">
      <w:trPr>
        <w:cantSplit/>
        <w:trHeight w:val="204"/>
        <w:jc w:val="center"/>
      </w:trPr>
      <w:tc>
        <w:tcPr>
          <w:tcW w:w="1152" w:type="dxa"/>
        </w:tcPr>
        <w:p w14:paraId="21C50838" w14:textId="77777777" w:rsidR="00B54758" w:rsidRDefault="00B54758" w:rsidP="007E7497">
          <w:pPr>
            <w:rPr>
              <w:b/>
              <w:bCs/>
            </w:rPr>
          </w:pPr>
          <w:r>
            <w:rPr>
              <w:b/>
              <w:bCs/>
            </w:rPr>
            <w:t>Contact:</w:t>
          </w:r>
        </w:p>
      </w:tc>
      <w:tc>
        <w:tcPr>
          <w:tcW w:w="5040" w:type="dxa"/>
        </w:tcPr>
        <w:p w14:paraId="1ED8FDE0" w14:textId="77777777" w:rsidR="00B54758" w:rsidRDefault="006771E9" w:rsidP="007E7497">
          <w:pPr>
            <w:pStyle w:val="Equation"/>
            <w:tabs>
              <w:tab w:val="clear" w:pos="794"/>
              <w:tab w:val="clear" w:pos="4820"/>
              <w:tab w:val="clear" w:pos="9639"/>
            </w:tabs>
            <w:spacing w:beforeLines="0"/>
            <w:rPr>
              <w:rFonts w:eastAsia="Batang"/>
            </w:rPr>
          </w:pPr>
          <w:r w:rsidRPr="006771E9">
            <w:rPr>
              <w:rFonts w:eastAsia="Batang"/>
            </w:rPr>
            <w:t>Stuart Cooke</w:t>
          </w:r>
        </w:p>
        <w:p w14:paraId="05903054" w14:textId="77777777" w:rsidR="00EC249E" w:rsidRDefault="006771E9" w:rsidP="007E7497">
          <w:pPr>
            <w:pStyle w:val="Equation"/>
            <w:tabs>
              <w:tab w:val="clear" w:pos="794"/>
              <w:tab w:val="clear" w:pos="4820"/>
              <w:tab w:val="clear" w:pos="9639"/>
            </w:tabs>
            <w:spacing w:beforeLines="0"/>
            <w:rPr>
              <w:rFonts w:eastAsia="Batang"/>
            </w:rPr>
          </w:pPr>
          <w:r>
            <w:rPr>
              <w:rFonts w:eastAsia="Batang"/>
            </w:rPr>
            <w:t>GSA</w:t>
          </w:r>
        </w:p>
      </w:tc>
      <w:tc>
        <w:tcPr>
          <w:tcW w:w="3024" w:type="dxa"/>
        </w:tcPr>
        <w:p w14:paraId="079AB19A" w14:textId="43B6E937" w:rsidR="00B54758" w:rsidRDefault="00B54758" w:rsidP="00E23D98">
          <w:pPr>
            <w:rPr>
              <w:lang w:eastAsia="ja-JP"/>
            </w:rPr>
          </w:pPr>
          <w:r w:rsidRPr="0057702E">
            <w:rPr>
              <w:b/>
              <w:bCs/>
            </w:rPr>
            <w:t>Email</w:t>
          </w:r>
          <w:r w:rsidRPr="0057702E">
            <w:rPr>
              <w:rFonts w:hint="eastAsia"/>
              <w:b/>
              <w:bCs/>
            </w:rPr>
            <w:t>:</w:t>
          </w:r>
          <w:r w:rsidR="006771E9">
            <w:t xml:space="preserve"> </w:t>
          </w:r>
          <w:hyperlink r:id="rId1" w:history="1">
            <w:r w:rsidR="0057702E" w:rsidRPr="009B7650">
              <w:rPr>
                <w:rStyle w:val="Hyperlink"/>
              </w:rPr>
              <w:t>stuart.cooke@Samsung.com</w:t>
            </w:r>
          </w:hyperlink>
          <w:r w:rsidR="0057702E">
            <w:rPr>
              <w:lang w:eastAsia="ja-JP"/>
            </w:rPr>
            <w:t xml:space="preserve"> </w:t>
          </w:r>
        </w:p>
      </w:tc>
    </w:tr>
  </w:tbl>
  <w:p w14:paraId="0554C78E" w14:textId="77777777" w:rsidR="00B54758" w:rsidRPr="007E7497" w:rsidRDefault="00B54758" w:rsidP="007E1FDD">
    <w:pPr>
      <w:pStyle w:val="Footer"/>
      <w:tabs>
        <w:tab w:val="clear" w:pos="4320"/>
        <w:tab w:val="clear" w:pos="86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4116" w14:textId="77777777" w:rsidR="00343FEC" w:rsidRDefault="00343FEC">
      <w:r>
        <w:separator/>
      </w:r>
    </w:p>
  </w:footnote>
  <w:footnote w:type="continuationSeparator" w:id="0">
    <w:p w14:paraId="7F90B5B4" w14:textId="77777777" w:rsidR="00343FEC" w:rsidRDefault="00343FEC">
      <w:r>
        <w:continuationSeparator/>
      </w:r>
    </w:p>
  </w:footnote>
  <w:footnote w:id="1">
    <w:p w14:paraId="441767A2" w14:textId="77777777" w:rsidR="003076A7" w:rsidRPr="00720877" w:rsidRDefault="003076A7" w:rsidP="003076A7">
      <w:pPr>
        <w:pStyle w:val="FootnoteText"/>
      </w:pPr>
      <w:r>
        <w:rPr>
          <w:rStyle w:val="FootnoteReference"/>
        </w:rPr>
        <w:footnoteRef/>
      </w:r>
      <w:r>
        <w:t xml:space="preserve"> GSA is delighted to become a member of APT. We would like to offer our sincere thanks to the APT Secretary General Mr. Masanori Kondo and staff as well as IMDA Singapore for their encouragement and support to enable us to join. We will continue contributing to APT meetings and promoting ICT development in the Asia-Pacific region. Information about the GSA and what we do are introduced in the attachment.  APT members are invited to join membership of GSA.</w:t>
      </w:r>
    </w:p>
  </w:footnote>
  <w:footnote w:id="2">
    <w:p w14:paraId="50EF80C0" w14:textId="77777777" w:rsidR="001855D0" w:rsidRPr="00AC0651" w:rsidRDefault="001855D0" w:rsidP="001855D0">
      <w:pPr>
        <w:pStyle w:val="FootnoteText"/>
        <w:rPr>
          <w:rFonts w:ascii="Calibri" w:hAnsi="Calibri" w:cs="Calibri"/>
        </w:rPr>
      </w:pPr>
      <w:r>
        <w:rPr>
          <w:rStyle w:val="FootnoteReference"/>
        </w:rPr>
        <w:footnoteRef/>
      </w:r>
      <w:r>
        <w:t xml:space="preserve"> </w:t>
      </w:r>
      <w:r w:rsidRPr="00AC0651">
        <w:rPr>
          <w:rFonts w:ascii="Calibri" w:hAnsi="Calibri" w:cs="Calibri"/>
        </w:rPr>
        <w:t xml:space="preserve">Assumptions: </w:t>
      </w:r>
    </w:p>
    <w:p w14:paraId="0F2B29DC" w14:textId="77777777" w:rsidR="001855D0" w:rsidRDefault="001855D0" w:rsidP="001855D0">
      <w:pPr>
        <w:pStyle w:val="FootnoteText"/>
        <w:ind w:firstLine="200"/>
        <w:rPr>
          <w:rFonts w:ascii="Calibri" w:hAnsi="Calibri" w:cs="Calibri"/>
        </w:rPr>
      </w:pPr>
      <w:r w:rsidRPr="00AC0651">
        <w:rPr>
          <w:rFonts w:ascii="Calibri" w:hAnsi="Calibri" w:cs="Calibri"/>
        </w:rPr>
        <w:t>- 16K</w:t>
      </w:r>
      <w:r>
        <w:rPr>
          <w:rFonts w:cs="Arial"/>
        </w:rPr>
        <w:sym w:font="Symbol" w:char="F0B4"/>
      </w:r>
      <w:r w:rsidRPr="00AC0651">
        <w:rPr>
          <w:rFonts w:ascii="Calibri" w:hAnsi="Calibri" w:cs="Calibri"/>
        </w:rPr>
        <w:t>16K resolution</w:t>
      </w:r>
    </w:p>
    <w:p w14:paraId="05F183D0" w14:textId="77777777" w:rsidR="001855D0" w:rsidRDefault="001855D0" w:rsidP="001855D0">
      <w:pPr>
        <w:pStyle w:val="FootnoteText"/>
        <w:ind w:firstLine="200"/>
        <w:rPr>
          <w:rFonts w:ascii="Calibri" w:hAnsi="Calibri" w:cs="Calibri"/>
        </w:rPr>
      </w:pPr>
      <w:r>
        <w:rPr>
          <w:rFonts w:ascii="Calibri" w:hAnsi="Calibri" w:cs="Calibri"/>
        </w:rPr>
        <w:t xml:space="preserve">- </w:t>
      </w:r>
      <w:r w:rsidRPr="003B4A96">
        <w:rPr>
          <w:rFonts w:ascii="Calibri" w:hAnsi="Calibri" w:cs="Calibri"/>
        </w:rPr>
        <w:t>Raw</w:t>
      </w:r>
      <w:r>
        <w:rPr>
          <w:rFonts w:ascii="Calibri" w:hAnsi="Calibri" w:cs="Calibri"/>
        </w:rPr>
        <w:t xml:space="preserve"> data</w:t>
      </w:r>
      <w:r w:rsidRPr="003B4A96">
        <w:rPr>
          <w:rFonts w:ascii="Calibri" w:hAnsi="Calibri" w:cs="Calibri"/>
        </w:rPr>
        <w:t>: 16384 (</w:t>
      </w:r>
      <w:r>
        <w:rPr>
          <w:rFonts w:ascii="Calibri" w:hAnsi="Calibri" w:cs="Calibri"/>
        </w:rPr>
        <w:t xml:space="preserve">pixels </w:t>
      </w:r>
      <w:r w:rsidRPr="003B4A96">
        <w:rPr>
          <w:rFonts w:ascii="Calibri" w:hAnsi="Calibri" w:cs="Calibri"/>
        </w:rPr>
        <w:t xml:space="preserve">width) </w:t>
      </w:r>
      <w:r>
        <w:rPr>
          <w:rFonts w:cs="Arial"/>
        </w:rPr>
        <w:sym w:font="Symbol" w:char="F0B4"/>
      </w:r>
      <w:r w:rsidRPr="003B4A96">
        <w:rPr>
          <w:rFonts w:ascii="Calibri" w:hAnsi="Calibri" w:cs="Calibri"/>
        </w:rPr>
        <w:t xml:space="preserve"> 16384 (</w:t>
      </w:r>
      <w:r>
        <w:rPr>
          <w:rFonts w:ascii="Calibri" w:hAnsi="Calibri" w:cs="Calibri"/>
        </w:rPr>
        <w:t xml:space="preserve">pixels </w:t>
      </w:r>
      <w:r w:rsidRPr="003B4A96">
        <w:rPr>
          <w:rFonts w:ascii="Calibri" w:hAnsi="Calibri" w:cs="Calibri"/>
        </w:rPr>
        <w:t xml:space="preserve">height) </w:t>
      </w:r>
      <w:r>
        <w:rPr>
          <w:rFonts w:cs="Arial"/>
        </w:rPr>
        <w:sym w:font="Symbol" w:char="F0B4"/>
      </w:r>
      <w:r w:rsidRPr="003B4A96">
        <w:rPr>
          <w:rFonts w:ascii="Calibri" w:hAnsi="Calibri" w:cs="Calibri"/>
        </w:rPr>
        <w:t xml:space="preserve">  </w:t>
      </w:r>
      <w:r>
        <w:rPr>
          <w:rFonts w:ascii="Calibri" w:hAnsi="Calibri" w:cs="Calibri"/>
        </w:rPr>
        <w:t>12</w:t>
      </w:r>
      <w:r w:rsidRPr="003B4A96">
        <w:rPr>
          <w:rFonts w:ascii="Calibri" w:hAnsi="Calibri" w:cs="Calibri"/>
        </w:rPr>
        <w:t xml:space="preserve"> (</w:t>
      </w:r>
      <w:r>
        <w:rPr>
          <w:rFonts w:ascii="Calibri" w:hAnsi="Calibri" w:cs="Calibri"/>
        </w:rPr>
        <w:t xml:space="preserve">bits/pixel, assuming </w:t>
      </w:r>
      <w:r w:rsidRPr="003B4A96">
        <w:rPr>
          <w:rFonts w:ascii="Calibri" w:hAnsi="Calibri" w:cs="Calibri"/>
        </w:rPr>
        <w:t>YUV420</w:t>
      </w:r>
      <w:r>
        <w:rPr>
          <w:rFonts w:ascii="Calibri" w:hAnsi="Calibri" w:cs="Calibri"/>
        </w:rPr>
        <w:t xml:space="preserve"> for RGB</w:t>
      </w:r>
      <w:r w:rsidRPr="003B4A96">
        <w:rPr>
          <w:rFonts w:ascii="Calibri" w:hAnsi="Calibri" w:cs="Calibri"/>
        </w:rPr>
        <w:t xml:space="preserve">) </w:t>
      </w:r>
      <w:r>
        <w:rPr>
          <w:rFonts w:cs="Arial"/>
        </w:rPr>
        <w:sym w:font="Symbol" w:char="F0B4"/>
      </w:r>
      <w:r w:rsidRPr="003B4A96">
        <w:rPr>
          <w:rFonts w:ascii="Calibri" w:hAnsi="Calibri" w:cs="Calibri"/>
        </w:rPr>
        <w:t xml:space="preserve"> 60 (f</w:t>
      </w:r>
      <w:r>
        <w:rPr>
          <w:rFonts w:ascii="Calibri" w:hAnsi="Calibri" w:cs="Calibri"/>
        </w:rPr>
        <w:t>rames/</w:t>
      </w:r>
      <w:r w:rsidRPr="003B4A96">
        <w:rPr>
          <w:rFonts w:ascii="Calibri" w:hAnsi="Calibri" w:cs="Calibri"/>
        </w:rPr>
        <w:t>s) /1024 /1024 /1024  = 180 Gb</w:t>
      </w:r>
      <w:r>
        <w:rPr>
          <w:rFonts w:ascii="Calibri" w:hAnsi="Calibri" w:cs="Calibri"/>
        </w:rPr>
        <w:t>it/</w:t>
      </w:r>
      <w:r w:rsidRPr="003B4A96">
        <w:rPr>
          <w:rFonts w:ascii="Calibri" w:hAnsi="Calibri" w:cs="Calibri"/>
        </w:rPr>
        <w:t>s</w:t>
      </w:r>
      <w:r>
        <w:rPr>
          <w:rFonts w:ascii="Calibri" w:hAnsi="Calibri" w:cs="Calibri"/>
        </w:rPr>
        <w:t xml:space="preserve"> (scaling from bit/s </w:t>
      </w:r>
      <w:r w:rsidRPr="00BB0695">
        <w:rPr>
          <w:rFonts w:ascii="Calibri" w:hAnsi="Calibri" w:cs="Calibri"/>
        </w:rPr>
        <w:t>to Gbit/s)</w:t>
      </w:r>
    </w:p>
    <w:p w14:paraId="1D5A8075" w14:textId="77777777" w:rsidR="001855D0" w:rsidRDefault="001855D0" w:rsidP="001855D0">
      <w:pPr>
        <w:pStyle w:val="FootnoteText"/>
        <w:ind w:firstLine="200"/>
        <w:rPr>
          <w:rFonts w:ascii="Calibri" w:hAnsi="Calibri" w:cs="Calibri"/>
        </w:rPr>
      </w:pPr>
      <w:r w:rsidRPr="00AC0651">
        <w:rPr>
          <w:rFonts w:ascii="Calibri" w:hAnsi="Calibri" w:cs="Calibri"/>
        </w:rPr>
        <w:t>- VVC</w:t>
      </w:r>
      <w:r>
        <w:rPr>
          <w:rFonts w:ascii="Calibri" w:hAnsi="Calibri" w:cs="Calibri"/>
        </w:rPr>
        <w:t xml:space="preserve"> (H.266)</w:t>
      </w:r>
      <w:r w:rsidRPr="00AC0651">
        <w:rPr>
          <w:rFonts w:ascii="Calibri" w:hAnsi="Calibri" w:cs="Calibri"/>
        </w:rPr>
        <w:t xml:space="preserve">: </w:t>
      </w:r>
      <w:r>
        <w:rPr>
          <w:rFonts w:ascii="Calibri" w:hAnsi="Calibri" w:cs="Calibri"/>
        </w:rPr>
        <w:t>Raw data</w:t>
      </w:r>
      <w:r w:rsidRPr="00AC0651">
        <w:rPr>
          <w:rFonts w:ascii="Calibri" w:hAnsi="Calibri" w:cs="Calibri"/>
        </w:rPr>
        <w:t xml:space="preserve"> / </w:t>
      </w:r>
      <w:r>
        <w:rPr>
          <w:rFonts w:ascii="Calibri" w:hAnsi="Calibri" w:cs="Calibri"/>
        </w:rPr>
        <w:t>8</w:t>
      </w:r>
      <w:r w:rsidRPr="00AC0651">
        <w:rPr>
          <w:rFonts w:ascii="Calibri" w:hAnsi="Calibri" w:cs="Calibri"/>
        </w:rPr>
        <w:t>00 = 0.</w:t>
      </w:r>
      <w:r>
        <w:rPr>
          <w:rFonts w:ascii="Calibri" w:hAnsi="Calibri" w:cs="Calibri"/>
        </w:rPr>
        <w:t>225</w:t>
      </w:r>
      <w:r w:rsidRPr="00AC0651">
        <w:rPr>
          <w:rFonts w:ascii="Calibri" w:hAnsi="Calibri" w:cs="Calibri"/>
        </w:rPr>
        <w:t xml:space="preserve"> G</w:t>
      </w:r>
      <w:r>
        <w:rPr>
          <w:rFonts w:ascii="Calibri" w:hAnsi="Calibri" w:cs="Calibri"/>
        </w:rPr>
        <w:t>bit/</w:t>
      </w:r>
      <w:r w:rsidRPr="00AC0651">
        <w:rPr>
          <w:rFonts w:ascii="Calibri" w:hAnsi="Calibri" w:cs="Calibri"/>
        </w:rPr>
        <w:t>s</w:t>
      </w:r>
    </w:p>
    <w:p w14:paraId="33FEBD54" w14:textId="77777777" w:rsidR="001855D0" w:rsidRPr="005F439F" w:rsidRDefault="001855D0" w:rsidP="001855D0">
      <w:pPr>
        <w:pStyle w:val="FootnoteText"/>
        <w:ind w:firstLine="200"/>
      </w:pPr>
      <w:r>
        <w:rPr>
          <w:rFonts w:ascii="Calibri" w:hAnsi="Calibri" w:cs="Calibri"/>
        </w:rPr>
        <w:t xml:space="preserve">- </w:t>
      </w:r>
      <w:r w:rsidRPr="00AC0651">
        <w:rPr>
          <w:rFonts w:ascii="Calibri" w:hAnsi="Calibri" w:cs="Calibri"/>
        </w:rPr>
        <w:t>For stereo</w:t>
      </w:r>
      <w:r>
        <w:rPr>
          <w:rFonts w:ascii="Calibri" w:hAnsi="Calibri" w:cs="Calibri"/>
        </w:rPr>
        <w:t xml:space="preserve"> (two eyes): 0.225 Gbit/s</w:t>
      </w:r>
      <w:r>
        <w:rPr>
          <w:rFonts w:cs="Arial"/>
        </w:rPr>
        <w:sym w:font="Symbol" w:char="F0B4"/>
      </w:r>
      <w:r>
        <w:rPr>
          <w:rFonts w:ascii="Calibri" w:hAnsi="Calibri" w:cs="Calibri"/>
        </w:rPr>
        <w:t>2=0.45 Gbit/s (compressed by VVC)</w:t>
      </w:r>
    </w:p>
    <w:p w14:paraId="4EB21B87" w14:textId="77777777" w:rsidR="001855D0" w:rsidRPr="008E5635" w:rsidRDefault="001855D0" w:rsidP="001855D0">
      <w:pPr>
        <w:pStyle w:val="FootnoteText"/>
        <w:ind w:firstLine="200"/>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9CE5" w14:textId="77777777" w:rsidR="00B54758" w:rsidRDefault="00B54758" w:rsidP="008E3821">
    <w:pPr>
      <w:pStyle w:val="Header"/>
      <w:tabs>
        <w:tab w:val="clear" w:pos="4320"/>
        <w:tab w:val="clear" w:pos="8640"/>
      </w:tabs>
      <w:rPr>
        <w:lang w:eastAsia="ko-KR"/>
      </w:rPr>
    </w:pPr>
  </w:p>
  <w:p w14:paraId="39FEE185" w14:textId="77777777" w:rsidR="00B54758" w:rsidRDefault="00B54758" w:rsidP="008E3821">
    <w:pPr>
      <w:pStyle w:val="Header"/>
      <w:tabs>
        <w:tab w:val="clear" w:pos="4320"/>
        <w:tab w:val="clear" w:pos="864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BC1"/>
    <w:multiLevelType w:val="hybridMultilevel"/>
    <w:tmpl w:val="13E4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76BD1"/>
    <w:multiLevelType w:val="multilevel"/>
    <w:tmpl w:val="1EE83028"/>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04342C"/>
    <w:multiLevelType w:val="hybridMultilevel"/>
    <w:tmpl w:val="7C7C30C4"/>
    <w:lvl w:ilvl="0" w:tplc="C8B2E85C">
      <w:start w:val="1"/>
      <w:numFmt w:val="bullet"/>
      <w:pStyle w:val="ECCEditorsNote"/>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0F683FBD"/>
    <w:multiLevelType w:val="hybridMultilevel"/>
    <w:tmpl w:val="D926FE02"/>
    <w:lvl w:ilvl="0" w:tplc="C8B2E85C">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C631CC"/>
    <w:multiLevelType w:val="hybridMultilevel"/>
    <w:tmpl w:val="178EE0B8"/>
    <w:lvl w:ilvl="0" w:tplc="55088718">
      <w:start w:val="1"/>
      <w:numFmt w:val="bullet"/>
      <w:lvlText w:val="–"/>
      <w:lvlJc w:val="left"/>
      <w:pPr>
        <w:ind w:left="1040" w:hanging="400"/>
      </w:pPr>
      <w:rPr>
        <w:rFonts w:ascii="BatangChe" w:eastAsia="BatangChe" w:hAnsi="BatangChe"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17199A"/>
    <w:multiLevelType w:val="hybridMultilevel"/>
    <w:tmpl w:val="78B8B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42327F"/>
    <w:multiLevelType w:val="hybridMultilevel"/>
    <w:tmpl w:val="5C34D028"/>
    <w:lvl w:ilvl="0" w:tplc="F0104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0" w15:restartNumberingAfterBreak="0">
    <w:nsid w:val="23C037CB"/>
    <w:multiLevelType w:val="multilevel"/>
    <w:tmpl w:val="C0622256"/>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9100AE5"/>
    <w:multiLevelType w:val="hybridMultilevel"/>
    <w:tmpl w:val="0964BC38"/>
    <w:lvl w:ilvl="0" w:tplc="2D0A661E">
      <w:start w:val="1"/>
      <w:numFmt w:val="bullet"/>
      <w:lvlText w:val="-"/>
      <w:lvlJc w:val="left"/>
      <w:pPr>
        <w:ind w:left="720" w:hanging="360"/>
      </w:pPr>
      <w:rPr>
        <w:rFonts w:ascii="Times New Roman" w:eastAsia="BatangChe" w:hAnsi="Times New Roman" w:cs="Times New Roman"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4" w15:restartNumberingAfterBreak="0">
    <w:nsid w:val="34682ABA"/>
    <w:multiLevelType w:val="hybridMultilevel"/>
    <w:tmpl w:val="5EBCD294"/>
    <w:lvl w:ilvl="0" w:tplc="1D70BA1C">
      <w:start w:val="1"/>
      <w:numFmt w:val="bullet"/>
      <w:lvlText w:val="-"/>
      <w:lvlJc w:val="left"/>
      <w:pPr>
        <w:ind w:left="1080" w:hanging="360"/>
      </w:pPr>
      <w:rPr>
        <w:rFonts w:ascii="Times New Roman" w:eastAsia="BatangCh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7D6A7A"/>
    <w:multiLevelType w:val="hybridMultilevel"/>
    <w:tmpl w:val="65A83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3A5D38B9"/>
    <w:multiLevelType w:val="hybridMultilevel"/>
    <w:tmpl w:val="93129F6C"/>
    <w:lvl w:ilvl="0" w:tplc="2AD81D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BF2B1A"/>
    <w:multiLevelType w:val="hybridMultilevel"/>
    <w:tmpl w:val="5C34D028"/>
    <w:lvl w:ilvl="0" w:tplc="F0104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1" w15:restartNumberingAfterBreak="0">
    <w:nsid w:val="776A69F8"/>
    <w:multiLevelType w:val="hybridMultilevel"/>
    <w:tmpl w:val="7F1CC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2C3B6C"/>
    <w:multiLevelType w:val="singleLevel"/>
    <w:tmpl w:val="A01AB2EA"/>
    <w:lvl w:ilvl="0">
      <w:start w:val="1"/>
      <w:numFmt w:val="decimal"/>
      <w:lvlText w:val="%1.  "/>
      <w:legacy w:legacy="1" w:legacySpace="0" w:legacyIndent="283"/>
      <w:lvlJc w:val="left"/>
      <w:pPr>
        <w:ind w:left="283" w:hanging="283"/>
      </w:pPr>
    </w:lvl>
  </w:abstractNum>
  <w:num w:numId="1" w16cid:durableId="486092584">
    <w:abstractNumId w:val="16"/>
  </w:num>
  <w:num w:numId="2" w16cid:durableId="2015574324">
    <w:abstractNumId w:val="11"/>
  </w:num>
  <w:num w:numId="3" w16cid:durableId="427772557">
    <w:abstractNumId w:val="9"/>
  </w:num>
  <w:num w:numId="4" w16cid:durableId="747383676">
    <w:abstractNumId w:val="20"/>
  </w:num>
  <w:num w:numId="5" w16cid:durableId="1928228475">
    <w:abstractNumId w:val="13"/>
  </w:num>
  <w:num w:numId="6" w16cid:durableId="230389185">
    <w:abstractNumId w:val="17"/>
  </w:num>
  <w:num w:numId="7" w16cid:durableId="1847593210">
    <w:abstractNumId w:val="8"/>
  </w:num>
  <w:num w:numId="8" w16cid:durableId="727454476">
    <w:abstractNumId w:val="3"/>
  </w:num>
  <w:num w:numId="9" w16cid:durableId="6835689">
    <w:abstractNumId w:val="22"/>
  </w:num>
  <w:num w:numId="10" w16cid:durableId="184052378">
    <w:abstractNumId w:val="0"/>
  </w:num>
  <w:num w:numId="11" w16cid:durableId="126363053">
    <w:abstractNumId w:val="21"/>
  </w:num>
  <w:num w:numId="12" w16cid:durableId="473377239">
    <w:abstractNumId w:val="14"/>
  </w:num>
  <w:num w:numId="13" w16cid:durableId="1269775519">
    <w:abstractNumId w:val="18"/>
  </w:num>
  <w:num w:numId="14" w16cid:durableId="891238151">
    <w:abstractNumId w:val="12"/>
  </w:num>
  <w:num w:numId="15" w16cid:durableId="1072578334">
    <w:abstractNumId w:val="6"/>
  </w:num>
  <w:num w:numId="16" w16cid:durableId="1611931598">
    <w:abstractNumId w:val="5"/>
  </w:num>
  <w:num w:numId="17" w16cid:durableId="1375036388">
    <w:abstractNumId w:val="7"/>
  </w:num>
  <w:num w:numId="18" w16cid:durableId="19166761">
    <w:abstractNumId w:val="15"/>
  </w:num>
  <w:num w:numId="19" w16cid:durableId="1213349318">
    <w:abstractNumId w:val="19"/>
  </w:num>
  <w:num w:numId="20" w16cid:durableId="1992099783">
    <w:abstractNumId w:val="1"/>
  </w:num>
  <w:num w:numId="21" w16cid:durableId="1217738263">
    <w:abstractNumId w:val="4"/>
  </w:num>
  <w:num w:numId="22" w16cid:durableId="398940011">
    <w:abstractNumId w:val="2"/>
  </w:num>
  <w:num w:numId="23" w16cid:durableId="17366606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A7"/>
    <w:rsid w:val="00000B9E"/>
    <w:rsid w:val="0003595B"/>
    <w:rsid w:val="00036385"/>
    <w:rsid w:val="00051E1E"/>
    <w:rsid w:val="00053693"/>
    <w:rsid w:val="00054C56"/>
    <w:rsid w:val="00063DF8"/>
    <w:rsid w:val="000713CF"/>
    <w:rsid w:val="00075C14"/>
    <w:rsid w:val="00094B87"/>
    <w:rsid w:val="000964D0"/>
    <w:rsid w:val="000A1F8C"/>
    <w:rsid w:val="000A5418"/>
    <w:rsid w:val="000A754D"/>
    <w:rsid w:val="000B1E8C"/>
    <w:rsid w:val="000B595C"/>
    <w:rsid w:val="000D7C75"/>
    <w:rsid w:val="000F517C"/>
    <w:rsid w:val="000F5540"/>
    <w:rsid w:val="00106B56"/>
    <w:rsid w:val="00116294"/>
    <w:rsid w:val="00122653"/>
    <w:rsid w:val="00125217"/>
    <w:rsid w:val="001257A4"/>
    <w:rsid w:val="00130A94"/>
    <w:rsid w:val="00131FCA"/>
    <w:rsid w:val="00133947"/>
    <w:rsid w:val="00134CC7"/>
    <w:rsid w:val="00135C32"/>
    <w:rsid w:val="001433F1"/>
    <w:rsid w:val="001539DD"/>
    <w:rsid w:val="00164353"/>
    <w:rsid w:val="00175BD2"/>
    <w:rsid w:val="0018114D"/>
    <w:rsid w:val="001832C2"/>
    <w:rsid w:val="001855D0"/>
    <w:rsid w:val="001923E8"/>
    <w:rsid w:val="00196568"/>
    <w:rsid w:val="00197B92"/>
    <w:rsid w:val="001A2F16"/>
    <w:rsid w:val="001A34FF"/>
    <w:rsid w:val="001B18C2"/>
    <w:rsid w:val="001D5D7E"/>
    <w:rsid w:val="001E1432"/>
    <w:rsid w:val="001E3FA7"/>
    <w:rsid w:val="001F5947"/>
    <w:rsid w:val="0021588B"/>
    <w:rsid w:val="002216AC"/>
    <w:rsid w:val="002219FD"/>
    <w:rsid w:val="0023010A"/>
    <w:rsid w:val="00230738"/>
    <w:rsid w:val="00234735"/>
    <w:rsid w:val="00241BCF"/>
    <w:rsid w:val="00254A1B"/>
    <w:rsid w:val="0026736F"/>
    <w:rsid w:val="00271675"/>
    <w:rsid w:val="00275ED2"/>
    <w:rsid w:val="0028454D"/>
    <w:rsid w:val="00286912"/>
    <w:rsid w:val="00287A2A"/>
    <w:rsid w:val="00291C9E"/>
    <w:rsid w:val="002926D4"/>
    <w:rsid w:val="002C07DA"/>
    <w:rsid w:val="002C7EA9"/>
    <w:rsid w:val="002E05B6"/>
    <w:rsid w:val="002F2F9A"/>
    <w:rsid w:val="0030015C"/>
    <w:rsid w:val="003076A7"/>
    <w:rsid w:val="003131A3"/>
    <w:rsid w:val="00336A0D"/>
    <w:rsid w:val="00342F20"/>
    <w:rsid w:val="00343067"/>
    <w:rsid w:val="00343FEC"/>
    <w:rsid w:val="00350EC2"/>
    <w:rsid w:val="003540E0"/>
    <w:rsid w:val="003548C2"/>
    <w:rsid w:val="0037421D"/>
    <w:rsid w:val="003809C7"/>
    <w:rsid w:val="003829E0"/>
    <w:rsid w:val="003B03B2"/>
    <w:rsid w:val="003B6263"/>
    <w:rsid w:val="003B6428"/>
    <w:rsid w:val="003C64A7"/>
    <w:rsid w:val="003D25E1"/>
    <w:rsid w:val="003D3FDA"/>
    <w:rsid w:val="003E0326"/>
    <w:rsid w:val="003F6D48"/>
    <w:rsid w:val="00403CE4"/>
    <w:rsid w:val="00420822"/>
    <w:rsid w:val="0042126E"/>
    <w:rsid w:val="004323BB"/>
    <w:rsid w:val="00433925"/>
    <w:rsid w:val="004404C0"/>
    <w:rsid w:val="00440BEE"/>
    <w:rsid w:val="00444170"/>
    <w:rsid w:val="0045458F"/>
    <w:rsid w:val="00455FD4"/>
    <w:rsid w:val="004633B4"/>
    <w:rsid w:val="00464C0D"/>
    <w:rsid w:val="00483317"/>
    <w:rsid w:val="004854EE"/>
    <w:rsid w:val="004A4DE4"/>
    <w:rsid w:val="004B1CC4"/>
    <w:rsid w:val="004B3553"/>
    <w:rsid w:val="004F733C"/>
    <w:rsid w:val="00510114"/>
    <w:rsid w:val="00515050"/>
    <w:rsid w:val="0051686D"/>
    <w:rsid w:val="005201CA"/>
    <w:rsid w:val="005205B0"/>
    <w:rsid w:val="00521BF0"/>
    <w:rsid w:val="00530E8C"/>
    <w:rsid w:val="005405B5"/>
    <w:rsid w:val="005442A4"/>
    <w:rsid w:val="00545933"/>
    <w:rsid w:val="0054610B"/>
    <w:rsid w:val="005549C9"/>
    <w:rsid w:val="00557544"/>
    <w:rsid w:val="005606F6"/>
    <w:rsid w:val="005614DC"/>
    <w:rsid w:val="00575CDC"/>
    <w:rsid w:val="0057702E"/>
    <w:rsid w:val="00577C0A"/>
    <w:rsid w:val="00587875"/>
    <w:rsid w:val="005B1E77"/>
    <w:rsid w:val="005B244E"/>
    <w:rsid w:val="005C5EB6"/>
    <w:rsid w:val="005D3914"/>
    <w:rsid w:val="005D6B2F"/>
    <w:rsid w:val="005E3896"/>
    <w:rsid w:val="00607E2B"/>
    <w:rsid w:val="006139D6"/>
    <w:rsid w:val="00623CE1"/>
    <w:rsid w:val="0063062B"/>
    <w:rsid w:val="00636BAD"/>
    <w:rsid w:val="0066388B"/>
    <w:rsid w:val="00667229"/>
    <w:rsid w:val="00675C31"/>
    <w:rsid w:val="006769C2"/>
    <w:rsid w:val="006771E9"/>
    <w:rsid w:val="00682BE5"/>
    <w:rsid w:val="006843DA"/>
    <w:rsid w:val="00690FED"/>
    <w:rsid w:val="006939A5"/>
    <w:rsid w:val="006A0D76"/>
    <w:rsid w:val="006A15A4"/>
    <w:rsid w:val="006B6778"/>
    <w:rsid w:val="006C2D39"/>
    <w:rsid w:val="006E12FC"/>
    <w:rsid w:val="006F214C"/>
    <w:rsid w:val="006F375E"/>
    <w:rsid w:val="00705E61"/>
    <w:rsid w:val="00712451"/>
    <w:rsid w:val="00712814"/>
    <w:rsid w:val="00720877"/>
    <w:rsid w:val="00731041"/>
    <w:rsid w:val="00732F08"/>
    <w:rsid w:val="007350E2"/>
    <w:rsid w:val="0074190C"/>
    <w:rsid w:val="00762576"/>
    <w:rsid w:val="00791060"/>
    <w:rsid w:val="007A1BDE"/>
    <w:rsid w:val="007A3E29"/>
    <w:rsid w:val="007B3299"/>
    <w:rsid w:val="007B3D18"/>
    <w:rsid w:val="007B5626"/>
    <w:rsid w:val="007B5E37"/>
    <w:rsid w:val="007D29E5"/>
    <w:rsid w:val="007E1FDD"/>
    <w:rsid w:val="007E7497"/>
    <w:rsid w:val="007F08FF"/>
    <w:rsid w:val="007F1651"/>
    <w:rsid w:val="00803C99"/>
    <w:rsid w:val="0080570B"/>
    <w:rsid w:val="008148E1"/>
    <w:rsid w:val="00816F4E"/>
    <w:rsid w:val="00831716"/>
    <w:rsid w:val="008319BF"/>
    <w:rsid w:val="008337EA"/>
    <w:rsid w:val="00850E1C"/>
    <w:rsid w:val="008624ED"/>
    <w:rsid w:val="00870944"/>
    <w:rsid w:val="008950FB"/>
    <w:rsid w:val="00897849"/>
    <w:rsid w:val="008A423E"/>
    <w:rsid w:val="008A73CD"/>
    <w:rsid w:val="008C3C9B"/>
    <w:rsid w:val="008D084B"/>
    <w:rsid w:val="008D0E09"/>
    <w:rsid w:val="008E3821"/>
    <w:rsid w:val="008F2153"/>
    <w:rsid w:val="008F301D"/>
    <w:rsid w:val="00953737"/>
    <w:rsid w:val="00972289"/>
    <w:rsid w:val="00974B9E"/>
    <w:rsid w:val="0097693B"/>
    <w:rsid w:val="00993355"/>
    <w:rsid w:val="009A46BF"/>
    <w:rsid w:val="009A4A6D"/>
    <w:rsid w:val="009B74AC"/>
    <w:rsid w:val="009C0B35"/>
    <w:rsid w:val="009C361C"/>
    <w:rsid w:val="00A0503B"/>
    <w:rsid w:val="00A13265"/>
    <w:rsid w:val="00A20980"/>
    <w:rsid w:val="00A31185"/>
    <w:rsid w:val="00A455E3"/>
    <w:rsid w:val="00A456E8"/>
    <w:rsid w:val="00A61885"/>
    <w:rsid w:val="00A71136"/>
    <w:rsid w:val="00A7185C"/>
    <w:rsid w:val="00AA2D8E"/>
    <w:rsid w:val="00AA474C"/>
    <w:rsid w:val="00AB0EAD"/>
    <w:rsid w:val="00AB2572"/>
    <w:rsid w:val="00AC19BB"/>
    <w:rsid w:val="00AD7E5F"/>
    <w:rsid w:val="00AE387B"/>
    <w:rsid w:val="00AF6E67"/>
    <w:rsid w:val="00B01AA1"/>
    <w:rsid w:val="00B24089"/>
    <w:rsid w:val="00B30C81"/>
    <w:rsid w:val="00B34275"/>
    <w:rsid w:val="00B3474C"/>
    <w:rsid w:val="00B4793B"/>
    <w:rsid w:val="00B54758"/>
    <w:rsid w:val="00B66740"/>
    <w:rsid w:val="00B80CC6"/>
    <w:rsid w:val="00B97AC9"/>
    <w:rsid w:val="00BB7E96"/>
    <w:rsid w:val="00BC7506"/>
    <w:rsid w:val="00C0069E"/>
    <w:rsid w:val="00C15633"/>
    <w:rsid w:val="00C15799"/>
    <w:rsid w:val="00C20F4D"/>
    <w:rsid w:val="00C256E8"/>
    <w:rsid w:val="00C26745"/>
    <w:rsid w:val="00C357AD"/>
    <w:rsid w:val="00C3644A"/>
    <w:rsid w:val="00C6069C"/>
    <w:rsid w:val="00C73F61"/>
    <w:rsid w:val="00C75805"/>
    <w:rsid w:val="00C85119"/>
    <w:rsid w:val="00CB5179"/>
    <w:rsid w:val="00CB6C10"/>
    <w:rsid w:val="00CC56C6"/>
    <w:rsid w:val="00CD3228"/>
    <w:rsid w:val="00CD5431"/>
    <w:rsid w:val="00CE6DD9"/>
    <w:rsid w:val="00CF2491"/>
    <w:rsid w:val="00CF2CBA"/>
    <w:rsid w:val="00CF3030"/>
    <w:rsid w:val="00CF5DDC"/>
    <w:rsid w:val="00D1252E"/>
    <w:rsid w:val="00D12CE1"/>
    <w:rsid w:val="00D2444D"/>
    <w:rsid w:val="00D31452"/>
    <w:rsid w:val="00D500B1"/>
    <w:rsid w:val="00D5307B"/>
    <w:rsid w:val="00D57772"/>
    <w:rsid w:val="00D651AB"/>
    <w:rsid w:val="00D72AE3"/>
    <w:rsid w:val="00D75A4D"/>
    <w:rsid w:val="00D8478B"/>
    <w:rsid w:val="00D84CEE"/>
    <w:rsid w:val="00D86151"/>
    <w:rsid w:val="00D91215"/>
    <w:rsid w:val="00DA3CC4"/>
    <w:rsid w:val="00DA7595"/>
    <w:rsid w:val="00DB0A68"/>
    <w:rsid w:val="00DB13B0"/>
    <w:rsid w:val="00DB28C8"/>
    <w:rsid w:val="00DB4A1C"/>
    <w:rsid w:val="00DC43A3"/>
    <w:rsid w:val="00DD7C09"/>
    <w:rsid w:val="00DE54CF"/>
    <w:rsid w:val="00DF791C"/>
    <w:rsid w:val="00E0124F"/>
    <w:rsid w:val="00E02E0D"/>
    <w:rsid w:val="00E06286"/>
    <w:rsid w:val="00E17376"/>
    <w:rsid w:val="00E23D98"/>
    <w:rsid w:val="00E403B9"/>
    <w:rsid w:val="00E5341E"/>
    <w:rsid w:val="00E545D9"/>
    <w:rsid w:val="00E65FC2"/>
    <w:rsid w:val="00E674D3"/>
    <w:rsid w:val="00E70FD0"/>
    <w:rsid w:val="00E80263"/>
    <w:rsid w:val="00EA7027"/>
    <w:rsid w:val="00EA79BB"/>
    <w:rsid w:val="00EB2081"/>
    <w:rsid w:val="00EC249E"/>
    <w:rsid w:val="00EE3496"/>
    <w:rsid w:val="00EF2406"/>
    <w:rsid w:val="00EF7B87"/>
    <w:rsid w:val="00F00257"/>
    <w:rsid w:val="00F27A79"/>
    <w:rsid w:val="00F5332C"/>
    <w:rsid w:val="00F55E0A"/>
    <w:rsid w:val="00F626B7"/>
    <w:rsid w:val="00F650EB"/>
    <w:rsid w:val="00F84067"/>
    <w:rsid w:val="00F871F5"/>
    <w:rsid w:val="00FB7442"/>
    <w:rsid w:val="00FC156A"/>
    <w:rsid w:val="00FC7A38"/>
    <w:rsid w:val="00FE3DE5"/>
    <w:rsid w:val="00FF72BB"/>
    <w:rsid w:val="00FF796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CE843"/>
  <w15:docId w15:val="{2341AC8E-3C17-44BB-A479-3433602C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semiHidden/>
    <w:unhideWhenUsed/>
    <w:qFormat/>
    <w:rsid w:val="001855D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link w:val="ListParagraphChar"/>
    <w:uiPriority w:val="34"/>
    <w:qFormat/>
    <w:rsid w:val="001F5947"/>
    <w:pPr>
      <w:ind w:left="720"/>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rsid w:val="0054610B"/>
    <w:rPr>
      <w:rFonts w:ascii="Tahoma" w:hAnsi="Tahoma" w:cs="Tahoma"/>
      <w:sz w:val="16"/>
      <w:szCs w:val="16"/>
    </w:rPr>
  </w:style>
  <w:style w:type="character" w:customStyle="1" w:styleId="BalloonTextChar">
    <w:name w:val="Balloon Text Char"/>
    <w:basedOn w:val="DefaultParagraphFont"/>
    <w:link w:val="BalloonText"/>
    <w:rsid w:val="0054610B"/>
    <w:rPr>
      <w:rFonts w:ascii="Tahoma" w:eastAsia="BatangChe" w:hAnsi="Tahoma" w:cs="Tahoma"/>
      <w:sz w:val="16"/>
      <w:szCs w:val="16"/>
    </w:rPr>
  </w:style>
  <w:style w:type="character" w:customStyle="1" w:styleId="Heading8Char">
    <w:name w:val="Heading 8 Char"/>
    <w:basedOn w:val="DefaultParagraphFont"/>
    <w:link w:val="Heading8"/>
    <w:rsid w:val="003D25E1"/>
    <w:rPr>
      <w:rFonts w:eastAsia="BatangChe"/>
      <w:b/>
      <w:bCs/>
      <w:kern w:val="2"/>
      <w:lang w:eastAsia="ko-KR"/>
    </w:rPr>
  </w:style>
  <w:style w:type="character" w:styleId="Hyperlink">
    <w:name w:val="Hyperlink"/>
    <w:basedOn w:val="DefaultParagraphFont"/>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character" w:customStyle="1" w:styleId="ListParagraphChar">
    <w:name w:val="List Paragraph Char"/>
    <w:basedOn w:val="DefaultParagraphFont"/>
    <w:link w:val="ListParagraph"/>
    <w:uiPriority w:val="34"/>
    <w:locked/>
    <w:rsid w:val="00D31452"/>
    <w:rPr>
      <w:rFonts w:eastAsia="BatangChe"/>
      <w:sz w:val="24"/>
      <w:szCs w:val="24"/>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qFormat/>
    <w:rsid w:val="00EF2406"/>
    <w:rPr>
      <w:rFonts w:ascii="Arial" w:hAnsi="Arial" w:cs="Arial" w:hint="default"/>
      <w:noProof w:val="0"/>
      <w:sz w:val="20"/>
      <w:bdr w:val="none" w:sz="0" w:space="0" w:color="auto" w:frame="1"/>
      <w:lang w:val="en-GB"/>
    </w:rPr>
  </w:style>
  <w:style w:type="paragraph" w:customStyle="1" w:styleId="ECCTabletext">
    <w:name w:val="ECC Table text"/>
    <w:basedOn w:val="Normal"/>
    <w:qFormat/>
    <w:rsid w:val="005205B0"/>
    <w:pPr>
      <w:spacing w:before="60" w:after="60"/>
      <w:jc w:val="both"/>
    </w:pPr>
    <w:rPr>
      <w:rFonts w:ascii="Arial" w:eastAsia="Calibri" w:hAnsi="Arial"/>
      <w:sz w:val="20"/>
      <w:szCs w:val="22"/>
      <w:lang w:val="en-GB"/>
    </w:rPr>
  </w:style>
  <w:style w:type="character" w:customStyle="1" w:styleId="Heading2Char">
    <w:name w:val="Heading 2 Char"/>
    <w:basedOn w:val="DefaultParagraphFont"/>
    <w:link w:val="Heading2"/>
    <w:semiHidden/>
    <w:rsid w:val="001855D0"/>
    <w:rPr>
      <w:rFonts w:asciiTheme="majorHAnsi" w:eastAsiaTheme="majorEastAsia" w:hAnsiTheme="majorHAnsi" w:cstheme="majorBidi"/>
      <w:b/>
      <w:bCs/>
      <w:sz w:val="32"/>
      <w:szCs w:val="32"/>
    </w:rPr>
  </w:style>
  <w:style w:type="paragraph" w:customStyle="1" w:styleId="ECCEditorsNote">
    <w:name w:val="ECC Editor's Note"/>
    <w:next w:val="Normal"/>
    <w:rsid w:val="001855D0"/>
    <w:pPr>
      <w:numPr>
        <w:numId w:val="22"/>
      </w:numPr>
      <w:shd w:val="solid" w:color="FFFF00" w:fill="auto"/>
      <w:tabs>
        <w:tab w:val="num" w:pos="360"/>
      </w:tabs>
      <w:spacing w:before="120" w:after="60"/>
      <w:ind w:left="0" w:firstLine="0"/>
      <w:jc w:val="both"/>
    </w:pPr>
    <w:rPr>
      <w:rFonts w:ascii="Arial" w:eastAsia="Calibri" w:hAnsi="Arial"/>
      <w:szCs w:val="22"/>
      <w:lang w:val="da-DK" w:eastAsia="de-DE"/>
    </w:rPr>
  </w:style>
  <w:style w:type="paragraph" w:styleId="Caption">
    <w:name w:val="caption"/>
    <w:aliases w:val="ECC Caption"/>
    <w:next w:val="Normal"/>
    <w:qFormat/>
    <w:rsid w:val="00CB6C10"/>
    <w:pPr>
      <w:keepLines/>
      <w:tabs>
        <w:tab w:val="left" w:pos="0"/>
        <w:tab w:val="center" w:pos="4820"/>
        <w:tab w:val="right" w:pos="9639"/>
      </w:tabs>
      <w:spacing w:before="240" w:after="240"/>
      <w:contextualSpacing/>
      <w:jc w:val="center"/>
    </w:pPr>
    <w:rPr>
      <w:rFonts w:ascii="Arial" w:eastAsia="SimSun" w:hAnsi="Arial"/>
      <w:b/>
      <w:bCs/>
      <w:color w:val="D2232A"/>
      <w:lang w:val="da-DK"/>
    </w:rPr>
  </w:style>
  <w:style w:type="character" w:styleId="UnresolvedMention">
    <w:name w:val="Unresolved Mention"/>
    <w:basedOn w:val="DefaultParagraphFont"/>
    <w:uiPriority w:val="99"/>
    <w:semiHidden/>
    <w:unhideWhenUsed/>
    <w:rsid w:val="0057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sacom.com"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mailto:admin@gsaco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gsacom.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stuart.cooke@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APG\APG2023\APG23-5\Invitation\APG23-5%20Invitation\APG23-5%20Other%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DA71E-7AF6-4551-A745-643A29E9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APG23-5 Other Document Template</Template>
  <TotalTime>7</TotalTime>
  <Pages>12</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 Secretariat</dc:creator>
  <cp:keywords/>
  <dc:description/>
  <cp:lastModifiedBy>Tawhid Hussain</cp:lastModifiedBy>
  <cp:revision>5</cp:revision>
  <cp:lastPrinted>2004-07-28T02:14:00Z</cp:lastPrinted>
  <dcterms:created xsi:type="dcterms:W3CDTF">2023-02-13T13:18:00Z</dcterms:created>
  <dcterms:modified xsi:type="dcterms:W3CDTF">2023-02-13T17:02:00Z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(3)4scInYRLEA1mk7W+hfzEy0H2lBYUWhVNFVtD54iDV/HIKrakqf/t1yxWF6yAB5qgyr2HKrKD
Lo5HazYO3eNiAOy1QW3mcx38PXwDVwIVM4o3GV9iT18B5IYdLDVNWSlmogumRDuWXB3vH6sE
HCTheyxj9UmrsAPyR7nA1G9HxdzsMJf+O3PO/v0J/sshpZlihensV6BeUN1dmLPA2yAK7zBy
7TYOOuGWRBIVTQyR5k</vt:lpwstr>
  </property>
  <property fmtid="{D5CDD505-2E9C-101B-9397-08002B2CF9AE}" pid="3" name="_2015_ms_pID_7253431">
    <vt:lpwstr>6IACKfSbbPAq0zMJvt9btnkFigjhNsYTJGVSUYlWKzuxE4/8vbCQON
8ZzYAQZNXQ3z7L0yyq4PdJj7xPxJt/BWTKOG5vpAVqWM6I3bbaL7XkVVeM5qMTkJeyUOwZPP
eXthKUaxfVum7iqNoyUe0P0bKMlqsctKl2Hx0f9CG4pDjYdNRitw1xIlnq4X0cFz5xQvbtHq
VYZMbfXaaZolw8v+gIVXuMy99gfhLP0dZx7/</vt:lpwstr>
  </property>
  <property fmtid="{D5CDD505-2E9C-101B-9397-08002B2CF9AE}" pid="4" name="_2015_ms_pID_7253432">
    <vt:lpwstr>KA==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1676205252</vt:lpwstr>
  </property>
</Properties>
</file>