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58EC9925"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C232F1">
              <w:rPr>
                <w:rFonts w:eastAsia="BatangChe"/>
                <w:b/>
                <w:bCs/>
                <w:lang w:val="en-GB" w:eastAsia="en-US"/>
              </w:rPr>
              <w:t>OUT-20</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41C5ECC8" w:rsidR="006B4D42" w:rsidRPr="00A83DDE" w:rsidRDefault="00C232F1" w:rsidP="00DB0088">
            <w:pPr>
              <w:rPr>
                <w:rFonts w:eastAsia="BatangChe"/>
                <w:bCs/>
                <w:lang w:eastAsia="en-US"/>
              </w:rPr>
            </w:pPr>
            <w:r>
              <w:rPr>
                <w:rFonts w:eastAsia="BatangChe"/>
                <w:bCs/>
                <w:lang w:eastAsia="en-US"/>
              </w:rPr>
              <w:t>5</w:t>
            </w:r>
            <w:r w:rsidR="006B4D42"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031D929B" w:rsidR="00B017E8" w:rsidRDefault="002B628C" w:rsidP="00B017E8">
      <w:pPr>
        <w:jc w:val="center"/>
      </w:pPr>
      <w:r w:rsidRPr="00207B91">
        <w:t>APT Preparatory Group for ITU Plenipotentiary Conference 2022</w:t>
      </w:r>
    </w:p>
    <w:p w14:paraId="6DBEDED0" w14:textId="06BD0CD1" w:rsidR="007920C0" w:rsidRDefault="007920C0" w:rsidP="00B017E8">
      <w:pPr>
        <w:jc w:val="center"/>
        <w:rPr>
          <w:b/>
        </w:rPr>
      </w:pPr>
      <w:r>
        <w:rPr>
          <w:b/>
        </w:rPr>
        <w:t>PRELIMINARY APT COMMON PROPOSAL</w:t>
      </w:r>
    </w:p>
    <w:p w14:paraId="1DA15976" w14:textId="77777777" w:rsidR="007920C0" w:rsidRDefault="007920C0" w:rsidP="00B017E8">
      <w:pPr>
        <w:jc w:val="center"/>
        <w:rPr>
          <w:b/>
        </w:rPr>
      </w:pPr>
    </w:p>
    <w:p w14:paraId="44243956" w14:textId="43BD837A" w:rsidR="007920C0" w:rsidRDefault="007920C0" w:rsidP="00B017E8">
      <w:pPr>
        <w:jc w:val="center"/>
        <w:rPr>
          <w:b/>
        </w:rPr>
      </w:pPr>
      <w:r>
        <w:rPr>
          <w:b/>
        </w:rPr>
        <w:t xml:space="preserve">PROPOSED MODIFICATIONS TO RESOLUTION 170 </w:t>
      </w:r>
    </w:p>
    <w:p w14:paraId="5869B782" w14:textId="77777777" w:rsidR="007920C0" w:rsidRDefault="007920C0" w:rsidP="00B017E8">
      <w:pPr>
        <w:jc w:val="center"/>
        <w:rPr>
          <w:b/>
        </w:rPr>
      </w:pPr>
    </w:p>
    <w:p w14:paraId="5172CDD7" w14:textId="51F1CBCC" w:rsidR="00B017E8" w:rsidRPr="00B32C5A" w:rsidRDefault="00732C67" w:rsidP="00B017E8">
      <w:pPr>
        <w:jc w:val="center"/>
        <w:rPr>
          <w:b/>
        </w:rPr>
      </w:pPr>
      <w:r w:rsidRPr="00732C67">
        <w:rPr>
          <w:b/>
        </w:rPr>
        <w:t>Admission of Sector Members from developing countries to participate in the work of the ITU Radiocommunication Sector and the ITU Telecommunication Standardization Sector</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F2CBBCA" w14:textId="77777777" w:rsidR="00B04778" w:rsidRPr="003F14CA" w:rsidRDefault="00B04778" w:rsidP="00B04778"/>
          <w:p w14:paraId="022D1738" w14:textId="5CC80C43" w:rsidR="00B04778" w:rsidRPr="003F14CA" w:rsidRDefault="00732C67" w:rsidP="00EA5715">
            <w:r w:rsidRPr="00732C67">
              <w:t xml:space="preserve">The contribution proposes a few specific edits to the Plenipotentiary conference </w:t>
            </w:r>
            <w:r w:rsidR="00A72D9A">
              <w:t>R</w:t>
            </w:r>
            <w:r w:rsidRPr="00732C67">
              <w:t>esolution 170 to complement the efforts to enhance the membership of LDCs, LLDCs, SIDS and Countries in Special Need (CISN) in ITU sectors to further enable telecommunications / ICT development in the countries by way of incentivized financial contribution and focused engagement and to facilitate necessary support for the admitted members for their effective participation.</w:t>
            </w:r>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73A2FC98" w14:textId="77777777" w:rsidR="00420AA9" w:rsidRDefault="00420AA9" w:rsidP="003F14CA">
      <w:pPr>
        <w:rPr>
          <w:b/>
          <w:bCs/>
        </w:rPr>
      </w:pPr>
    </w:p>
    <w:p w14:paraId="0D4273C8" w14:textId="6DB7327D" w:rsidR="00732C67" w:rsidRPr="00732C67" w:rsidRDefault="00732C67" w:rsidP="00732C67">
      <w:pPr>
        <w:tabs>
          <w:tab w:val="num" w:pos="720"/>
        </w:tabs>
        <w:spacing w:after="160" w:line="259" w:lineRule="auto"/>
        <w:jc w:val="both"/>
        <w:rPr>
          <w:rFonts w:eastAsia="Calibri"/>
          <w:color w:val="000000"/>
          <w:lang w:eastAsia="en-US"/>
        </w:rPr>
      </w:pPr>
      <w:r w:rsidRPr="00732C67">
        <w:rPr>
          <w:rFonts w:eastAsia="Calibri"/>
          <w:color w:val="000000"/>
          <w:lang w:eastAsia="en-US"/>
        </w:rPr>
        <w:t xml:space="preserve">The APT membership has been striving to promote enhanced engagement from private sector and academia in ITU activities especially from LDCs, LLDCs, SIDS and Countries in Special Need (CISN) for telecommunications / ICT development. The Regional Initiative ASP1 (WTDC 2022) envisages to address the special needs of least developed countries, small island developing states, including </w:t>
      </w:r>
      <w:r w:rsidR="00B215E1" w:rsidRPr="00732C67">
        <w:rPr>
          <w:rFonts w:eastAsia="Calibri"/>
          <w:color w:val="000000"/>
          <w:lang w:eastAsia="en-US"/>
        </w:rPr>
        <w:t>Pacific Island</w:t>
      </w:r>
      <w:r w:rsidRPr="00732C67">
        <w:rPr>
          <w:rFonts w:eastAsia="Calibri"/>
          <w:color w:val="000000"/>
          <w:lang w:eastAsia="en-US"/>
        </w:rPr>
        <w:t xml:space="preserve"> countries, and landlocked developing countries.</w:t>
      </w:r>
    </w:p>
    <w:p w14:paraId="0984FE4D" w14:textId="66193A6B" w:rsidR="00732C67" w:rsidRPr="00732C67" w:rsidRDefault="00732C67" w:rsidP="00ED2D69">
      <w:pPr>
        <w:tabs>
          <w:tab w:val="num" w:pos="720"/>
        </w:tabs>
        <w:spacing w:after="160" w:line="259" w:lineRule="auto"/>
        <w:jc w:val="both"/>
        <w:rPr>
          <w:rFonts w:eastAsia="Calibri"/>
          <w:color w:val="000000"/>
          <w:lang w:eastAsia="en-US"/>
        </w:rPr>
      </w:pPr>
      <w:r w:rsidRPr="00520663">
        <w:rPr>
          <w:rFonts w:eastAsia="Calibri"/>
          <w:color w:val="000000"/>
          <w:lang w:eastAsia="en-US"/>
        </w:rPr>
        <w:t xml:space="preserve">United Nations has recognized least developed countries (LDCs) as a category of States since 1971 and it is over 50 years since its then requiring more focused efforts to bridge digital divide in Least Developed Countries and other categories of countries to proliferate telecommunication / ICTs. </w:t>
      </w:r>
    </w:p>
    <w:p w14:paraId="1E97A2E6" w14:textId="77777777" w:rsidR="00732C67" w:rsidRPr="00732C67" w:rsidRDefault="00732C67" w:rsidP="00732C67">
      <w:pPr>
        <w:spacing w:after="160" w:line="259" w:lineRule="auto"/>
        <w:jc w:val="both"/>
        <w:rPr>
          <w:rFonts w:eastAsia="Calibri"/>
          <w:lang w:eastAsia="en-US"/>
        </w:rPr>
      </w:pPr>
      <w:r w:rsidRPr="00732C67">
        <w:rPr>
          <w:rFonts w:eastAsia="Calibri"/>
          <w:lang w:eastAsia="en-US"/>
        </w:rPr>
        <w:t xml:space="preserve">To promote enhanced participation from the LDCs, LLDCs, SIDS and Countries in Special Need (CISN) for telecommunications / ICT development, the following measures, inter alia, are proposed to be taken up for the Plenipotentiary conference 2022. </w:t>
      </w:r>
    </w:p>
    <w:p w14:paraId="3A511FEE" w14:textId="77777777" w:rsidR="00732C67" w:rsidRPr="00732C67" w:rsidRDefault="00732C67" w:rsidP="00732C67">
      <w:pPr>
        <w:numPr>
          <w:ilvl w:val="0"/>
          <w:numId w:val="2"/>
        </w:numPr>
        <w:spacing w:after="160" w:line="259" w:lineRule="auto"/>
        <w:jc w:val="both"/>
        <w:rPr>
          <w:rFonts w:eastAsia="Calibri"/>
          <w:lang w:eastAsia="en-US"/>
        </w:rPr>
      </w:pPr>
      <w:r w:rsidRPr="00732C67">
        <w:rPr>
          <w:rFonts w:eastAsia="Calibri"/>
          <w:lang w:eastAsia="en-US"/>
        </w:rPr>
        <w:t xml:space="preserve">Apart from financial incentivization, a proactive support is necessary for the industry and academia from these countries for their sustainable and effective participation; </w:t>
      </w:r>
    </w:p>
    <w:p w14:paraId="5542C726" w14:textId="5776A493" w:rsidR="00732C67" w:rsidRPr="00732C67" w:rsidRDefault="00732C67" w:rsidP="00732C67">
      <w:pPr>
        <w:numPr>
          <w:ilvl w:val="0"/>
          <w:numId w:val="2"/>
        </w:numPr>
        <w:spacing w:after="160" w:line="259" w:lineRule="auto"/>
        <w:jc w:val="both"/>
        <w:rPr>
          <w:rFonts w:eastAsia="Calibri"/>
          <w:sz w:val="22"/>
          <w:szCs w:val="22"/>
          <w:lang w:eastAsia="en-US"/>
        </w:rPr>
      </w:pPr>
      <w:r w:rsidRPr="00732C67">
        <w:rPr>
          <w:rFonts w:eastAsia="Calibri"/>
          <w:lang w:eastAsia="en-US"/>
        </w:rPr>
        <w:t>Spreading ITU awareness and support through various communication channels and platforms of respective countries and ITU team as a facilitator</w:t>
      </w:r>
      <w:r w:rsidR="002B628C">
        <w:rPr>
          <w:rFonts w:eastAsia="Calibri"/>
          <w:sz w:val="22"/>
          <w:szCs w:val="22"/>
          <w:lang w:eastAsia="en-US"/>
        </w:rPr>
        <w:t>.</w:t>
      </w:r>
      <w:r w:rsidR="002B628C" w:rsidRPr="00732C67">
        <w:rPr>
          <w:rFonts w:eastAsia="Calibri"/>
          <w:sz w:val="22"/>
          <w:szCs w:val="22"/>
          <w:lang w:eastAsia="en-US"/>
        </w:rPr>
        <w:t xml:space="preserve">                </w:t>
      </w:r>
    </w:p>
    <w:p w14:paraId="4EC14423" w14:textId="060DA7C7" w:rsidR="00420AA9" w:rsidRDefault="00420AA9" w:rsidP="003F14CA">
      <w:pPr>
        <w:rPr>
          <w:b/>
          <w:bCs/>
        </w:rPr>
      </w:pPr>
    </w:p>
    <w:p w14:paraId="5FB046D8" w14:textId="77777777" w:rsidR="00B04778" w:rsidRPr="003F14CA" w:rsidRDefault="003F14CA" w:rsidP="003F14CA">
      <w:pPr>
        <w:rPr>
          <w:b/>
          <w:bCs/>
        </w:rPr>
      </w:pPr>
      <w:r>
        <w:rPr>
          <w:b/>
          <w:bCs/>
        </w:rPr>
        <w:t>PROPOSAL</w:t>
      </w:r>
    </w:p>
    <w:p w14:paraId="34250672" w14:textId="36762D03" w:rsidR="00B32C5A" w:rsidRDefault="00732C67" w:rsidP="00B32C5A">
      <w:r w:rsidRPr="00732C67">
        <w:rPr>
          <w:rFonts w:eastAsia="Calibri"/>
          <w:lang w:eastAsia="en-US"/>
        </w:rPr>
        <w:t>APT Member Administration</w:t>
      </w:r>
      <w:r>
        <w:rPr>
          <w:rFonts w:eastAsia="Calibri"/>
          <w:lang w:eastAsia="en-US"/>
        </w:rPr>
        <w:t>s</w:t>
      </w:r>
      <w:r w:rsidRPr="00732C67">
        <w:rPr>
          <w:rFonts w:eastAsia="Calibri"/>
          <w:lang w:eastAsia="en-US"/>
        </w:rPr>
        <w:t xml:space="preserve"> propose modifications to PP Resolution 170 as provided in the Annexure.</w:t>
      </w:r>
    </w:p>
    <w:p w14:paraId="53231B13" w14:textId="25656AE7" w:rsidR="00133302" w:rsidRPr="00420AA9" w:rsidRDefault="00420AA9" w:rsidP="00617508">
      <w:pPr>
        <w:rPr>
          <w:b/>
        </w:rPr>
      </w:pPr>
      <w:r w:rsidRPr="00420AA9">
        <w:rPr>
          <w:b/>
        </w:rPr>
        <w:lastRenderedPageBreak/>
        <w:t>PACP</w:t>
      </w:r>
      <w:r w:rsidR="002E7404">
        <w:rPr>
          <w:b/>
        </w:rPr>
        <w:t>-13</w:t>
      </w:r>
    </w:p>
    <w:p w14:paraId="04D291B4" w14:textId="77777777" w:rsidR="00420AA9" w:rsidRPr="00420AA9" w:rsidRDefault="00420AA9" w:rsidP="00617508">
      <w:pPr>
        <w:rPr>
          <w:b/>
        </w:rPr>
      </w:pPr>
      <w:r w:rsidRPr="00420AA9">
        <w:rPr>
          <w:b/>
        </w:rPr>
        <w:t>MOD</w:t>
      </w:r>
    </w:p>
    <w:p w14:paraId="1D2C6C27" w14:textId="6C17CB84" w:rsidR="00420AA9" w:rsidRDefault="00420AA9" w:rsidP="00420AA9">
      <w:pPr>
        <w:jc w:val="both"/>
        <w:rPr>
          <w:b/>
        </w:rPr>
      </w:pPr>
    </w:p>
    <w:p w14:paraId="52689012" w14:textId="64BDDD6B" w:rsidR="008E33A0" w:rsidRDefault="008E33A0" w:rsidP="008E33A0">
      <w:pPr>
        <w:autoSpaceDE w:val="0"/>
        <w:autoSpaceDN w:val="0"/>
        <w:adjustRightInd w:val="0"/>
        <w:jc w:val="center"/>
        <w:rPr>
          <w:rFonts w:asciiTheme="minorHAnsi" w:eastAsia="Calibri" w:hAnsiTheme="minorHAnsi" w:cstheme="minorHAnsi"/>
          <w:b/>
          <w:sz w:val="28"/>
          <w:szCs w:val="28"/>
          <w:lang w:eastAsia="en-US"/>
        </w:rPr>
      </w:pPr>
      <w:r w:rsidRPr="008E33A0">
        <w:rPr>
          <w:rFonts w:asciiTheme="minorHAnsi" w:eastAsia="Calibri" w:hAnsiTheme="minorHAnsi" w:cstheme="minorHAnsi"/>
          <w:b/>
          <w:sz w:val="28"/>
          <w:szCs w:val="28"/>
          <w:lang w:eastAsia="en-US"/>
        </w:rPr>
        <w:t xml:space="preserve">RESOLUTION 170 (REV. </w:t>
      </w:r>
      <w:del w:id="0" w:author="R.SHAKYA" w:date="2022-08-04T19:15:00Z">
        <w:r w:rsidRPr="008E33A0" w:rsidDel="007233B1">
          <w:rPr>
            <w:rFonts w:asciiTheme="minorHAnsi" w:eastAsia="Calibri" w:hAnsiTheme="minorHAnsi" w:cstheme="minorHAnsi"/>
            <w:b/>
            <w:sz w:val="28"/>
            <w:szCs w:val="28"/>
            <w:lang w:eastAsia="en-US"/>
          </w:rPr>
          <w:delText>BUSAN</w:delText>
        </w:r>
      </w:del>
      <w:ins w:id="1" w:author="R.SHAKYA" w:date="2022-08-04T19:15:00Z">
        <w:r w:rsidRPr="008E33A0">
          <w:rPr>
            <w:rFonts w:asciiTheme="minorHAnsi" w:eastAsia="Calibri" w:hAnsiTheme="minorHAnsi" w:cstheme="minorHAnsi"/>
            <w:b/>
            <w:sz w:val="28"/>
            <w:szCs w:val="28"/>
            <w:lang w:eastAsia="en-US"/>
          </w:rPr>
          <w:t>BUCHAREST</w:t>
        </w:r>
      </w:ins>
      <w:r w:rsidRPr="008E33A0">
        <w:rPr>
          <w:rFonts w:asciiTheme="minorHAnsi" w:eastAsia="Calibri" w:hAnsiTheme="minorHAnsi" w:cstheme="minorHAnsi"/>
          <w:b/>
          <w:sz w:val="28"/>
          <w:szCs w:val="28"/>
          <w:lang w:eastAsia="en-US"/>
        </w:rPr>
        <w:t>, 20</w:t>
      </w:r>
      <w:del w:id="2" w:author="R.SHAKYA" w:date="2022-08-04T19:15:00Z">
        <w:r w:rsidRPr="008E33A0" w:rsidDel="007233B1">
          <w:rPr>
            <w:rFonts w:asciiTheme="minorHAnsi" w:eastAsia="Calibri" w:hAnsiTheme="minorHAnsi" w:cstheme="minorHAnsi"/>
            <w:b/>
            <w:sz w:val="28"/>
            <w:szCs w:val="28"/>
            <w:lang w:eastAsia="en-US"/>
          </w:rPr>
          <w:delText>14</w:delText>
        </w:r>
      </w:del>
      <w:ins w:id="3" w:author="R.SHAKYA" w:date="2022-08-04T19:15:00Z">
        <w:r w:rsidRPr="008E33A0">
          <w:rPr>
            <w:rFonts w:asciiTheme="minorHAnsi" w:eastAsia="Calibri" w:hAnsiTheme="minorHAnsi" w:cstheme="minorHAnsi"/>
            <w:b/>
            <w:sz w:val="28"/>
            <w:szCs w:val="28"/>
            <w:lang w:eastAsia="en-US"/>
          </w:rPr>
          <w:t>22</w:t>
        </w:r>
      </w:ins>
      <w:r w:rsidRPr="008E33A0">
        <w:rPr>
          <w:rFonts w:asciiTheme="minorHAnsi" w:eastAsia="Calibri" w:hAnsiTheme="minorHAnsi" w:cstheme="minorHAnsi"/>
          <w:b/>
          <w:sz w:val="28"/>
          <w:szCs w:val="28"/>
          <w:lang w:eastAsia="en-US"/>
        </w:rPr>
        <w:t>)</w:t>
      </w:r>
    </w:p>
    <w:p w14:paraId="62E44DE0" w14:textId="77777777" w:rsidR="008E33A0" w:rsidRPr="008E33A0" w:rsidRDefault="008E33A0" w:rsidP="008E33A0">
      <w:pPr>
        <w:autoSpaceDE w:val="0"/>
        <w:autoSpaceDN w:val="0"/>
        <w:adjustRightInd w:val="0"/>
        <w:jc w:val="center"/>
        <w:rPr>
          <w:rFonts w:asciiTheme="minorHAnsi" w:eastAsia="Calibri" w:hAnsiTheme="minorHAnsi" w:cstheme="minorHAnsi"/>
          <w:b/>
          <w:sz w:val="28"/>
          <w:szCs w:val="28"/>
          <w:lang w:eastAsia="en-US"/>
        </w:rPr>
      </w:pPr>
    </w:p>
    <w:p w14:paraId="106BDCD5" w14:textId="77777777" w:rsidR="008E33A0" w:rsidRPr="008E33A0" w:rsidRDefault="008E33A0" w:rsidP="008E33A0">
      <w:pPr>
        <w:autoSpaceDE w:val="0"/>
        <w:autoSpaceDN w:val="0"/>
        <w:adjustRightInd w:val="0"/>
        <w:jc w:val="center"/>
        <w:rPr>
          <w:rFonts w:asciiTheme="minorHAnsi" w:eastAsia="Calibri" w:hAnsiTheme="minorHAnsi" w:cstheme="minorHAnsi"/>
          <w:b/>
          <w:bCs/>
          <w:sz w:val="28"/>
          <w:szCs w:val="28"/>
          <w:lang w:eastAsia="en-US"/>
        </w:rPr>
      </w:pPr>
      <w:r w:rsidRPr="008E33A0">
        <w:rPr>
          <w:rFonts w:asciiTheme="minorHAnsi" w:eastAsia="Calibri" w:hAnsiTheme="minorHAnsi" w:cstheme="minorHAnsi"/>
          <w:b/>
          <w:bCs/>
          <w:sz w:val="28"/>
          <w:szCs w:val="28"/>
          <w:lang w:eastAsia="en-US"/>
        </w:rPr>
        <w:t>Admission of Sector Members from developing countries</w:t>
      </w:r>
      <w:r w:rsidRPr="008E33A0">
        <w:rPr>
          <w:rFonts w:asciiTheme="minorHAnsi" w:eastAsia="Calibri" w:hAnsiTheme="minorHAnsi" w:cstheme="minorHAnsi"/>
          <w:b/>
          <w:bCs/>
          <w:sz w:val="16"/>
          <w:szCs w:val="16"/>
          <w:lang w:eastAsia="en-US"/>
        </w:rPr>
        <w:t xml:space="preserve"> </w:t>
      </w:r>
      <w:r w:rsidRPr="008E33A0">
        <w:rPr>
          <w:rFonts w:asciiTheme="minorHAnsi" w:eastAsia="Calibri" w:hAnsiTheme="minorHAnsi" w:cstheme="minorHAnsi"/>
          <w:b/>
          <w:bCs/>
          <w:sz w:val="28"/>
          <w:szCs w:val="28"/>
          <w:lang w:eastAsia="en-US"/>
        </w:rPr>
        <w:t>to participate in the work of the ITU Radiocommunication Sector and the ITU Telecommunication Standardization Sector</w:t>
      </w:r>
    </w:p>
    <w:p w14:paraId="15038623" w14:textId="77777777" w:rsidR="008E33A0" w:rsidRPr="008E33A0" w:rsidRDefault="008E33A0" w:rsidP="008E33A0">
      <w:pPr>
        <w:tabs>
          <w:tab w:val="left" w:pos="1134"/>
          <w:tab w:val="left" w:pos="1871"/>
          <w:tab w:val="left" w:pos="2268"/>
        </w:tabs>
        <w:overflowPunct w:val="0"/>
        <w:autoSpaceDE w:val="0"/>
        <w:autoSpaceDN w:val="0"/>
        <w:adjustRightInd w:val="0"/>
        <w:spacing w:before="360"/>
        <w:jc w:val="both"/>
        <w:textAlignment w:val="baseline"/>
        <w:rPr>
          <w:rFonts w:asciiTheme="minorHAnsi" w:eastAsia="Times New Roman" w:hAnsiTheme="minorHAnsi" w:cstheme="minorHAnsi"/>
          <w:lang w:val="en-GB" w:eastAsia="en-US"/>
        </w:rPr>
      </w:pPr>
      <w:r w:rsidRPr="008E33A0">
        <w:rPr>
          <w:rFonts w:asciiTheme="minorHAnsi" w:eastAsia="Times New Roman" w:hAnsiTheme="minorHAnsi" w:cstheme="minorHAnsi"/>
          <w:lang w:val="en-GB" w:eastAsia="en-US"/>
        </w:rPr>
        <w:t>The Plenipotentiary Conference of the International Telecommunication Union (Bucharest, 2022),</w:t>
      </w:r>
    </w:p>
    <w:p w14:paraId="433DAD61"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p>
    <w:p w14:paraId="303132B6" w14:textId="77777777" w:rsidR="008E33A0" w:rsidRPr="008E33A0" w:rsidRDefault="008E33A0" w:rsidP="008E33A0">
      <w:pPr>
        <w:autoSpaceDE w:val="0"/>
        <w:autoSpaceDN w:val="0"/>
        <w:adjustRightInd w:val="0"/>
        <w:jc w:val="both"/>
        <w:rPr>
          <w:rFonts w:asciiTheme="minorHAnsi" w:eastAsia="Calibri" w:hAnsiTheme="minorHAnsi" w:cstheme="minorHAnsi"/>
          <w:i/>
          <w:iCs/>
          <w:lang w:eastAsia="en-US"/>
        </w:rPr>
      </w:pPr>
      <w:r w:rsidRPr="008E33A0">
        <w:rPr>
          <w:rFonts w:asciiTheme="minorHAnsi" w:eastAsia="Calibri" w:hAnsiTheme="minorHAnsi" w:cstheme="minorHAnsi"/>
          <w:i/>
          <w:iCs/>
          <w:lang w:eastAsia="en-US"/>
        </w:rPr>
        <w:t>Recalling</w:t>
      </w:r>
    </w:p>
    <w:p w14:paraId="6A734D1A" w14:textId="77777777" w:rsidR="008E33A0" w:rsidRPr="008E33A0" w:rsidRDefault="008E33A0" w:rsidP="008E33A0">
      <w:pPr>
        <w:autoSpaceDE w:val="0"/>
        <w:autoSpaceDN w:val="0"/>
        <w:adjustRightInd w:val="0"/>
        <w:jc w:val="both"/>
        <w:rPr>
          <w:rFonts w:asciiTheme="minorHAnsi" w:eastAsia="Calibri" w:hAnsiTheme="minorHAnsi" w:cstheme="minorHAnsi"/>
          <w:i/>
          <w:iCs/>
          <w:lang w:eastAsia="en-US"/>
        </w:rPr>
      </w:pPr>
    </w:p>
    <w:p w14:paraId="6461C83E" w14:textId="77777777" w:rsidR="008E33A0" w:rsidRPr="008E33A0" w:rsidRDefault="008E33A0" w:rsidP="008E33A0">
      <w:pPr>
        <w:autoSpaceDE w:val="0"/>
        <w:autoSpaceDN w:val="0"/>
        <w:adjustRightInd w:val="0"/>
        <w:jc w:val="both"/>
        <w:rPr>
          <w:rFonts w:asciiTheme="minorHAnsi" w:eastAsia="Calibri" w:hAnsiTheme="minorHAnsi" w:cstheme="minorHAnsi"/>
          <w:color w:val="000000"/>
          <w:lang w:eastAsia="en-US"/>
        </w:rPr>
      </w:pPr>
      <w:r w:rsidRPr="008E33A0">
        <w:rPr>
          <w:rFonts w:asciiTheme="minorHAnsi" w:eastAsia="Calibri" w:hAnsiTheme="minorHAnsi" w:cstheme="minorHAnsi"/>
          <w:color w:val="000000"/>
          <w:lang w:eastAsia="en-US"/>
        </w:rPr>
        <w:t>Resolution 74 (Rev.</w:t>
      </w:r>
      <w:del w:id="4" w:author="R.SHAKYA" w:date="2022-08-04T19:22:00Z">
        <w:r w:rsidRPr="008E33A0" w:rsidDel="00921FCD">
          <w:rPr>
            <w:rFonts w:asciiTheme="minorHAnsi" w:eastAsia="Calibri" w:hAnsiTheme="minorHAnsi" w:cstheme="minorHAnsi"/>
            <w:color w:val="000000"/>
            <w:lang w:eastAsia="en-US"/>
          </w:rPr>
          <w:delText xml:space="preserve"> Dubai</w:delText>
        </w:r>
      </w:del>
      <w:ins w:id="5" w:author="R.SHAKYA" w:date="2022-08-04T19:22:00Z">
        <w:r w:rsidRPr="008E33A0">
          <w:rPr>
            <w:rFonts w:asciiTheme="minorHAnsi" w:eastAsia="Calibri" w:hAnsiTheme="minorHAnsi" w:cstheme="minorHAnsi"/>
            <w:color w:val="000000"/>
            <w:lang w:eastAsia="en-US"/>
          </w:rPr>
          <w:t>Geneva</w:t>
        </w:r>
      </w:ins>
      <w:r w:rsidRPr="008E33A0">
        <w:rPr>
          <w:rFonts w:asciiTheme="minorHAnsi" w:eastAsia="Calibri" w:hAnsiTheme="minorHAnsi" w:cstheme="minorHAnsi"/>
          <w:color w:val="000000"/>
          <w:lang w:eastAsia="en-US"/>
        </w:rPr>
        <w:t>, 20</w:t>
      </w:r>
      <w:del w:id="6" w:author="R.SHAKYA" w:date="2022-08-04T19:22:00Z">
        <w:r w:rsidRPr="008E33A0" w:rsidDel="00921FCD">
          <w:rPr>
            <w:rFonts w:asciiTheme="minorHAnsi" w:eastAsia="Calibri" w:hAnsiTheme="minorHAnsi" w:cstheme="minorHAnsi"/>
            <w:color w:val="000000"/>
            <w:lang w:eastAsia="en-US"/>
          </w:rPr>
          <w:delText>1</w:delText>
        </w:r>
      </w:del>
      <w:ins w:id="7" w:author="R.SHAKYA" w:date="2022-08-04T19:22:00Z">
        <w:r w:rsidRPr="008E33A0">
          <w:rPr>
            <w:rFonts w:asciiTheme="minorHAnsi" w:eastAsia="Calibri" w:hAnsiTheme="minorHAnsi" w:cstheme="minorHAnsi"/>
            <w:color w:val="000000"/>
            <w:lang w:eastAsia="en-US"/>
          </w:rPr>
          <w:t>2</w:t>
        </w:r>
      </w:ins>
      <w:r w:rsidRPr="008E33A0">
        <w:rPr>
          <w:rFonts w:asciiTheme="minorHAnsi" w:eastAsia="Calibri" w:hAnsiTheme="minorHAnsi" w:cstheme="minorHAnsi"/>
          <w:color w:val="000000"/>
          <w:lang w:eastAsia="en-US"/>
        </w:rPr>
        <w:t>2) of the World Telecommunication Standardization Assembly,</w:t>
      </w:r>
    </w:p>
    <w:p w14:paraId="164BDEA6" w14:textId="77777777" w:rsidR="008E33A0" w:rsidRPr="008E33A0" w:rsidRDefault="008E33A0" w:rsidP="008E33A0">
      <w:pPr>
        <w:autoSpaceDE w:val="0"/>
        <w:autoSpaceDN w:val="0"/>
        <w:adjustRightInd w:val="0"/>
        <w:jc w:val="both"/>
        <w:rPr>
          <w:rFonts w:asciiTheme="minorHAnsi" w:eastAsia="Calibri" w:hAnsiTheme="minorHAnsi" w:cstheme="minorHAnsi"/>
          <w:i/>
          <w:iCs/>
          <w:color w:val="FF0000"/>
          <w:lang w:eastAsia="en-US"/>
        </w:rPr>
      </w:pPr>
    </w:p>
    <w:p w14:paraId="77A93DE6" w14:textId="1448DDEC" w:rsidR="008E33A0" w:rsidRDefault="008E33A0" w:rsidP="008E33A0">
      <w:pPr>
        <w:autoSpaceDE w:val="0"/>
        <w:autoSpaceDN w:val="0"/>
        <w:adjustRightInd w:val="0"/>
        <w:ind w:left="540"/>
        <w:jc w:val="both"/>
        <w:rPr>
          <w:rFonts w:asciiTheme="minorHAnsi" w:eastAsia="Calibri" w:hAnsiTheme="minorHAnsi" w:cstheme="minorHAnsi"/>
          <w:i/>
          <w:iCs/>
          <w:lang w:eastAsia="en-US"/>
        </w:rPr>
      </w:pPr>
      <w:r w:rsidRPr="008E33A0">
        <w:rPr>
          <w:rFonts w:asciiTheme="minorHAnsi" w:eastAsia="Calibri" w:hAnsiTheme="minorHAnsi" w:cstheme="minorHAnsi"/>
          <w:i/>
          <w:iCs/>
          <w:lang w:eastAsia="en-US"/>
        </w:rPr>
        <w:t>Considering</w:t>
      </w:r>
    </w:p>
    <w:p w14:paraId="65784671" w14:textId="77777777" w:rsidR="008E33A0" w:rsidRPr="008E33A0" w:rsidRDefault="008E33A0" w:rsidP="008E33A0">
      <w:pPr>
        <w:autoSpaceDE w:val="0"/>
        <w:autoSpaceDN w:val="0"/>
        <w:adjustRightInd w:val="0"/>
        <w:ind w:left="540"/>
        <w:jc w:val="both"/>
        <w:rPr>
          <w:rFonts w:asciiTheme="minorHAnsi" w:eastAsia="Calibri" w:hAnsiTheme="minorHAnsi" w:cstheme="minorHAnsi"/>
          <w:i/>
          <w:iCs/>
          <w:lang w:eastAsia="en-US"/>
        </w:rPr>
      </w:pPr>
    </w:p>
    <w:p w14:paraId="32B89837"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r w:rsidRPr="008E33A0">
        <w:rPr>
          <w:rFonts w:asciiTheme="minorHAnsi" w:eastAsia="Calibri" w:hAnsiTheme="minorHAnsi" w:cstheme="minorHAnsi"/>
          <w:i/>
          <w:iCs/>
          <w:lang w:eastAsia="en-US"/>
        </w:rPr>
        <w:t xml:space="preserve">a) </w:t>
      </w:r>
      <w:r w:rsidRPr="008E33A0">
        <w:rPr>
          <w:rFonts w:asciiTheme="minorHAnsi" w:eastAsia="Calibri" w:hAnsiTheme="minorHAnsi" w:cstheme="minorHAnsi"/>
          <w:lang w:eastAsia="en-US"/>
        </w:rPr>
        <w:t>that participation in the work of the ITU Radiocommunication Sector (ITU-R) and the ITU Telecommunication Standardization Sector (ITU-T) of Sector Members from the category of developing countries with an annual per capita income of less than USD 2000 according to the United Nations Development Programme classification will benefit the work of both Sectors as well as the countries they represent, helping to close the standardization gap which still exists between the developed and developing countries within the two Sectors, especially in relation to this category of developing countries;</w:t>
      </w:r>
    </w:p>
    <w:p w14:paraId="6EB452F7" w14:textId="77777777" w:rsidR="008E33A0" w:rsidRPr="008E33A0" w:rsidRDefault="008E33A0" w:rsidP="008E33A0">
      <w:pPr>
        <w:autoSpaceDE w:val="0"/>
        <w:autoSpaceDN w:val="0"/>
        <w:adjustRightInd w:val="0"/>
        <w:jc w:val="both"/>
        <w:rPr>
          <w:ins w:id="8" w:author="YGSC Kishore Babu" w:date="2022-07-11T07:06:00Z"/>
          <w:rFonts w:asciiTheme="minorHAnsi" w:eastAsia="Calibri" w:hAnsiTheme="minorHAnsi" w:cstheme="minorHAnsi"/>
          <w:lang w:eastAsia="en-US"/>
        </w:rPr>
      </w:pPr>
    </w:p>
    <w:p w14:paraId="16DFB788"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r w:rsidRPr="008E33A0">
        <w:rPr>
          <w:rFonts w:asciiTheme="minorHAnsi" w:eastAsia="Calibri" w:hAnsiTheme="minorHAnsi" w:cstheme="minorHAnsi"/>
          <w:i/>
          <w:iCs/>
          <w:lang w:eastAsia="en-US"/>
        </w:rPr>
        <w:t xml:space="preserve">b) </w:t>
      </w:r>
      <w:r w:rsidRPr="008E33A0">
        <w:rPr>
          <w:rFonts w:asciiTheme="minorHAnsi" w:eastAsia="Calibri" w:hAnsiTheme="minorHAnsi" w:cstheme="minorHAnsi"/>
          <w:lang w:eastAsia="en-US"/>
        </w:rPr>
        <w:t>that allowing them to participate in the work of either of the two Sectors on favourable financial terms in respect of each Sector will encourage them to join these two Sectors, according to their needs;</w:t>
      </w:r>
    </w:p>
    <w:p w14:paraId="1F90A22B" w14:textId="77777777" w:rsidR="008E33A0" w:rsidRPr="008E33A0" w:rsidRDefault="008E33A0" w:rsidP="008E33A0">
      <w:pPr>
        <w:autoSpaceDE w:val="0"/>
        <w:autoSpaceDN w:val="0"/>
        <w:adjustRightInd w:val="0"/>
        <w:jc w:val="both"/>
        <w:rPr>
          <w:rFonts w:asciiTheme="minorHAnsi" w:eastAsia="Calibri" w:hAnsiTheme="minorHAnsi" w:cstheme="minorHAnsi"/>
          <w:i/>
          <w:iCs/>
          <w:lang w:eastAsia="en-US"/>
        </w:rPr>
      </w:pPr>
    </w:p>
    <w:p w14:paraId="0AAA0339" w14:textId="29EB9617" w:rsidR="008E33A0" w:rsidRPr="008E33A0" w:rsidRDefault="008E33A0" w:rsidP="008E33A0">
      <w:pPr>
        <w:autoSpaceDE w:val="0"/>
        <w:autoSpaceDN w:val="0"/>
        <w:adjustRightInd w:val="0"/>
        <w:jc w:val="both"/>
        <w:rPr>
          <w:ins w:id="9" w:author="YGSC Kishore Babu" w:date="2022-07-11T06:57:00Z"/>
          <w:rFonts w:asciiTheme="minorHAnsi" w:eastAsia="Calibri" w:hAnsiTheme="minorHAnsi" w:cstheme="minorHAnsi"/>
          <w:lang w:eastAsia="en-US"/>
        </w:rPr>
      </w:pPr>
      <w:r w:rsidRPr="008E33A0">
        <w:rPr>
          <w:rFonts w:asciiTheme="minorHAnsi" w:eastAsia="Calibri" w:hAnsiTheme="minorHAnsi" w:cstheme="minorHAnsi"/>
          <w:i/>
          <w:iCs/>
          <w:lang w:eastAsia="en-US"/>
        </w:rPr>
        <w:t xml:space="preserve">c) </w:t>
      </w:r>
      <w:r w:rsidRPr="008E33A0">
        <w:rPr>
          <w:rFonts w:asciiTheme="minorHAnsi" w:eastAsia="Calibri" w:hAnsiTheme="minorHAnsi" w:cstheme="minorHAnsi"/>
          <w:lang w:eastAsia="en-US"/>
        </w:rPr>
        <w:t>that this participation will not require any amendment of Articles 2 and 3 of the ITU Constitution for a trial period to end 2018, when the next plenipotentiary conference will be held</w:t>
      </w:r>
      <w:ins w:id="10" w:author="YGSC Kishore Babu" w:date="2022-07-11T06:57:00Z">
        <w:r w:rsidRPr="008E33A0">
          <w:rPr>
            <w:rFonts w:asciiTheme="minorHAnsi" w:eastAsia="Calibri" w:hAnsiTheme="minorHAnsi" w:cstheme="minorHAnsi"/>
            <w:lang w:eastAsia="en-US"/>
          </w:rPr>
          <w:t>;</w:t>
        </w:r>
      </w:ins>
    </w:p>
    <w:p w14:paraId="374A4CA4"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p>
    <w:p w14:paraId="386B0C7D" w14:textId="1682C7EA" w:rsidR="008E33A0" w:rsidRPr="008E33A0" w:rsidRDefault="008E33A0" w:rsidP="008E33A0">
      <w:pPr>
        <w:autoSpaceDE w:val="0"/>
        <w:autoSpaceDN w:val="0"/>
        <w:adjustRightInd w:val="0"/>
        <w:jc w:val="both"/>
        <w:rPr>
          <w:rFonts w:asciiTheme="minorHAnsi" w:eastAsia="Calibri" w:hAnsiTheme="minorHAnsi" w:cstheme="minorHAnsi"/>
          <w:lang w:eastAsia="en-US"/>
        </w:rPr>
      </w:pPr>
      <w:ins w:id="11" w:author="YGSC Kishore Babu" w:date="2022-07-11T06:58:00Z">
        <w:r w:rsidRPr="008E33A0">
          <w:rPr>
            <w:rFonts w:asciiTheme="minorHAnsi" w:eastAsia="Calibri" w:hAnsiTheme="minorHAnsi" w:cstheme="minorHAnsi"/>
            <w:i/>
            <w:iCs/>
            <w:lang w:eastAsia="en-US"/>
          </w:rPr>
          <w:t>d)</w:t>
        </w:r>
        <w:r w:rsidRPr="008E33A0">
          <w:rPr>
            <w:rFonts w:asciiTheme="minorHAnsi" w:eastAsia="Calibri" w:hAnsiTheme="minorHAnsi" w:cstheme="minorHAnsi"/>
            <w:lang w:eastAsia="en-US"/>
          </w:rPr>
          <w:t xml:space="preserve"> </w:t>
        </w:r>
      </w:ins>
      <w:ins w:id="12" w:author="YGSC Kishore Babu" w:date="2022-07-11T06:59:00Z">
        <w:r w:rsidRPr="008E33A0">
          <w:rPr>
            <w:rFonts w:asciiTheme="minorHAnsi" w:eastAsia="Calibri" w:hAnsiTheme="minorHAnsi" w:cstheme="minorHAnsi"/>
            <w:lang w:eastAsia="en-US"/>
          </w:rPr>
          <w:t xml:space="preserve">that </w:t>
        </w:r>
      </w:ins>
      <w:ins w:id="13" w:author="YGSC Kishore Babu" w:date="2022-07-11T07:00:00Z">
        <w:r w:rsidRPr="008E33A0">
          <w:rPr>
            <w:rFonts w:asciiTheme="minorHAnsi" w:eastAsia="Calibri" w:hAnsiTheme="minorHAnsi" w:cstheme="minorHAnsi"/>
            <w:lang w:eastAsia="en-US"/>
          </w:rPr>
          <w:t xml:space="preserve">both </w:t>
        </w:r>
      </w:ins>
      <w:ins w:id="14" w:author="YGSC Kishore Babu" w:date="2022-07-11T06:59:00Z">
        <w:r w:rsidRPr="008E33A0">
          <w:rPr>
            <w:rFonts w:asciiTheme="minorHAnsi" w:eastAsia="Calibri" w:hAnsiTheme="minorHAnsi" w:cstheme="minorHAnsi"/>
            <w:lang w:eastAsia="en-US"/>
          </w:rPr>
          <w:t>incentivi</w:t>
        </w:r>
      </w:ins>
      <w:ins w:id="15" w:author="YGSC Kishore Babu" w:date="2022-07-11T07:00:00Z">
        <w:r w:rsidRPr="008E33A0">
          <w:rPr>
            <w:rFonts w:asciiTheme="minorHAnsi" w:eastAsia="Calibri" w:hAnsiTheme="minorHAnsi" w:cstheme="minorHAnsi"/>
            <w:lang w:eastAsia="en-US"/>
          </w:rPr>
          <w:t xml:space="preserve">zed financial contribution and </w:t>
        </w:r>
      </w:ins>
      <w:ins w:id="16" w:author="YGSC Kishore Babu" w:date="2022-07-11T06:59:00Z">
        <w:r w:rsidRPr="008E33A0">
          <w:rPr>
            <w:rFonts w:asciiTheme="minorHAnsi" w:eastAsia="Calibri" w:hAnsiTheme="minorHAnsi" w:cstheme="minorHAnsi"/>
            <w:lang w:eastAsia="en-US"/>
          </w:rPr>
          <w:t xml:space="preserve">focused engagement </w:t>
        </w:r>
      </w:ins>
      <w:ins w:id="17" w:author="YGSC Kishore Babu" w:date="2022-07-11T07:00:00Z">
        <w:r w:rsidRPr="008E33A0">
          <w:rPr>
            <w:rFonts w:asciiTheme="minorHAnsi" w:eastAsia="Calibri" w:hAnsiTheme="minorHAnsi" w:cstheme="minorHAnsi"/>
            <w:lang w:eastAsia="en-US"/>
          </w:rPr>
          <w:t xml:space="preserve">are necessary </w:t>
        </w:r>
      </w:ins>
      <w:ins w:id="18" w:author="YGSC Kishore Babu" w:date="2022-07-11T07:13:00Z">
        <w:r w:rsidRPr="008E33A0">
          <w:rPr>
            <w:rFonts w:asciiTheme="minorHAnsi" w:eastAsia="Calibri" w:hAnsiTheme="minorHAnsi" w:cstheme="minorHAnsi"/>
            <w:lang w:eastAsia="en-US"/>
          </w:rPr>
          <w:t>for their effective participation</w:t>
        </w:r>
      </w:ins>
      <w:r w:rsidRPr="008E33A0">
        <w:rPr>
          <w:rFonts w:asciiTheme="minorHAnsi" w:eastAsia="Calibri" w:hAnsiTheme="minorHAnsi" w:cstheme="minorHAnsi"/>
          <w:lang w:eastAsia="en-US"/>
        </w:rPr>
        <w:t>,</w:t>
      </w:r>
    </w:p>
    <w:p w14:paraId="7DCAFA3D" w14:textId="77777777" w:rsidR="008E33A0" w:rsidRPr="008E33A0" w:rsidRDefault="008E33A0" w:rsidP="008E33A0">
      <w:pPr>
        <w:autoSpaceDE w:val="0"/>
        <w:autoSpaceDN w:val="0"/>
        <w:adjustRightInd w:val="0"/>
        <w:jc w:val="both"/>
        <w:rPr>
          <w:rFonts w:asciiTheme="minorHAnsi" w:eastAsia="Calibri" w:hAnsiTheme="minorHAnsi" w:cstheme="minorHAnsi"/>
          <w:i/>
          <w:iCs/>
          <w:lang w:eastAsia="en-US"/>
        </w:rPr>
      </w:pPr>
    </w:p>
    <w:p w14:paraId="6EEEE666" w14:textId="5233691D" w:rsidR="008E33A0" w:rsidRDefault="008E33A0" w:rsidP="008E33A0">
      <w:pPr>
        <w:autoSpaceDE w:val="0"/>
        <w:autoSpaceDN w:val="0"/>
        <w:adjustRightInd w:val="0"/>
        <w:ind w:left="540"/>
        <w:jc w:val="both"/>
        <w:rPr>
          <w:rFonts w:asciiTheme="minorHAnsi" w:eastAsia="Calibri" w:hAnsiTheme="minorHAnsi" w:cstheme="minorHAnsi"/>
          <w:i/>
          <w:iCs/>
          <w:lang w:eastAsia="en-US"/>
        </w:rPr>
      </w:pPr>
      <w:r w:rsidRPr="008E33A0">
        <w:rPr>
          <w:rFonts w:asciiTheme="minorHAnsi" w:eastAsia="Calibri" w:hAnsiTheme="minorHAnsi" w:cstheme="minorHAnsi"/>
          <w:i/>
          <w:iCs/>
          <w:lang w:eastAsia="en-US"/>
        </w:rPr>
        <w:t>resolves</w:t>
      </w:r>
    </w:p>
    <w:p w14:paraId="19544DDC" w14:textId="77777777" w:rsidR="008E33A0" w:rsidRPr="008E33A0" w:rsidRDefault="008E33A0" w:rsidP="008E33A0">
      <w:pPr>
        <w:autoSpaceDE w:val="0"/>
        <w:autoSpaceDN w:val="0"/>
        <w:adjustRightInd w:val="0"/>
        <w:ind w:left="540"/>
        <w:jc w:val="both"/>
        <w:rPr>
          <w:rFonts w:asciiTheme="minorHAnsi" w:eastAsia="Calibri" w:hAnsiTheme="minorHAnsi" w:cstheme="minorHAnsi"/>
          <w:i/>
          <w:iCs/>
          <w:lang w:eastAsia="en-US"/>
        </w:rPr>
      </w:pPr>
    </w:p>
    <w:p w14:paraId="5E09DB27"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r w:rsidRPr="008E33A0">
        <w:rPr>
          <w:rFonts w:asciiTheme="minorHAnsi" w:eastAsia="Calibri" w:hAnsiTheme="minorHAnsi" w:cstheme="minorHAnsi"/>
          <w:lang w:eastAsia="en-US"/>
        </w:rPr>
        <w:t>1 to continue to allow Sector Members from the category of developing countries mentioned above to participate in the work of ITU-R and ITU-T pursuant to the provisions of this resolution;</w:t>
      </w:r>
    </w:p>
    <w:p w14:paraId="3B294A00"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p>
    <w:p w14:paraId="3A08ABE1"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r w:rsidRPr="008E33A0">
        <w:rPr>
          <w:rFonts w:asciiTheme="minorHAnsi" w:eastAsia="Calibri" w:hAnsiTheme="minorHAnsi" w:cstheme="minorHAnsi"/>
          <w:lang w:eastAsia="en-US"/>
        </w:rPr>
        <w:t>2 to set the level of financial contribution for such participation at one sixteenth of the value of a contributory unit for Sector Members for defraying Union expenses;</w:t>
      </w:r>
    </w:p>
    <w:p w14:paraId="79B6B452"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p>
    <w:p w14:paraId="7130A8F8"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r w:rsidRPr="008E33A0">
        <w:rPr>
          <w:rFonts w:asciiTheme="minorHAnsi" w:eastAsia="Calibri" w:hAnsiTheme="minorHAnsi" w:cstheme="minorHAnsi"/>
          <w:lang w:eastAsia="en-US"/>
        </w:rPr>
        <w:lastRenderedPageBreak/>
        <w:t>3 that acceptance of applications for participation shall be conditional on the support of the Member State to which the Sector Member belongs, on fulfilment of the criterion in the footnote to this resolution by each applicant for membership, and also on the applicant not currently being listed with the Union as a Sector Member contributing the minimum one-half of the value of a contributory unit for Sector Members or as an Associate in the Sector</w:t>
      </w:r>
      <w:ins w:id="19" w:author="YGSC Kishore Babu" w:date="2022-07-11T06:52:00Z">
        <w:r w:rsidRPr="008E33A0">
          <w:rPr>
            <w:rFonts w:asciiTheme="minorHAnsi" w:eastAsia="Calibri" w:hAnsiTheme="minorHAnsi" w:cstheme="minorHAnsi"/>
            <w:lang w:eastAsia="en-US"/>
          </w:rPr>
          <w:t>;</w:t>
        </w:r>
      </w:ins>
    </w:p>
    <w:p w14:paraId="72CF239B" w14:textId="77777777" w:rsidR="008E33A0" w:rsidRPr="008E33A0" w:rsidRDefault="008E33A0" w:rsidP="008E33A0">
      <w:pPr>
        <w:autoSpaceDE w:val="0"/>
        <w:autoSpaceDN w:val="0"/>
        <w:adjustRightInd w:val="0"/>
        <w:jc w:val="both"/>
        <w:rPr>
          <w:ins w:id="20" w:author="YGSC Kishore Babu" w:date="2022-07-11T06:52:00Z"/>
          <w:rFonts w:asciiTheme="minorHAnsi" w:eastAsia="Calibri" w:hAnsiTheme="minorHAnsi" w:cstheme="minorHAnsi"/>
          <w:lang w:eastAsia="en-US"/>
        </w:rPr>
      </w:pPr>
    </w:p>
    <w:p w14:paraId="0F95F8B5" w14:textId="45E8912F" w:rsidR="008E33A0" w:rsidRPr="008E33A0" w:rsidRDefault="008E33A0" w:rsidP="008E33A0">
      <w:pPr>
        <w:autoSpaceDE w:val="0"/>
        <w:autoSpaceDN w:val="0"/>
        <w:adjustRightInd w:val="0"/>
        <w:jc w:val="both"/>
        <w:rPr>
          <w:rFonts w:asciiTheme="minorHAnsi" w:eastAsia="Calibri" w:hAnsiTheme="minorHAnsi" w:cstheme="minorHAnsi"/>
          <w:lang w:eastAsia="en-US"/>
        </w:rPr>
      </w:pPr>
      <w:ins w:id="21" w:author="YGSC Kishore Babu" w:date="2022-07-11T06:52:00Z">
        <w:r w:rsidRPr="008E33A0">
          <w:rPr>
            <w:rFonts w:asciiTheme="minorHAnsi" w:eastAsia="Calibri" w:hAnsiTheme="minorHAnsi" w:cstheme="minorHAnsi"/>
            <w:lang w:eastAsia="en-US"/>
          </w:rPr>
          <w:t xml:space="preserve">4 to </w:t>
        </w:r>
      </w:ins>
      <w:ins w:id="22" w:author="YGSC Kishore Babu" w:date="2022-07-11T06:53:00Z">
        <w:r w:rsidRPr="008E33A0">
          <w:rPr>
            <w:rFonts w:asciiTheme="minorHAnsi" w:eastAsia="Calibri" w:hAnsiTheme="minorHAnsi" w:cstheme="minorHAnsi"/>
            <w:lang w:eastAsia="en-US"/>
          </w:rPr>
          <w:t xml:space="preserve">facilitate necessary </w:t>
        </w:r>
      </w:ins>
      <w:ins w:id="23" w:author="acer" w:date="2022-08-03T10:34:00Z">
        <w:r w:rsidRPr="008E33A0">
          <w:rPr>
            <w:rFonts w:asciiTheme="minorHAnsi" w:eastAsia="Calibri" w:hAnsiTheme="minorHAnsi" w:cstheme="minorHAnsi"/>
            <w:lang w:eastAsia="en-US"/>
          </w:rPr>
          <w:t xml:space="preserve">support </w:t>
        </w:r>
      </w:ins>
      <w:ins w:id="24" w:author="YGSC Kishore Babu" w:date="2022-07-11T06:53:00Z">
        <w:r w:rsidRPr="008E33A0">
          <w:rPr>
            <w:rFonts w:asciiTheme="minorHAnsi" w:eastAsia="Calibri" w:hAnsiTheme="minorHAnsi" w:cstheme="minorHAnsi"/>
            <w:lang w:eastAsia="en-US"/>
          </w:rPr>
          <w:t>for the admitted members for their effective participation</w:t>
        </w:r>
      </w:ins>
      <w:ins w:id="25" w:author="YGSC Kishore Babu" w:date="2022-07-11T06:55:00Z">
        <w:r w:rsidRPr="008E33A0">
          <w:rPr>
            <w:rFonts w:asciiTheme="minorHAnsi" w:eastAsia="Calibri" w:hAnsiTheme="minorHAnsi" w:cstheme="minorHAnsi"/>
            <w:lang w:eastAsia="en-US"/>
          </w:rPr>
          <w:t xml:space="preserve"> which </w:t>
        </w:r>
      </w:ins>
      <w:ins w:id="26" w:author="YGSC Kishore Babu" w:date="2022-07-11T06:56:00Z">
        <w:r w:rsidRPr="008E33A0">
          <w:rPr>
            <w:rFonts w:asciiTheme="minorHAnsi" w:eastAsia="Calibri" w:hAnsiTheme="minorHAnsi" w:cstheme="minorHAnsi"/>
            <w:lang w:eastAsia="en-US"/>
          </w:rPr>
          <w:t>may trigger multiplier</w:t>
        </w:r>
      </w:ins>
      <w:ins w:id="27" w:author="YGSC Kishore Babu" w:date="2022-07-11T06:55:00Z">
        <w:r w:rsidRPr="008E33A0">
          <w:rPr>
            <w:rFonts w:asciiTheme="minorHAnsi" w:eastAsia="Calibri" w:hAnsiTheme="minorHAnsi" w:cstheme="minorHAnsi"/>
            <w:lang w:eastAsia="en-US"/>
          </w:rPr>
          <w:t xml:space="preserve"> effect</w:t>
        </w:r>
      </w:ins>
      <w:ins w:id="28" w:author="YGSC Kishore Babu" w:date="2022-07-11T06:56:00Z">
        <w:r w:rsidRPr="008E33A0">
          <w:rPr>
            <w:rFonts w:asciiTheme="minorHAnsi" w:eastAsia="Calibri" w:hAnsiTheme="minorHAnsi" w:cstheme="minorHAnsi"/>
            <w:lang w:eastAsia="en-US"/>
          </w:rPr>
          <w:t xml:space="preserve"> for enhanced membership</w:t>
        </w:r>
      </w:ins>
      <w:ins w:id="29" w:author="YGSC Kishore Babu" w:date="2022-07-11T08:19:00Z">
        <w:r w:rsidRPr="008E33A0">
          <w:rPr>
            <w:rFonts w:asciiTheme="minorHAnsi" w:eastAsia="Calibri" w:hAnsiTheme="minorHAnsi" w:cstheme="minorHAnsi"/>
            <w:lang w:eastAsia="en-US"/>
          </w:rPr>
          <w:t xml:space="preserve"> </w:t>
        </w:r>
      </w:ins>
      <w:ins w:id="30" w:author="YGSC Kishore Babu" w:date="2022-07-11T08:20:00Z">
        <w:r w:rsidRPr="008E33A0">
          <w:rPr>
            <w:rFonts w:asciiTheme="minorHAnsi" w:eastAsia="Calibri" w:hAnsiTheme="minorHAnsi" w:cstheme="minorHAnsi"/>
            <w:lang w:eastAsia="en-US"/>
          </w:rPr>
          <w:t xml:space="preserve">and </w:t>
        </w:r>
      </w:ins>
      <w:ins w:id="31" w:author="YGSC Kishore Babu" w:date="2022-07-11T08:19:00Z">
        <w:r w:rsidRPr="008E33A0">
          <w:rPr>
            <w:rFonts w:asciiTheme="minorHAnsi" w:eastAsia="Calibri" w:hAnsiTheme="minorHAnsi" w:cstheme="minorHAnsi"/>
            <w:lang w:eastAsia="en-US"/>
          </w:rPr>
          <w:t>reap benefits of ITU engagement</w:t>
        </w:r>
      </w:ins>
      <w:r w:rsidRPr="008E33A0">
        <w:rPr>
          <w:rFonts w:asciiTheme="minorHAnsi" w:eastAsia="Calibri" w:hAnsiTheme="minorHAnsi" w:cstheme="minorHAnsi"/>
          <w:lang w:eastAsia="en-US"/>
        </w:rPr>
        <w:t>,</w:t>
      </w:r>
    </w:p>
    <w:p w14:paraId="0772F3ED" w14:textId="77777777" w:rsidR="008E33A0" w:rsidRPr="008E33A0" w:rsidRDefault="008E33A0" w:rsidP="008E33A0">
      <w:pPr>
        <w:autoSpaceDE w:val="0"/>
        <w:autoSpaceDN w:val="0"/>
        <w:adjustRightInd w:val="0"/>
        <w:jc w:val="both"/>
        <w:rPr>
          <w:rFonts w:asciiTheme="minorHAnsi" w:eastAsia="Calibri" w:hAnsiTheme="minorHAnsi" w:cstheme="minorHAnsi"/>
          <w:i/>
          <w:iCs/>
          <w:lang w:eastAsia="en-US"/>
        </w:rPr>
      </w:pPr>
    </w:p>
    <w:p w14:paraId="6004791A" w14:textId="645BE37A" w:rsidR="008E33A0" w:rsidRDefault="008E33A0" w:rsidP="008E33A0">
      <w:pPr>
        <w:autoSpaceDE w:val="0"/>
        <w:autoSpaceDN w:val="0"/>
        <w:adjustRightInd w:val="0"/>
        <w:ind w:left="540"/>
        <w:jc w:val="both"/>
        <w:rPr>
          <w:rFonts w:asciiTheme="minorHAnsi" w:eastAsia="Calibri" w:hAnsiTheme="minorHAnsi" w:cstheme="minorHAnsi"/>
          <w:i/>
          <w:iCs/>
          <w:lang w:eastAsia="en-US"/>
        </w:rPr>
      </w:pPr>
      <w:r w:rsidRPr="008E33A0">
        <w:rPr>
          <w:rFonts w:asciiTheme="minorHAnsi" w:eastAsia="Calibri" w:hAnsiTheme="minorHAnsi" w:cstheme="minorHAnsi"/>
          <w:i/>
          <w:iCs/>
          <w:lang w:eastAsia="en-US"/>
        </w:rPr>
        <w:t>instructs the Council</w:t>
      </w:r>
    </w:p>
    <w:p w14:paraId="3432A6B9" w14:textId="77777777" w:rsidR="008E33A0" w:rsidRPr="008E33A0" w:rsidRDefault="008E33A0" w:rsidP="008E33A0">
      <w:pPr>
        <w:autoSpaceDE w:val="0"/>
        <w:autoSpaceDN w:val="0"/>
        <w:adjustRightInd w:val="0"/>
        <w:ind w:left="540"/>
        <w:jc w:val="both"/>
        <w:rPr>
          <w:rFonts w:asciiTheme="minorHAnsi" w:eastAsia="Calibri" w:hAnsiTheme="minorHAnsi" w:cstheme="minorHAnsi"/>
          <w:i/>
          <w:iCs/>
          <w:lang w:eastAsia="en-US"/>
        </w:rPr>
      </w:pPr>
    </w:p>
    <w:p w14:paraId="26A6C884"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r w:rsidRPr="008E33A0">
        <w:rPr>
          <w:rFonts w:asciiTheme="minorHAnsi" w:eastAsia="Calibri" w:hAnsiTheme="minorHAnsi" w:cstheme="minorHAnsi"/>
          <w:lang w:eastAsia="en-US"/>
        </w:rPr>
        <w:t>1 to add any additional conditions or detailed procedures that may be required;</w:t>
      </w:r>
    </w:p>
    <w:p w14:paraId="67674345"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p>
    <w:p w14:paraId="7F8CADAA" w14:textId="77777777" w:rsidR="008E33A0" w:rsidRPr="008E33A0" w:rsidRDefault="008E33A0" w:rsidP="008E33A0">
      <w:pPr>
        <w:autoSpaceDE w:val="0"/>
        <w:autoSpaceDN w:val="0"/>
        <w:adjustRightInd w:val="0"/>
        <w:jc w:val="both"/>
        <w:rPr>
          <w:rFonts w:asciiTheme="minorHAnsi" w:eastAsia="Calibri" w:hAnsiTheme="minorHAnsi" w:cstheme="minorHAnsi"/>
          <w:lang w:eastAsia="en-US"/>
        </w:rPr>
      </w:pPr>
      <w:r w:rsidRPr="008E33A0">
        <w:rPr>
          <w:rFonts w:asciiTheme="minorHAnsi" w:eastAsia="Calibri" w:hAnsiTheme="minorHAnsi" w:cstheme="minorHAnsi"/>
          <w:lang w:eastAsia="en-US"/>
        </w:rPr>
        <w:t>2 to submit a report on this participation to the next plenipotentiary conference on the basis of an evaluation thereof by the respective Sector advisory groups, so as to enable the Plenipotentiary Conference to make a final decision on such participation in the light of the report and the proposals therein.</w:t>
      </w:r>
    </w:p>
    <w:p w14:paraId="52EF5FC6" w14:textId="77777777" w:rsidR="008E33A0" w:rsidRPr="008E33A0" w:rsidRDefault="008E33A0" w:rsidP="008E33A0">
      <w:pPr>
        <w:autoSpaceDE w:val="0"/>
        <w:autoSpaceDN w:val="0"/>
        <w:adjustRightInd w:val="0"/>
        <w:jc w:val="both"/>
        <w:rPr>
          <w:rFonts w:asciiTheme="minorHAnsi" w:eastAsia="Calibri" w:hAnsiTheme="minorHAnsi" w:cstheme="minorHAnsi"/>
          <w:sz w:val="22"/>
          <w:szCs w:val="22"/>
          <w:lang w:eastAsia="en-US"/>
        </w:rPr>
      </w:pPr>
    </w:p>
    <w:p w14:paraId="443A0313" w14:textId="77777777" w:rsidR="008E33A0" w:rsidRPr="008E33A0" w:rsidRDefault="008E33A0" w:rsidP="008E33A0">
      <w:pPr>
        <w:autoSpaceDE w:val="0"/>
        <w:autoSpaceDN w:val="0"/>
        <w:adjustRightInd w:val="0"/>
        <w:jc w:val="both"/>
        <w:rPr>
          <w:rFonts w:asciiTheme="minorHAnsi" w:eastAsia="Calibri" w:hAnsiTheme="minorHAnsi" w:cstheme="minorHAnsi"/>
          <w:sz w:val="22"/>
          <w:szCs w:val="22"/>
          <w:lang w:eastAsia="en-US"/>
        </w:rPr>
      </w:pPr>
      <w:r w:rsidRPr="008E33A0">
        <w:rPr>
          <w:rFonts w:asciiTheme="minorHAnsi" w:eastAsia="Calibri" w:hAnsiTheme="minorHAnsi" w:cstheme="minorHAnsi"/>
          <w:sz w:val="22"/>
          <w:szCs w:val="22"/>
          <w:lang w:eastAsia="en-US"/>
        </w:rPr>
        <w:t>____________________</w:t>
      </w:r>
    </w:p>
    <w:p w14:paraId="0094C912" w14:textId="77777777" w:rsidR="008E33A0" w:rsidRPr="008E33A0" w:rsidRDefault="008E33A0" w:rsidP="008E33A0">
      <w:pPr>
        <w:autoSpaceDE w:val="0"/>
        <w:autoSpaceDN w:val="0"/>
        <w:adjustRightInd w:val="0"/>
        <w:jc w:val="both"/>
        <w:rPr>
          <w:rFonts w:asciiTheme="minorHAnsi" w:eastAsia="Calibri" w:hAnsiTheme="minorHAnsi" w:cstheme="minorHAnsi"/>
          <w:sz w:val="19"/>
          <w:szCs w:val="19"/>
          <w:lang w:eastAsia="en-US"/>
        </w:rPr>
      </w:pPr>
      <w:r w:rsidRPr="008E33A0">
        <w:rPr>
          <w:rFonts w:asciiTheme="minorHAnsi" w:eastAsia="Calibri" w:hAnsiTheme="minorHAnsi" w:cstheme="minorHAnsi"/>
          <w:sz w:val="14"/>
          <w:szCs w:val="14"/>
          <w:lang w:eastAsia="en-US"/>
        </w:rPr>
        <w:t xml:space="preserve">1 </w:t>
      </w:r>
      <w:r w:rsidRPr="008E33A0">
        <w:rPr>
          <w:rFonts w:asciiTheme="minorHAnsi" w:eastAsia="Calibri" w:hAnsiTheme="minorHAnsi" w:cstheme="minorHAnsi"/>
          <w:sz w:val="19"/>
          <w:szCs w:val="19"/>
          <w:lang w:eastAsia="en-US"/>
        </w:rPr>
        <w:t>Such Sector Members shall not be subsidiaries of a multinational corporation whose executive headquarters is based in a developed country, and shall be limited to Sector Members which are from developing countries classified by the United Nations Development Programme as low-income countries with an annual per capita income not exceeding USD 2 000 and which have not yet joined either or both Sectors.</w:t>
      </w:r>
    </w:p>
    <w:p w14:paraId="66F270DB" w14:textId="77777777" w:rsidR="008E33A0" w:rsidRPr="008E33A0" w:rsidRDefault="008E33A0" w:rsidP="008E33A0">
      <w:pPr>
        <w:autoSpaceDE w:val="0"/>
        <w:autoSpaceDN w:val="0"/>
        <w:adjustRightInd w:val="0"/>
        <w:jc w:val="both"/>
        <w:rPr>
          <w:rFonts w:asciiTheme="minorHAnsi" w:eastAsia="Calibri" w:hAnsiTheme="minorHAnsi" w:cstheme="minorHAnsi"/>
          <w:sz w:val="22"/>
          <w:szCs w:val="22"/>
          <w:lang w:eastAsia="en-US"/>
        </w:rPr>
      </w:pPr>
      <w:r w:rsidRPr="008E33A0">
        <w:rPr>
          <w:rFonts w:asciiTheme="minorHAnsi" w:eastAsia="Calibri" w:hAnsiTheme="minorHAnsi" w:cstheme="minorHAnsi"/>
          <w:sz w:val="14"/>
          <w:szCs w:val="14"/>
          <w:lang w:eastAsia="en-US"/>
        </w:rPr>
        <w:t xml:space="preserve">2 </w:t>
      </w:r>
      <w:r w:rsidRPr="008E33A0">
        <w:rPr>
          <w:rFonts w:asciiTheme="minorHAnsi" w:eastAsia="Calibri" w:hAnsiTheme="minorHAnsi" w:cstheme="minorHAnsi"/>
          <w:sz w:val="19"/>
          <w:szCs w:val="19"/>
          <w:lang w:eastAsia="en-US"/>
        </w:rPr>
        <w:t>These include the least developed countries, small island developing states, landlocked developing countries and countries with economies in transition.</w:t>
      </w:r>
    </w:p>
    <w:p w14:paraId="67E7691B" w14:textId="77777777" w:rsidR="008E33A0" w:rsidRDefault="008E33A0" w:rsidP="00420AA9">
      <w:pPr>
        <w:jc w:val="both"/>
        <w:rPr>
          <w:b/>
        </w:rPr>
      </w:pPr>
    </w:p>
    <w:sectPr w:rsidR="008E33A0"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F7E2" w14:textId="77777777" w:rsidR="005905B9" w:rsidRDefault="005905B9" w:rsidP="003A0414">
      <w:r>
        <w:separator/>
      </w:r>
    </w:p>
  </w:endnote>
  <w:endnote w:type="continuationSeparator" w:id="0">
    <w:p w14:paraId="021BE60C" w14:textId="77777777" w:rsidR="005905B9" w:rsidRDefault="005905B9"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747C128C"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C232F1">
      <w:rPr>
        <w:lang w:val="en-GB"/>
      </w:rPr>
      <w:t>OUT-20</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11AA3" w14:textId="77777777" w:rsidR="005905B9" w:rsidRDefault="005905B9" w:rsidP="003A0414">
      <w:r>
        <w:separator/>
      </w:r>
    </w:p>
  </w:footnote>
  <w:footnote w:type="continuationSeparator" w:id="0">
    <w:p w14:paraId="50C7D630" w14:textId="77777777" w:rsidR="005905B9" w:rsidRDefault="005905B9" w:rsidP="003A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C4D59"/>
    <w:multiLevelType w:val="hybridMultilevel"/>
    <w:tmpl w:val="1A2A2FB0"/>
    <w:lvl w:ilvl="0" w:tplc="FE84BB46">
      <w:start w:val="1"/>
      <w:numFmt w:val="decimal"/>
      <w:lvlText w:val="%1."/>
      <w:lvlJc w:val="left"/>
      <w:pPr>
        <w:tabs>
          <w:tab w:val="num" w:pos="720"/>
        </w:tabs>
        <w:ind w:left="720" w:hanging="360"/>
      </w:pPr>
    </w:lvl>
    <w:lvl w:ilvl="1" w:tplc="11180A34">
      <w:start w:val="1"/>
      <w:numFmt w:val="decimal"/>
      <w:lvlText w:val="%2."/>
      <w:lvlJc w:val="left"/>
      <w:pPr>
        <w:tabs>
          <w:tab w:val="num" w:pos="1440"/>
        </w:tabs>
        <w:ind w:left="1440" w:hanging="360"/>
      </w:pPr>
    </w:lvl>
    <w:lvl w:ilvl="2" w:tplc="B6708F52">
      <w:start w:val="1"/>
      <w:numFmt w:val="decimal"/>
      <w:lvlText w:val="%3."/>
      <w:lvlJc w:val="left"/>
      <w:pPr>
        <w:tabs>
          <w:tab w:val="num" w:pos="2160"/>
        </w:tabs>
        <w:ind w:left="2160" w:hanging="360"/>
      </w:pPr>
    </w:lvl>
    <w:lvl w:ilvl="3" w:tplc="C2363036">
      <w:start w:val="1"/>
      <w:numFmt w:val="decimal"/>
      <w:lvlText w:val="%4."/>
      <w:lvlJc w:val="left"/>
      <w:pPr>
        <w:tabs>
          <w:tab w:val="num" w:pos="2880"/>
        </w:tabs>
        <w:ind w:left="2880" w:hanging="360"/>
      </w:pPr>
    </w:lvl>
    <w:lvl w:ilvl="4" w:tplc="090A02E0">
      <w:start w:val="1"/>
      <w:numFmt w:val="decimal"/>
      <w:lvlText w:val="%5."/>
      <w:lvlJc w:val="left"/>
      <w:pPr>
        <w:tabs>
          <w:tab w:val="num" w:pos="3600"/>
        </w:tabs>
        <w:ind w:left="3600" w:hanging="360"/>
      </w:pPr>
    </w:lvl>
    <w:lvl w:ilvl="5" w:tplc="B02E66E0">
      <w:start w:val="1"/>
      <w:numFmt w:val="decimal"/>
      <w:lvlText w:val="%6."/>
      <w:lvlJc w:val="left"/>
      <w:pPr>
        <w:tabs>
          <w:tab w:val="num" w:pos="4320"/>
        </w:tabs>
        <w:ind w:left="4320" w:hanging="360"/>
      </w:pPr>
    </w:lvl>
    <w:lvl w:ilvl="6" w:tplc="12387406">
      <w:start w:val="1"/>
      <w:numFmt w:val="decimal"/>
      <w:lvlText w:val="%7."/>
      <w:lvlJc w:val="left"/>
      <w:pPr>
        <w:tabs>
          <w:tab w:val="num" w:pos="5040"/>
        </w:tabs>
        <w:ind w:left="5040" w:hanging="360"/>
      </w:pPr>
    </w:lvl>
    <w:lvl w:ilvl="7" w:tplc="9372EC54">
      <w:start w:val="1"/>
      <w:numFmt w:val="decimal"/>
      <w:lvlText w:val="%8."/>
      <w:lvlJc w:val="left"/>
      <w:pPr>
        <w:tabs>
          <w:tab w:val="num" w:pos="5760"/>
        </w:tabs>
        <w:ind w:left="5760" w:hanging="360"/>
      </w:pPr>
    </w:lvl>
    <w:lvl w:ilvl="8" w:tplc="0C58116A">
      <w:start w:val="1"/>
      <w:numFmt w:val="decimal"/>
      <w:lvlText w:val="%9."/>
      <w:lvlJc w:val="left"/>
      <w:pPr>
        <w:tabs>
          <w:tab w:val="num" w:pos="6480"/>
        </w:tabs>
        <w:ind w:left="6480" w:hanging="360"/>
      </w:pPr>
    </w:lvl>
  </w:abstractNum>
  <w:abstractNum w:abstractNumId="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5166224">
    <w:abstractNumId w:val="1"/>
  </w:num>
  <w:num w:numId="2" w16cid:durableId="13400418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SHAKYA">
    <w15:presenceInfo w15:providerId="None" w15:userId="R.SHAKYA"/>
  </w15:person>
  <w15:person w15:author="YGSC Kishore Babu">
    <w15:presenceInfo w15:providerId="Windows Live" w15:userId="9f9ef65b1b206a36"/>
  </w15:person>
  <w15:person w15:author="acer">
    <w15:presenceInfo w15:providerId="Windows Live" w15:userId="9f9ef65b1b206a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QUAoaZqSywAAAA="/>
  </w:docVars>
  <w:rsids>
    <w:rsidRoot w:val="00AD2F26"/>
    <w:rsid w:val="0003778A"/>
    <w:rsid w:val="00057925"/>
    <w:rsid w:val="000975AE"/>
    <w:rsid w:val="00133302"/>
    <w:rsid w:val="00154DF3"/>
    <w:rsid w:val="002524BA"/>
    <w:rsid w:val="0026595F"/>
    <w:rsid w:val="002B628C"/>
    <w:rsid w:val="002C4C6E"/>
    <w:rsid w:val="002E7404"/>
    <w:rsid w:val="003363CF"/>
    <w:rsid w:val="00341FC9"/>
    <w:rsid w:val="00347451"/>
    <w:rsid w:val="00383EDB"/>
    <w:rsid w:val="003A0414"/>
    <w:rsid w:val="003A14AD"/>
    <w:rsid w:val="003F14CA"/>
    <w:rsid w:val="00420AA9"/>
    <w:rsid w:val="00422505"/>
    <w:rsid w:val="00425800"/>
    <w:rsid w:val="00450452"/>
    <w:rsid w:val="004A3292"/>
    <w:rsid w:val="004A6CF8"/>
    <w:rsid w:val="004F24F4"/>
    <w:rsid w:val="00520663"/>
    <w:rsid w:val="00534EC0"/>
    <w:rsid w:val="0055081D"/>
    <w:rsid w:val="00565069"/>
    <w:rsid w:val="005905B9"/>
    <w:rsid w:val="00597B0F"/>
    <w:rsid w:val="005A1FA2"/>
    <w:rsid w:val="005F3200"/>
    <w:rsid w:val="00617508"/>
    <w:rsid w:val="00685535"/>
    <w:rsid w:val="00685A08"/>
    <w:rsid w:val="00685C97"/>
    <w:rsid w:val="006A6EC5"/>
    <w:rsid w:val="006B3268"/>
    <w:rsid w:val="006B4D42"/>
    <w:rsid w:val="006E3C98"/>
    <w:rsid w:val="00732C67"/>
    <w:rsid w:val="0078146D"/>
    <w:rsid w:val="007920C0"/>
    <w:rsid w:val="007A2E4C"/>
    <w:rsid w:val="00800847"/>
    <w:rsid w:val="00814C55"/>
    <w:rsid w:val="008438A0"/>
    <w:rsid w:val="00853000"/>
    <w:rsid w:val="00873BFA"/>
    <w:rsid w:val="008872D4"/>
    <w:rsid w:val="008E33A0"/>
    <w:rsid w:val="0090702B"/>
    <w:rsid w:val="00941632"/>
    <w:rsid w:val="00950BA4"/>
    <w:rsid w:val="00966899"/>
    <w:rsid w:val="0098418B"/>
    <w:rsid w:val="009A44CC"/>
    <w:rsid w:val="009E4E18"/>
    <w:rsid w:val="00A72D9A"/>
    <w:rsid w:val="00A75516"/>
    <w:rsid w:val="00A776D0"/>
    <w:rsid w:val="00AD2F26"/>
    <w:rsid w:val="00B017E8"/>
    <w:rsid w:val="00B04778"/>
    <w:rsid w:val="00B1556C"/>
    <w:rsid w:val="00B215E1"/>
    <w:rsid w:val="00B32C5A"/>
    <w:rsid w:val="00B55072"/>
    <w:rsid w:val="00B614D6"/>
    <w:rsid w:val="00B664D1"/>
    <w:rsid w:val="00B95A06"/>
    <w:rsid w:val="00BB2A04"/>
    <w:rsid w:val="00C232F1"/>
    <w:rsid w:val="00C814CB"/>
    <w:rsid w:val="00CA1EC5"/>
    <w:rsid w:val="00CA6990"/>
    <w:rsid w:val="00CB3877"/>
    <w:rsid w:val="00CE0108"/>
    <w:rsid w:val="00D14A3A"/>
    <w:rsid w:val="00D14DA8"/>
    <w:rsid w:val="00D61084"/>
    <w:rsid w:val="00DC4262"/>
    <w:rsid w:val="00DE5D9E"/>
    <w:rsid w:val="00DF10DB"/>
    <w:rsid w:val="00DF72BF"/>
    <w:rsid w:val="00EA2379"/>
    <w:rsid w:val="00EA5715"/>
    <w:rsid w:val="00ED2D69"/>
    <w:rsid w:val="00F418AA"/>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Revision">
    <w:name w:val="Revision"/>
    <w:hidden/>
    <w:uiPriority w:val="99"/>
    <w:semiHidden/>
    <w:rsid w:val="002B628C"/>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7</cp:revision>
  <dcterms:created xsi:type="dcterms:W3CDTF">2022-08-05T05:03:00Z</dcterms:created>
  <dcterms:modified xsi:type="dcterms:W3CDTF">2022-08-07T13:48:00Z</dcterms:modified>
</cp:coreProperties>
</file>