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val="en-AU" w:eastAsia="en-AU"/>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roofErr w:type="gramStart"/>
            <w:r w:rsidRPr="00A83DDE">
              <w:rPr>
                <w:rFonts w:eastAsia="BatangChe"/>
                <w:b/>
                <w:lang w:val="fr-FR" w:eastAsia="en-US"/>
              </w:rPr>
              <w:t>.:</w:t>
            </w:r>
            <w:proofErr w:type="gramEnd"/>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025D55BB" w14:textId="77777777" w:rsidR="006E3C98" w:rsidRDefault="006B4D42" w:rsidP="00DB0088">
            <w:pPr>
              <w:rPr>
                <w:rFonts w:eastAsia="BatangChe"/>
                <w:b/>
                <w:lang w:eastAsia="en-US"/>
              </w:rPr>
            </w:pPr>
            <w:r w:rsidRPr="00A83DDE">
              <w:rPr>
                <w:rFonts w:eastAsia="BatangChe"/>
                <w:b/>
                <w:lang w:eastAsia="en-US"/>
              </w:rPr>
              <w:t xml:space="preserve">The </w:t>
            </w:r>
            <w:r w:rsidR="006E3C98">
              <w:rPr>
                <w:rFonts w:eastAsia="BatangChe"/>
                <w:b/>
                <w:lang w:eastAsia="en-US"/>
              </w:rPr>
              <w:t>4th</w:t>
            </w:r>
            <w:r w:rsidRPr="00A83DDE">
              <w:rPr>
                <w:rFonts w:eastAsia="BatangChe"/>
                <w:b/>
                <w:lang w:eastAsia="en-US"/>
              </w:rPr>
              <w:t xml:space="preserve"> Meeting of the APT Preparatory Group </w:t>
            </w:r>
          </w:p>
          <w:p w14:paraId="2E064207" w14:textId="07A93B87" w:rsidR="006B4D42" w:rsidRPr="00A83DDE" w:rsidRDefault="006B4D42" w:rsidP="00DB0088">
            <w:pPr>
              <w:rPr>
                <w:rFonts w:eastAsia="BatangChe"/>
                <w:lang w:eastAsia="en-US"/>
              </w:rPr>
            </w:pPr>
            <w:r w:rsidRPr="00A83DDE">
              <w:rPr>
                <w:rFonts w:eastAsia="BatangChe"/>
                <w:b/>
                <w:lang w:eastAsia="en-US"/>
              </w:rPr>
              <w:t>for PP-22 (APT PP22</w:t>
            </w:r>
            <w:r w:rsidR="00534EC0">
              <w:rPr>
                <w:rFonts w:eastAsia="BatangChe"/>
                <w:b/>
                <w:lang w:eastAsia="en-US"/>
              </w:rPr>
              <w:t>-</w:t>
            </w:r>
            <w:r w:rsidR="006E3C98">
              <w:rPr>
                <w:rFonts w:eastAsia="BatangChe"/>
                <w:b/>
                <w:lang w:eastAsia="en-US"/>
              </w:rPr>
              <w:t>4</w:t>
            </w:r>
            <w:r w:rsidRPr="00A83DDE">
              <w:rPr>
                <w:rFonts w:eastAsia="BatangChe"/>
                <w:b/>
                <w:lang w:eastAsia="en-US"/>
              </w:rPr>
              <w:t>)</w:t>
            </w:r>
          </w:p>
        </w:tc>
        <w:tc>
          <w:tcPr>
            <w:tcW w:w="2448" w:type="dxa"/>
            <w:hideMark/>
          </w:tcPr>
          <w:p w14:paraId="411FC6C2" w14:textId="3FC28AA2"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6E3C98">
              <w:rPr>
                <w:rFonts w:eastAsia="BatangChe"/>
                <w:b/>
                <w:bCs/>
                <w:lang w:val="en-GB" w:eastAsia="en-US"/>
              </w:rPr>
              <w:t>4</w:t>
            </w:r>
            <w:r w:rsidRPr="00A83DDE">
              <w:rPr>
                <w:rFonts w:eastAsia="BatangChe"/>
                <w:b/>
                <w:bCs/>
                <w:lang w:val="en-GB" w:eastAsia="en-US"/>
              </w:rPr>
              <w:t>/</w:t>
            </w:r>
            <w:r w:rsidR="009C339B">
              <w:rPr>
                <w:rFonts w:eastAsia="BatangChe"/>
                <w:b/>
                <w:bCs/>
                <w:lang w:val="en-GB" w:eastAsia="en-US"/>
              </w:rPr>
              <w:t>OUT-12</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755C1F70" w:rsidR="006B4D42" w:rsidRPr="00A83DDE" w:rsidRDefault="006E3C98" w:rsidP="00DB0088">
            <w:pPr>
              <w:rPr>
                <w:rFonts w:eastAsia="BatangChe"/>
                <w:lang w:eastAsia="en-US"/>
              </w:rPr>
            </w:pPr>
            <w:r>
              <w:rPr>
                <w:rFonts w:eastAsia="BatangChe"/>
                <w:lang w:eastAsia="en-US"/>
              </w:rPr>
              <w:t>1-5 August</w:t>
            </w:r>
            <w:r w:rsidR="006B4D42" w:rsidRPr="00A83DDE">
              <w:rPr>
                <w:rFonts w:eastAsia="BatangChe"/>
                <w:lang w:eastAsia="en-US"/>
              </w:rPr>
              <w:t xml:space="preserve"> 2022, </w:t>
            </w:r>
            <w:r>
              <w:rPr>
                <w:rFonts w:eastAsia="BatangChe"/>
                <w:lang w:eastAsia="en-US"/>
              </w:rPr>
              <w:t>Bangkok, Thailand</w:t>
            </w:r>
          </w:p>
        </w:tc>
        <w:tc>
          <w:tcPr>
            <w:tcW w:w="2448" w:type="dxa"/>
            <w:hideMark/>
          </w:tcPr>
          <w:p w14:paraId="31051462" w14:textId="6E418DC1" w:rsidR="006B4D42" w:rsidRPr="00A83DDE" w:rsidRDefault="009C339B" w:rsidP="00DB0088">
            <w:pPr>
              <w:rPr>
                <w:rFonts w:eastAsia="BatangChe"/>
                <w:bCs/>
                <w:lang w:eastAsia="en-US"/>
              </w:rPr>
            </w:pPr>
            <w:r>
              <w:rPr>
                <w:rFonts w:eastAsia="BatangChe"/>
                <w:bCs/>
                <w:lang w:eastAsia="en-US"/>
              </w:rPr>
              <w:t>5</w:t>
            </w:r>
            <w:r w:rsidR="006B4D42" w:rsidRPr="00A83DDE">
              <w:rPr>
                <w:rFonts w:eastAsia="BatangChe"/>
                <w:bCs/>
                <w:lang w:eastAsia="en-US"/>
              </w:rPr>
              <w:t xml:space="preserve"> </w:t>
            </w:r>
            <w:r w:rsidR="006E3C98">
              <w:rPr>
                <w:rFonts w:eastAsia="BatangChe"/>
                <w:bCs/>
                <w:lang w:eastAsia="en-US"/>
              </w:rPr>
              <w:t>August</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2CD06300" w14:textId="4B6B9D5C" w:rsidR="00B017E8" w:rsidRDefault="00C00C24" w:rsidP="00B017E8">
      <w:pPr>
        <w:jc w:val="center"/>
      </w:pPr>
      <w:r w:rsidRPr="00C00C24">
        <w:t>APT Preparatory Group for ITU Plenipotentiary Conference 2022</w:t>
      </w:r>
    </w:p>
    <w:p w14:paraId="22DC49F8" w14:textId="77777777" w:rsidR="006B340D" w:rsidRDefault="006B340D" w:rsidP="00B017E8">
      <w:pPr>
        <w:jc w:val="center"/>
        <w:rPr>
          <w:b/>
        </w:rPr>
      </w:pPr>
      <w:r>
        <w:rPr>
          <w:b/>
        </w:rPr>
        <w:t>PRELIMINARY APT COMMON PROPOSAL</w:t>
      </w:r>
    </w:p>
    <w:p w14:paraId="5FADF5BF" w14:textId="77777777" w:rsidR="006B340D" w:rsidRDefault="006B340D" w:rsidP="00B017E8">
      <w:pPr>
        <w:jc w:val="center"/>
        <w:rPr>
          <w:b/>
        </w:rPr>
      </w:pPr>
    </w:p>
    <w:p w14:paraId="169C175F" w14:textId="780E8269" w:rsidR="00A23852" w:rsidRDefault="006B340D" w:rsidP="00B017E8">
      <w:pPr>
        <w:jc w:val="center"/>
        <w:rPr>
          <w:b/>
        </w:rPr>
      </w:pPr>
      <w:r>
        <w:rPr>
          <w:b/>
        </w:rPr>
        <w:t>NEW RESOLUTION</w:t>
      </w:r>
    </w:p>
    <w:p w14:paraId="5172CDD7" w14:textId="442CF9CF" w:rsidR="00B017E8" w:rsidRPr="00B32C5A" w:rsidRDefault="00C00C24" w:rsidP="00B017E8">
      <w:pPr>
        <w:jc w:val="center"/>
        <w:rPr>
          <w:b/>
        </w:rPr>
      </w:pPr>
      <w:r>
        <w:rPr>
          <w:rStyle w:val="ECCHLbold"/>
          <w:lang w:val="en-GB"/>
        </w:rPr>
        <w:t>I</w:t>
      </w:r>
      <w:r w:rsidRPr="00F91C72">
        <w:rPr>
          <w:rStyle w:val="ECCHLbold"/>
          <w:lang w:val="en-GB"/>
        </w:rPr>
        <w:t>nvocation</w:t>
      </w:r>
      <w:r w:rsidR="00A23852" w:rsidRPr="00F91C72">
        <w:rPr>
          <w:rStyle w:val="ECCHLbold"/>
          <w:lang w:val="en-GB"/>
        </w:rPr>
        <w:t xml:space="preserve"> of Article 48 of the ITU Constitution in relation to the Radio Regulations</w:t>
      </w:r>
    </w:p>
    <w:p w14:paraId="3C4F9EF3" w14:textId="77777777" w:rsidR="00FB29D1" w:rsidRPr="003F14CA" w:rsidRDefault="00FB29D1" w:rsidP="00B017E8">
      <w:pPr>
        <w:jc w:val="center"/>
      </w:pPr>
    </w:p>
    <w:tbl>
      <w:tblPr>
        <w:tblStyle w:val="TableGrid"/>
        <w:tblW w:w="9402" w:type="dxa"/>
        <w:tblLook w:val="04A0" w:firstRow="1" w:lastRow="0" w:firstColumn="1" w:lastColumn="0" w:noHBand="0" w:noVBand="1"/>
      </w:tblPr>
      <w:tblGrid>
        <w:gridCol w:w="9402"/>
      </w:tblGrid>
      <w:tr w:rsidR="00B04778" w:rsidRPr="003F14CA" w14:paraId="16E062DD" w14:textId="77777777" w:rsidTr="00487772">
        <w:trPr>
          <w:trHeight w:val="1427"/>
        </w:trPr>
        <w:tc>
          <w:tcPr>
            <w:tcW w:w="9402" w:type="dxa"/>
          </w:tcPr>
          <w:p w14:paraId="51DBBFB0" w14:textId="77777777" w:rsidR="003F14CA" w:rsidRDefault="00B04778" w:rsidP="00487772">
            <w:pPr>
              <w:spacing w:before="60"/>
              <w:rPr>
                <w:rFonts w:eastAsia="SimSun"/>
                <w:b/>
                <w:bCs/>
              </w:rPr>
            </w:pPr>
            <w:r w:rsidRPr="003F14CA">
              <w:rPr>
                <w:rFonts w:eastAsia="SimSun"/>
                <w:b/>
                <w:bCs/>
              </w:rPr>
              <w:t>Summary:</w:t>
            </w:r>
            <w:r w:rsidR="003F14CA">
              <w:rPr>
                <w:rFonts w:eastAsia="SimSun"/>
                <w:b/>
                <w:bCs/>
              </w:rPr>
              <w:t xml:space="preserve"> </w:t>
            </w:r>
          </w:p>
          <w:p w14:paraId="022D1738" w14:textId="2A8F08AA" w:rsidR="00B04778" w:rsidRPr="003F14CA" w:rsidRDefault="008E7D01" w:rsidP="00487772">
            <w:pPr>
              <w:spacing w:after="60"/>
              <w:jc w:val="both"/>
            </w:pPr>
            <w:r>
              <w:t>The World Radiocommunication Conference 2019 (WRC-19) referred to the 2022 Plenipotentiary Conference (PP-22) for guidance on the question of invocation of ITU Constitution (CS) Article </w:t>
            </w:r>
            <w:r w:rsidRPr="00184680">
              <w:rPr>
                <w:b/>
              </w:rPr>
              <w:t>48</w:t>
            </w:r>
            <w:r>
              <w:t xml:space="preserve"> in relation to the Radio Regulations </w:t>
            </w:r>
            <w:r w:rsidRPr="00CA43B8">
              <w:rPr>
                <w:iCs/>
                <w:lang w:eastAsia="zh-CN"/>
              </w:rPr>
              <w:t xml:space="preserve">with respect to </w:t>
            </w:r>
            <w:r w:rsidRPr="00CA43B8">
              <w:rPr>
                <w:iCs/>
                <w:lang w:val="en-CA" w:eastAsia="ar-SA"/>
              </w:rPr>
              <w:t>alleged cases of non-compliance that were presented to the Radio Regulations Board</w:t>
            </w:r>
            <w:r>
              <w:rPr>
                <w:iCs/>
                <w:lang w:val="en-CA" w:eastAsia="ar-SA"/>
              </w:rPr>
              <w:t xml:space="preserve"> (RRB)</w:t>
            </w:r>
            <w:r w:rsidR="0082170C">
              <w:rPr>
                <w:iCs/>
              </w:rPr>
              <w:t>.</w:t>
            </w:r>
          </w:p>
        </w:tc>
      </w:tr>
    </w:tbl>
    <w:p w14:paraId="04EBBA0D" w14:textId="77777777" w:rsidR="003F14CA" w:rsidRDefault="003F14CA" w:rsidP="003F14CA"/>
    <w:p w14:paraId="624D46CF" w14:textId="77777777" w:rsidR="00420AA9" w:rsidRDefault="00420AA9" w:rsidP="003F14CA">
      <w:pPr>
        <w:rPr>
          <w:b/>
          <w:bCs/>
        </w:rPr>
      </w:pPr>
      <w:r>
        <w:rPr>
          <w:b/>
          <w:bCs/>
        </w:rPr>
        <w:t>INTRODUCTION</w:t>
      </w:r>
    </w:p>
    <w:p w14:paraId="62851CAA" w14:textId="77777777" w:rsidR="00487772" w:rsidRDefault="00487772" w:rsidP="00487772">
      <w:pPr>
        <w:jc w:val="both"/>
        <w:rPr>
          <w:lang w:eastAsia="ar-SA"/>
        </w:rPr>
      </w:pPr>
      <w:r>
        <w:rPr>
          <w:lang w:eastAsia="ar-SA"/>
        </w:rPr>
        <w:t xml:space="preserve">CS </w:t>
      </w:r>
      <w:r w:rsidRPr="00FE281B">
        <w:rPr>
          <w:lang w:eastAsia="ar-SA"/>
        </w:rPr>
        <w:t xml:space="preserve">Article </w:t>
      </w:r>
      <w:r w:rsidRPr="00184680">
        <w:rPr>
          <w:b/>
          <w:lang w:eastAsia="ar-SA"/>
        </w:rPr>
        <w:t>48</w:t>
      </w:r>
      <w:r>
        <w:rPr>
          <w:lang w:eastAsia="ar-SA"/>
        </w:rPr>
        <w:t>, “</w:t>
      </w:r>
      <w:r>
        <w:t xml:space="preserve">Installations for National </w:t>
      </w:r>
      <w:proofErr w:type="spellStart"/>
      <w:r>
        <w:t>Defence</w:t>
      </w:r>
      <w:proofErr w:type="spellEnd"/>
      <w:r>
        <w:t xml:space="preserve"> Services”,</w:t>
      </w:r>
      <w:r w:rsidRPr="00FE281B">
        <w:rPr>
          <w:lang w:eastAsia="ar-SA"/>
        </w:rPr>
        <w:t xml:space="preserve"> </w:t>
      </w:r>
      <w:proofErr w:type="spellStart"/>
      <w:r w:rsidRPr="00FE281B">
        <w:rPr>
          <w:lang w:eastAsia="ar-SA"/>
        </w:rPr>
        <w:t>recognises</w:t>
      </w:r>
      <w:proofErr w:type="spellEnd"/>
      <w:r w:rsidRPr="00FE281B">
        <w:rPr>
          <w:lang w:eastAsia="ar-SA"/>
        </w:rPr>
        <w:t xml:space="preserve"> the right of </w:t>
      </w:r>
      <w:r>
        <w:rPr>
          <w:lang w:eastAsia="ar-SA"/>
        </w:rPr>
        <w:t>M</w:t>
      </w:r>
      <w:r w:rsidRPr="00FE281B">
        <w:rPr>
          <w:lang w:eastAsia="ar-SA"/>
        </w:rPr>
        <w:t xml:space="preserve">ember </w:t>
      </w:r>
      <w:r>
        <w:rPr>
          <w:lang w:eastAsia="ar-SA"/>
        </w:rPr>
        <w:t>S</w:t>
      </w:r>
      <w:r w:rsidRPr="00FE281B">
        <w:rPr>
          <w:lang w:eastAsia="ar-SA"/>
        </w:rPr>
        <w:t>tates with respect to military radio installations</w:t>
      </w:r>
      <w:r>
        <w:rPr>
          <w:lang w:eastAsia="ar-SA"/>
        </w:rPr>
        <w:t xml:space="preserve">. </w:t>
      </w:r>
      <w:r w:rsidRPr="00FE281B">
        <w:rPr>
          <w:lang w:eastAsia="ar-SA"/>
        </w:rPr>
        <w:t xml:space="preserve">It also encourages </w:t>
      </w:r>
      <w:r>
        <w:rPr>
          <w:lang w:eastAsia="ar-SA"/>
        </w:rPr>
        <w:t>M</w:t>
      </w:r>
      <w:r w:rsidRPr="00FE281B">
        <w:rPr>
          <w:lang w:eastAsia="ar-SA"/>
        </w:rPr>
        <w:t xml:space="preserve">ember </w:t>
      </w:r>
      <w:r>
        <w:rPr>
          <w:lang w:eastAsia="ar-SA"/>
        </w:rPr>
        <w:t>S</w:t>
      </w:r>
      <w:r w:rsidRPr="00FE281B">
        <w:rPr>
          <w:lang w:eastAsia="ar-SA"/>
        </w:rPr>
        <w:t xml:space="preserve">tates to observe the applicable statutory provisions </w:t>
      </w:r>
      <w:proofErr w:type="gramStart"/>
      <w:r w:rsidRPr="00FE281B">
        <w:rPr>
          <w:lang w:eastAsia="ar-SA"/>
        </w:rPr>
        <w:t>in order to</w:t>
      </w:r>
      <w:proofErr w:type="gramEnd"/>
      <w:r w:rsidRPr="00FE281B">
        <w:rPr>
          <w:lang w:eastAsia="ar-SA"/>
        </w:rPr>
        <w:t xml:space="preserve"> </w:t>
      </w:r>
      <w:proofErr w:type="spellStart"/>
      <w:r w:rsidRPr="00FE281B">
        <w:rPr>
          <w:lang w:eastAsia="ar-SA"/>
        </w:rPr>
        <w:t>minimise</w:t>
      </w:r>
      <w:proofErr w:type="spellEnd"/>
      <w:r w:rsidRPr="00FE281B">
        <w:rPr>
          <w:lang w:eastAsia="ar-SA"/>
        </w:rPr>
        <w:t xml:space="preserve"> harmful interference</w:t>
      </w:r>
      <w:r>
        <w:rPr>
          <w:lang w:eastAsia="ar-SA"/>
        </w:rPr>
        <w:t>.</w:t>
      </w:r>
    </w:p>
    <w:p w14:paraId="27A9A224" w14:textId="77777777" w:rsidR="00487772" w:rsidRDefault="00487772" w:rsidP="00487772">
      <w:pPr>
        <w:jc w:val="both"/>
        <w:rPr>
          <w:lang w:eastAsia="ar-SA"/>
        </w:rPr>
      </w:pPr>
    </w:p>
    <w:p w14:paraId="1DE7D565" w14:textId="5144E949" w:rsidR="00487772" w:rsidRPr="005106C2" w:rsidRDefault="00487772" w:rsidP="00B73D09">
      <w:pPr>
        <w:jc w:val="both"/>
        <w:rPr>
          <w:i/>
        </w:rPr>
      </w:pPr>
      <w:r>
        <w:t>In November 2019, WRC-19 received a report (</w:t>
      </w:r>
      <w:hyperlink r:id="rId8" w:history="1">
        <w:r w:rsidRPr="006A5283">
          <w:rPr>
            <w:rStyle w:val="Hyperlink"/>
          </w:rPr>
          <w:t>WRC-19/15</w:t>
        </w:r>
      </w:hyperlink>
      <w:r>
        <w:t>) from the RRB</w:t>
      </w:r>
      <w:r w:rsidRPr="00791C3E">
        <w:t xml:space="preserve"> en</w:t>
      </w:r>
      <w:r>
        <w:t xml:space="preserve">titled </w:t>
      </w:r>
      <w:r w:rsidRPr="005106C2">
        <w:rPr>
          <w:i/>
        </w:rPr>
        <w:t xml:space="preserve">Report by the Radio Regulations Board on Resolution </w:t>
      </w:r>
      <w:r w:rsidRPr="00184680">
        <w:rPr>
          <w:b/>
          <w:i/>
        </w:rPr>
        <w:t>80 (Rev.WRC-07)</w:t>
      </w:r>
      <w:r w:rsidR="009726D4">
        <w:rPr>
          <w:i/>
          <w:iCs/>
          <w:lang w:val="en-CA" w:eastAsia="ar-SA"/>
        </w:rPr>
        <w:t>.</w:t>
      </w:r>
    </w:p>
    <w:p w14:paraId="61F24182" w14:textId="77777777" w:rsidR="00487772" w:rsidRDefault="00487772" w:rsidP="00487772">
      <w:pPr>
        <w:rPr>
          <w:i/>
        </w:rPr>
      </w:pPr>
    </w:p>
    <w:p w14:paraId="25C80373" w14:textId="77777777" w:rsidR="00487772" w:rsidRDefault="00487772" w:rsidP="00487772">
      <w:pPr>
        <w:jc w:val="both"/>
      </w:pPr>
      <w:r>
        <w:t>Several administrations submitted contributions to WRC-19 in</w:t>
      </w:r>
      <w:r w:rsidRPr="00E95042">
        <w:t xml:space="preserve"> response to the content of the </w:t>
      </w:r>
      <w:r>
        <w:t>RRB </w:t>
      </w:r>
      <w:r w:rsidRPr="00E95042">
        <w:t>Report</w:t>
      </w:r>
      <w:r>
        <w:t xml:space="preserve">. It was agreed by WRC-19 that guidance should be sought from the Plenipotentiary Conference as to the invocation of CS Article </w:t>
      </w:r>
      <w:r w:rsidRPr="00E87526">
        <w:rPr>
          <w:b/>
        </w:rPr>
        <w:t>48</w:t>
      </w:r>
      <w:r>
        <w:t>.</w:t>
      </w:r>
    </w:p>
    <w:p w14:paraId="053929D9" w14:textId="77777777" w:rsidR="00487772" w:rsidRDefault="00487772" w:rsidP="00487772">
      <w:pPr>
        <w:jc w:val="both"/>
      </w:pPr>
    </w:p>
    <w:p w14:paraId="7D071FDA" w14:textId="77777777" w:rsidR="00487772" w:rsidRDefault="00487772" w:rsidP="00487772">
      <w:pPr>
        <w:jc w:val="both"/>
      </w:pPr>
      <w:r>
        <w:rPr>
          <w:iCs/>
          <w:lang w:val="en-CA"/>
        </w:rPr>
        <w:t>As such, PP-22</w:t>
      </w:r>
      <w:r w:rsidRPr="00CA43B8">
        <w:rPr>
          <w:iCs/>
          <w:lang w:val="en-CA"/>
        </w:rPr>
        <w:t xml:space="preserve">, in accordance with Article </w:t>
      </w:r>
      <w:r w:rsidRPr="00184680">
        <w:rPr>
          <w:b/>
          <w:lang w:val="en-CA"/>
        </w:rPr>
        <w:t>21</w:t>
      </w:r>
      <w:r w:rsidRPr="00CA43B8">
        <w:rPr>
          <w:iCs/>
          <w:lang w:val="en-CA"/>
        </w:rPr>
        <w:t xml:space="preserve"> of the ITU Convention, was invited to consider the question of invocation of CS Article </w:t>
      </w:r>
      <w:r w:rsidRPr="00184680">
        <w:rPr>
          <w:b/>
          <w:lang w:val="en-CA"/>
        </w:rPr>
        <w:t>48</w:t>
      </w:r>
      <w:r w:rsidRPr="00CA43B8">
        <w:rPr>
          <w:iCs/>
          <w:lang w:val="en-CA"/>
        </w:rPr>
        <w:t xml:space="preserve"> in relation to the </w:t>
      </w:r>
      <w:r>
        <w:rPr>
          <w:iCs/>
          <w:lang w:val="en-CA"/>
        </w:rPr>
        <w:t>Radio Regulations raised at WRC</w:t>
      </w:r>
      <w:r>
        <w:rPr>
          <w:iCs/>
          <w:lang w:val="en-CA"/>
        </w:rPr>
        <w:noBreakHyphen/>
      </w:r>
      <w:r w:rsidRPr="00CA43B8">
        <w:rPr>
          <w:iCs/>
          <w:lang w:val="en-CA"/>
        </w:rPr>
        <w:t xml:space="preserve">19 and take necessary actions, as appropriate </w:t>
      </w:r>
      <w:r>
        <w:t>(</w:t>
      </w:r>
      <w:hyperlink r:id="rId9" w:history="1">
        <w:r w:rsidRPr="00DA32D8">
          <w:rPr>
            <w:rStyle w:val="Hyperlink"/>
          </w:rPr>
          <w:t>WRC-19/569</w:t>
        </w:r>
      </w:hyperlink>
      <w:r>
        <w:t xml:space="preserve"> section 3.8 refers).</w:t>
      </w:r>
    </w:p>
    <w:p w14:paraId="675FC25D" w14:textId="77777777" w:rsidR="00420AA9" w:rsidRDefault="00420AA9" w:rsidP="003F14CA">
      <w:pPr>
        <w:rPr>
          <w:b/>
          <w:bCs/>
        </w:rPr>
      </w:pPr>
    </w:p>
    <w:p w14:paraId="5FB046D8" w14:textId="77777777" w:rsidR="00B04778" w:rsidRPr="003F14CA" w:rsidRDefault="003F14CA" w:rsidP="003F14CA">
      <w:pPr>
        <w:rPr>
          <w:b/>
          <w:bCs/>
        </w:rPr>
      </w:pPr>
      <w:r>
        <w:rPr>
          <w:b/>
          <w:bCs/>
        </w:rPr>
        <w:t>PROPOSAL</w:t>
      </w:r>
    </w:p>
    <w:p w14:paraId="25214D1C" w14:textId="373BC243" w:rsidR="00B32C5A" w:rsidRDefault="00420AA9" w:rsidP="005D59AE">
      <w:pPr>
        <w:jc w:val="both"/>
      </w:pPr>
      <w:r>
        <w:t>APT Member Administration</w:t>
      </w:r>
      <w:r w:rsidR="0082170C">
        <w:t>s</w:t>
      </w:r>
      <w:r>
        <w:t xml:space="preserve"> propose </w:t>
      </w:r>
      <w:r w:rsidR="0082170C">
        <w:t>a new PP-22 Resolution instructing the World Radiocommunication Conference 2023 (WRC-23) to develop a mechanism to ensure that the compliance and obligations of Member States are fully met to prevent misuse of CS</w:t>
      </w:r>
      <w:r w:rsidR="00AB6C57">
        <w:t> </w:t>
      </w:r>
      <w:r w:rsidR="0082170C">
        <w:t>Article</w:t>
      </w:r>
      <w:r w:rsidR="00AB6C57">
        <w:t> </w:t>
      </w:r>
      <w:r w:rsidR="0082170C" w:rsidRPr="00AB6C57">
        <w:rPr>
          <w:b/>
          <w:bCs/>
        </w:rPr>
        <w:t>48</w:t>
      </w:r>
      <w:r w:rsidR="0082170C">
        <w:t xml:space="preserve">, and to identify potential actions, if any, that the Radiocommunication Bureau, in consultation </w:t>
      </w:r>
      <w:r w:rsidR="005D7068">
        <w:t xml:space="preserve">with </w:t>
      </w:r>
      <w:r w:rsidR="0082170C">
        <w:t xml:space="preserve">and approval </w:t>
      </w:r>
      <w:r w:rsidR="00AB6C57">
        <w:t>from</w:t>
      </w:r>
      <w:r w:rsidR="0082170C">
        <w:t xml:space="preserve"> the Radio Regulations Board, may take in the event that CS Article </w:t>
      </w:r>
      <w:r w:rsidR="0082170C" w:rsidRPr="00E40C38">
        <w:rPr>
          <w:b/>
          <w:bCs/>
        </w:rPr>
        <w:t>48</w:t>
      </w:r>
      <w:r w:rsidR="0082170C">
        <w:t xml:space="preserve"> has been misused.</w:t>
      </w:r>
      <w:r w:rsidR="0082170C" w:rsidRPr="0082170C">
        <w:t xml:space="preserve"> </w:t>
      </w:r>
      <w:r w:rsidR="0082170C">
        <w:t xml:space="preserve">WRC-23 should report back to the Plenipotentiary </w:t>
      </w:r>
      <w:r w:rsidR="00AB6C57">
        <w:t>C</w:t>
      </w:r>
      <w:r w:rsidR="0082170C">
        <w:t>onference 2026 o</w:t>
      </w:r>
      <w:r w:rsidR="005D7068">
        <w:t>n</w:t>
      </w:r>
      <w:r w:rsidR="0082170C">
        <w:t xml:space="preserve"> actions being taken for its review, and any other required actions as appropriate.</w:t>
      </w:r>
    </w:p>
    <w:p w14:paraId="585E5E12" w14:textId="77777777" w:rsidR="00962F7B" w:rsidRDefault="00962F7B" w:rsidP="00617508">
      <w:pPr>
        <w:rPr>
          <w:b/>
        </w:rPr>
      </w:pPr>
    </w:p>
    <w:p w14:paraId="0A8CF299" w14:textId="77777777" w:rsidR="00B73D09" w:rsidRDefault="00B73D09">
      <w:pPr>
        <w:rPr>
          <w:b/>
        </w:rPr>
      </w:pPr>
      <w:r>
        <w:rPr>
          <w:b/>
        </w:rPr>
        <w:br w:type="page"/>
      </w:r>
    </w:p>
    <w:p w14:paraId="53231B13" w14:textId="4CAE924D" w:rsidR="00133302" w:rsidRPr="00420AA9" w:rsidRDefault="00420AA9" w:rsidP="00617508">
      <w:pPr>
        <w:rPr>
          <w:b/>
        </w:rPr>
      </w:pPr>
      <w:r w:rsidRPr="00B73D09">
        <w:rPr>
          <w:b/>
        </w:rPr>
        <w:lastRenderedPageBreak/>
        <w:t>PACP</w:t>
      </w:r>
      <w:r w:rsidR="00B73D09">
        <w:rPr>
          <w:b/>
        </w:rPr>
        <w:t>-</w:t>
      </w:r>
      <w:r w:rsidR="00C504CE">
        <w:rPr>
          <w:b/>
        </w:rPr>
        <w:t>23</w:t>
      </w:r>
    </w:p>
    <w:p w14:paraId="04D291B4" w14:textId="41353FEF" w:rsidR="00420AA9" w:rsidRPr="00420AA9" w:rsidRDefault="00772B08" w:rsidP="00617508">
      <w:pPr>
        <w:rPr>
          <w:b/>
        </w:rPr>
      </w:pPr>
      <w:r>
        <w:rPr>
          <w:b/>
        </w:rPr>
        <w:t>ADD</w:t>
      </w:r>
    </w:p>
    <w:p w14:paraId="1D2C6C27" w14:textId="77777777" w:rsidR="00420AA9" w:rsidRDefault="00420AA9" w:rsidP="00420AA9">
      <w:pPr>
        <w:jc w:val="both"/>
        <w:rPr>
          <w:b/>
        </w:rPr>
      </w:pPr>
    </w:p>
    <w:p w14:paraId="4C3DCBC4" w14:textId="1F222763" w:rsidR="00420AA9" w:rsidRPr="00407508" w:rsidRDefault="00C00C24" w:rsidP="00420AA9">
      <w:pPr>
        <w:pStyle w:val="ResNo"/>
        <w:rPr>
          <w:rFonts w:ascii="Times New Roman" w:hAnsi="Times New Roman"/>
          <w:sz w:val="24"/>
          <w:szCs w:val="24"/>
        </w:rPr>
      </w:pPr>
      <w:r w:rsidRPr="00E937BE">
        <w:rPr>
          <w:rFonts w:ascii="Times New Roman" w:hAnsi="Times New Roman"/>
        </w:rPr>
        <w:t>DRAFT NEW</w:t>
      </w:r>
      <w:r w:rsidRPr="00A13A23">
        <w:rPr>
          <w:rFonts w:hAnsi="Times New Roman Bold"/>
        </w:rPr>
        <w:t xml:space="preserve"> </w:t>
      </w:r>
      <w:r w:rsidR="00420AA9" w:rsidRPr="00407508">
        <w:rPr>
          <w:rFonts w:ascii="Times New Roman" w:hAnsi="Times New Roman"/>
          <w:sz w:val="24"/>
          <w:szCs w:val="24"/>
        </w:rPr>
        <w:t xml:space="preserve">RESOLUTION </w:t>
      </w:r>
      <w:r>
        <w:rPr>
          <w:rFonts w:ascii="Times New Roman" w:hAnsi="Times New Roman"/>
          <w:sz w:val="24"/>
          <w:szCs w:val="24"/>
        </w:rPr>
        <w:t>(APT-BBB)</w:t>
      </w:r>
    </w:p>
    <w:p w14:paraId="185C7C85" w14:textId="423C46B4" w:rsidR="00772B08" w:rsidRPr="00F91C72" w:rsidRDefault="00772B08" w:rsidP="00772B08">
      <w:pPr>
        <w:pStyle w:val="Restitle"/>
        <w:rPr>
          <w:rFonts w:ascii="Times New Roman" w:hAnsi="Times New Roman"/>
          <w:b w:val="0"/>
          <w:sz w:val="24"/>
          <w:szCs w:val="24"/>
        </w:rPr>
      </w:pPr>
      <w:r w:rsidRPr="00772B08">
        <w:rPr>
          <w:rStyle w:val="ECCHLbold"/>
          <w:rFonts w:ascii="Times New Roman" w:eastAsia="SimSun" w:hAnsi="Times New Roman"/>
          <w:b/>
          <w:sz w:val="24"/>
          <w:szCs w:val="24"/>
          <w:lang w:val="en-GB" w:eastAsia="zh-CN"/>
        </w:rPr>
        <w:t>I</w:t>
      </w:r>
      <w:r w:rsidRPr="00F91C72">
        <w:rPr>
          <w:rStyle w:val="ECCHLbold"/>
          <w:rFonts w:ascii="Times New Roman" w:hAnsi="Times New Roman"/>
          <w:b/>
          <w:sz w:val="24"/>
          <w:szCs w:val="24"/>
          <w:lang w:val="en-GB"/>
        </w:rPr>
        <w:t>nvocation of Article 48 of the ITU Constitution in relation to the Radio Regulations</w:t>
      </w:r>
      <w:r w:rsidRPr="00F91C72">
        <w:rPr>
          <w:rFonts w:ascii="Times New Roman" w:hAnsi="Times New Roman"/>
          <w:b w:val="0"/>
          <w:sz w:val="24"/>
          <w:szCs w:val="24"/>
        </w:rPr>
        <w:t xml:space="preserve"> </w:t>
      </w:r>
    </w:p>
    <w:p w14:paraId="15BF44FA" w14:textId="2DE406CD" w:rsidR="00420AA9" w:rsidRPr="00C00C24" w:rsidRDefault="00420AA9" w:rsidP="00E40C38">
      <w:pPr>
        <w:pStyle w:val="Normalaftertitle"/>
        <w:rPr>
          <w:rFonts w:ascii="Times New Roman" w:hAnsi="Times New Roman"/>
          <w:szCs w:val="24"/>
        </w:rPr>
      </w:pPr>
      <w:r w:rsidRPr="00C00C24">
        <w:rPr>
          <w:rFonts w:ascii="Times New Roman" w:hAnsi="Times New Roman"/>
          <w:szCs w:val="24"/>
        </w:rPr>
        <w:t>The Plenipotentiary Conference of the International Telecommunication Union (</w:t>
      </w:r>
      <w:r w:rsidR="005A1FA2" w:rsidRPr="00C00C24">
        <w:rPr>
          <w:rFonts w:ascii="Times New Roman" w:hAnsi="Times New Roman"/>
          <w:szCs w:val="24"/>
        </w:rPr>
        <w:t>Bucharest</w:t>
      </w:r>
      <w:r w:rsidRPr="00C00C24">
        <w:rPr>
          <w:rFonts w:ascii="Times New Roman" w:hAnsi="Times New Roman"/>
          <w:szCs w:val="24"/>
        </w:rPr>
        <w:t>, 20</w:t>
      </w:r>
      <w:r w:rsidR="005A1FA2" w:rsidRPr="00C00C24">
        <w:rPr>
          <w:rFonts w:ascii="Times New Roman" w:hAnsi="Times New Roman"/>
          <w:szCs w:val="24"/>
        </w:rPr>
        <w:t>22</w:t>
      </w:r>
      <w:r w:rsidRPr="00C00C24">
        <w:rPr>
          <w:rFonts w:ascii="Times New Roman" w:hAnsi="Times New Roman"/>
          <w:szCs w:val="24"/>
        </w:rPr>
        <w:t>),</w:t>
      </w:r>
    </w:p>
    <w:p w14:paraId="6C9E7DBB" w14:textId="174A6540" w:rsidR="00772B08" w:rsidRPr="00C00C24" w:rsidRDefault="00772B08" w:rsidP="00617508">
      <w:pPr>
        <w:rPr>
          <w:lang w:val="en-GB"/>
        </w:rPr>
      </w:pPr>
    </w:p>
    <w:p w14:paraId="5123ECA8" w14:textId="436AF24A" w:rsidR="00772B08" w:rsidRPr="00C00C24" w:rsidRDefault="00772B08" w:rsidP="00772B08">
      <w:pPr>
        <w:ind w:firstLine="567"/>
        <w:jc w:val="both"/>
        <w:rPr>
          <w:rStyle w:val="Emphasis"/>
        </w:rPr>
      </w:pPr>
      <w:r w:rsidRPr="00C00C24">
        <w:rPr>
          <w:rStyle w:val="Emphasis"/>
        </w:rPr>
        <w:t xml:space="preserve">recalling </w:t>
      </w:r>
    </w:p>
    <w:p w14:paraId="6A3ACE68" w14:textId="77777777" w:rsidR="00772B08" w:rsidRPr="00C00C24" w:rsidRDefault="00772B08" w:rsidP="00772B08">
      <w:pPr>
        <w:ind w:firstLine="567"/>
        <w:jc w:val="both"/>
        <w:rPr>
          <w:rStyle w:val="Emphasis"/>
        </w:rPr>
      </w:pPr>
    </w:p>
    <w:p w14:paraId="6D0D62C4" w14:textId="77777777" w:rsidR="00772B08" w:rsidRPr="00C00C24" w:rsidRDefault="00772B08" w:rsidP="00772B08">
      <w:pPr>
        <w:jc w:val="both"/>
      </w:pPr>
      <w:r w:rsidRPr="00C00C24">
        <w:t>a)</w:t>
      </w:r>
      <w:r w:rsidRPr="00C00C24">
        <w:tab/>
        <w:t xml:space="preserve">Article 6 of the ITU Constitution on Execution of the Instruments of the </w:t>
      </w:r>
      <w:proofErr w:type="gramStart"/>
      <w:r w:rsidRPr="00C00C24">
        <w:t>Union;</w:t>
      </w:r>
      <w:proofErr w:type="gramEnd"/>
    </w:p>
    <w:p w14:paraId="3592E420" w14:textId="77777777" w:rsidR="00772B08" w:rsidRPr="00C00C24" w:rsidRDefault="00772B08" w:rsidP="00772B08">
      <w:pPr>
        <w:jc w:val="both"/>
      </w:pPr>
    </w:p>
    <w:p w14:paraId="5F468141" w14:textId="1030129C" w:rsidR="00772B08" w:rsidRPr="00C00C24" w:rsidRDefault="00772B08" w:rsidP="00772B08">
      <w:pPr>
        <w:jc w:val="both"/>
      </w:pPr>
      <w:r w:rsidRPr="00C00C24">
        <w:t>b)</w:t>
      </w:r>
      <w:r w:rsidRPr="00C00C24">
        <w:tab/>
        <w:t xml:space="preserve">Article 44 of the ITU Constitution on the Use of the Radio-Frequency Spectrum and of the Geostationary-Satellite and Other Satellite </w:t>
      </w:r>
      <w:proofErr w:type="gramStart"/>
      <w:r w:rsidRPr="00C00C24">
        <w:t>Orbits;</w:t>
      </w:r>
      <w:proofErr w:type="gramEnd"/>
    </w:p>
    <w:p w14:paraId="2ED98E74" w14:textId="77777777" w:rsidR="00772B08" w:rsidRPr="00C00C24" w:rsidRDefault="00772B08" w:rsidP="00772B08">
      <w:pPr>
        <w:jc w:val="both"/>
      </w:pPr>
    </w:p>
    <w:p w14:paraId="6B3ACAEF" w14:textId="77777777" w:rsidR="00772B08" w:rsidRPr="00C00C24" w:rsidRDefault="00772B08" w:rsidP="00772B08">
      <w:pPr>
        <w:jc w:val="both"/>
      </w:pPr>
      <w:r w:rsidRPr="00C00C24">
        <w:t>c)</w:t>
      </w:r>
      <w:r w:rsidRPr="00C00C24">
        <w:tab/>
        <w:t xml:space="preserve">Article 45 of the ITU Constitution on Harmful </w:t>
      </w:r>
      <w:proofErr w:type="gramStart"/>
      <w:r w:rsidRPr="00C00C24">
        <w:t>Interference;</w:t>
      </w:r>
      <w:proofErr w:type="gramEnd"/>
      <w:r w:rsidRPr="00C00C24">
        <w:t xml:space="preserve"> </w:t>
      </w:r>
    </w:p>
    <w:p w14:paraId="49882803" w14:textId="77777777" w:rsidR="00772B08" w:rsidRPr="00C00C24" w:rsidRDefault="00772B08" w:rsidP="00772B08">
      <w:pPr>
        <w:jc w:val="both"/>
      </w:pPr>
    </w:p>
    <w:p w14:paraId="0773D83B" w14:textId="4BD33173" w:rsidR="00772B08" w:rsidRPr="00C00C24" w:rsidRDefault="00772B08" w:rsidP="00772B08">
      <w:pPr>
        <w:jc w:val="both"/>
      </w:pPr>
      <w:r w:rsidRPr="00C00C24">
        <w:t>d)</w:t>
      </w:r>
      <w:r w:rsidRPr="00C00C24">
        <w:tab/>
        <w:t xml:space="preserve">Article 48 of the ITU Constitution (on Installations for National </w:t>
      </w:r>
      <w:proofErr w:type="spellStart"/>
      <w:r w:rsidRPr="00C00C24">
        <w:t>Defence</w:t>
      </w:r>
      <w:proofErr w:type="spellEnd"/>
      <w:r w:rsidRPr="00C00C24">
        <w:t xml:space="preserve"> Services)</w:t>
      </w:r>
      <w:r w:rsidR="00E40C38" w:rsidRPr="00C00C24">
        <w:t>,</w:t>
      </w:r>
    </w:p>
    <w:p w14:paraId="44494624" w14:textId="4A14BD1A" w:rsidR="00772B08" w:rsidRPr="00C00C24" w:rsidRDefault="00772B08" w:rsidP="00617508">
      <w:pPr>
        <w:rPr>
          <w:lang w:val="en-GB"/>
        </w:rPr>
      </w:pPr>
    </w:p>
    <w:p w14:paraId="2FA5DD2C" w14:textId="77777777" w:rsidR="00772B08" w:rsidRPr="00C00C24" w:rsidRDefault="00772B08" w:rsidP="00772B08">
      <w:pPr>
        <w:ind w:firstLine="720"/>
        <w:jc w:val="both"/>
        <w:rPr>
          <w:i/>
          <w:iCs/>
        </w:rPr>
      </w:pPr>
      <w:r w:rsidRPr="00C00C24">
        <w:rPr>
          <w:i/>
          <w:iCs/>
        </w:rPr>
        <w:t>recognizing</w:t>
      </w:r>
    </w:p>
    <w:p w14:paraId="0922A9AB" w14:textId="77777777" w:rsidR="00772B08" w:rsidRPr="00C00C24" w:rsidRDefault="00772B08" w:rsidP="00772B08">
      <w:pPr>
        <w:ind w:firstLine="720"/>
        <w:jc w:val="both"/>
        <w:rPr>
          <w:i/>
          <w:iCs/>
        </w:rPr>
      </w:pPr>
    </w:p>
    <w:p w14:paraId="11D3BFF1" w14:textId="77777777" w:rsidR="00772B08" w:rsidRPr="00C00C24" w:rsidRDefault="00772B08" w:rsidP="00772B08">
      <w:pPr>
        <w:jc w:val="both"/>
      </w:pPr>
      <w:r w:rsidRPr="00C00C24">
        <w:t>a)</w:t>
      </w:r>
      <w:r w:rsidRPr="00C00C24">
        <w:tab/>
        <w:t>that CS Article 48 refers to “military radio installations</w:t>
      </w:r>
      <w:proofErr w:type="gramStart"/>
      <w:r w:rsidRPr="00C00C24">
        <w:t>”;</w:t>
      </w:r>
      <w:proofErr w:type="gramEnd"/>
    </w:p>
    <w:p w14:paraId="03774A95" w14:textId="77777777" w:rsidR="00772B08" w:rsidRPr="00C00C24" w:rsidRDefault="00772B08" w:rsidP="00772B08">
      <w:pPr>
        <w:jc w:val="both"/>
      </w:pPr>
    </w:p>
    <w:p w14:paraId="1274FB4A" w14:textId="77777777" w:rsidR="00772B08" w:rsidRPr="00C00C24" w:rsidRDefault="00772B08" w:rsidP="00772B08">
      <w:pPr>
        <w:jc w:val="both"/>
      </w:pPr>
      <w:r w:rsidRPr="00C00C24">
        <w:t>b)</w:t>
      </w:r>
      <w:r w:rsidRPr="00C00C24">
        <w:tab/>
        <w:t xml:space="preserve">Article 8 of the Radio Regulations on the Status of frequency assignments recorded in the Master International Frequency </w:t>
      </w:r>
      <w:proofErr w:type="gramStart"/>
      <w:r w:rsidRPr="00C00C24">
        <w:t>Register;</w:t>
      </w:r>
      <w:proofErr w:type="gramEnd"/>
    </w:p>
    <w:p w14:paraId="2CD91276" w14:textId="77777777" w:rsidR="00772B08" w:rsidRPr="00C00C24" w:rsidRDefault="00772B08" w:rsidP="00772B08">
      <w:pPr>
        <w:jc w:val="both"/>
      </w:pPr>
    </w:p>
    <w:p w14:paraId="1EA604C6" w14:textId="1F469310" w:rsidR="00772B08" w:rsidRPr="00C00C24" w:rsidRDefault="00772B08" w:rsidP="00772B08">
      <w:pPr>
        <w:jc w:val="both"/>
      </w:pPr>
      <w:r w:rsidRPr="00C00C24">
        <w:t>c)</w:t>
      </w:r>
      <w:r w:rsidRPr="00C00C24">
        <w:tab/>
        <w:t xml:space="preserve">Section II Article 13 of the Radio Regulations on the Maintenance of the Master Register and of World Plans by the Radiocommunication </w:t>
      </w:r>
      <w:proofErr w:type="gramStart"/>
      <w:r w:rsidRPr="00C00C24">
        <w:t>Bureau;</w:t>
      </w:r>
      <w:proofErr w:type="gramEnd"/>
    </w:p>
    <w:p w14:paraId="6211D37B" w14:textId="77777777" w:rsidR="00772B08" w:rsidRPr="00C00C24" w:rsidRDefault="00772B08" w:rsidP="00772B08">
      <w:pPr>
        <w:jc w:val="both"/>
      </w:pPr>
    </w:p>
    <w:p w14:paraId="2FC5BB6C" w14:textId="02AD8EE5" w:rsidR="00772B08" w:rsidRPr="00C00C24" w:rsidRDefault="00772B08" w:rsidP="00772B08">
      <w:pPr>
        <w:jc w:val="both"/>
      </w:pPr>
      <w:r w:rsidRPr="00C00C24">
        <w:t>d)</w:t>
      </w:r>
      <w:r w:rsidRPr="00C00C24">
        <w:tab/>
        <w:t xml:space="preserve">Resolution 80 (Rev.WRC-07) </w:t>
      </w:r>
      <w:r w:rsidRPr="00C00C24">
        <w:rPr>
          <w:i/>
        </w:rPr>
        <w:t xml:space="preserve">Due diligence in applying the principles embodied in the </w:t>
      </w:r>
      <w:proofErr w:type="gramStart"/>
      <w:r w:rsidRPr="00C00C24">
        <w:rPr>
          <w:i/>
        </w:rPr>
        <w:t>Constitution</w:t>
      </w:r>
      <w:r w:rsidRPr="00C00C24">
        <w:t>;</w:t>
      </w:r>
      <w:proofErr w:type="gramEnd"/>
    </w:p>
    <w:p w14:paraId="4A9D4123" w14:textId="502D988A" w:rsidR="00772B08" w:rsidRPr="00C00C24" w:rsidRDefault="00772B08" w:rsidP="008148FD">
      <w:pPr>
        <w:jc w:val="both"/>
        <w:rPr>
          <w:iCs/>
        </w:rPr>
      </w:pPr>
      <w:r w:rsidRPr="00C00C24">
        <w:br/>
      </w:r>
      <w:r w:rsidRPr="00C00C24">
        <w:rPr>
          <w:rStyle w:val="Emphasis"/>
          <w:i w:val="0"/>
          <w:iCs/>
        </w:rPr>
        <w:t xml:space="preserve">e) </w:t>
      </w:r>
      <w:r w:rsidRPr="00C00C24">
        <w:rPr>
          <w:rStyle w:val="Emphasis"/>
          <w:i w:val="0"/>
          <w:iCs/>
        </w:rPr>
        <w:tab/>
      </w:r>
      <w:r w:rsidRPr="00C00C24">
        <w:rPr>
          <w:iCs/>
        </w:rPr>
        <w:t>that CS Article 48 relates to both satellite and terrestrial frequency assignments</w:t>
      </w:r>
      <w:r w:rsidR="00E40C38" w:rsidRPr="00C00C24">
        <w:rPr>
          <w:iCs/>
        </w:rPr>
        <w:t>,</w:t>
      </w:r>
    </w:p>
    <w:p w14:paraId="6ECED8DD" w14:textId="77777777" w:rsidR="008148FD" w:rsidRPr="00C00C24" w:rsidRDefault="008148FD" w:rsidP="008148FD">
      <w:pPr>
        <w:spacing w:after="60"/>
        <w:jc w:val="both"/>
        <w:rPr>
          <w:i/>
          <w:iCs/>
        </w:rPr>
      </w:pPr>
    </w:p>
    <w:p w14:paraId="15526E23" w14:textId="4830D1EB" w:rsidR="008148FD" w:rsidRPr="00C00C24" w:rsidRDefault="00E40C38" w:rsidP="008148FD">
      <w:pPr>
        <w:ind w:firstLine="720"/>
        <w:jc w:val="both"/>
        <w:rPr>
          <w:i/>
          <w:iCs/>
        </w:rPr>
      </w:pPr>
      <w:r w:rsidRPr="00C00C24">
        <w:rPr>
          <w:i/>
          <w:iCs/>
        </w:rPr>
        <w:t>recognizing further</w:t>
      </w:r>
    </w:p>
    <w:p w14:paraId="13F1F5AC" w14:textId="77777777" w:rsidR="008148FD" w:rsidRPr="00C00C24" w:rsidRDefault="008148FD" w:rsidP="008148FD">
      <w:pPr>
        <w:ind w:firstLine="720"/>
        <w:jc w:val="both"/>
        <w:rPr>
          <w:i/>
          <w:iCs/>
        </w:rPr>
      </w:pPr>
    </w:p>
    <w:p w14:paraId="7CD68411" w14:textId="41EBD45C" w:rsidR="00E40C38" w:rsidRPr="00C00C24" w:rsidRDefault="00E40C38" w:rsidP="008148FD">
      <w:pPr>
        <w:ind w:firstLine="567"/>
      </w:pPr>
      <w:r w:rsidRPr="00C00C24">
        <w:t xml:space="preserve">that as per information on invocations of CS Article 48 with respect to the procedures of the Radio Regulations, provided by the Radiocommunication Bureau on 21 July 2022, a total of 26 administrations have submitted </w:t>
      </w:r>
      <w:r w:rsidR="008148FD" w:rsidRPr="00C00C24">
        <w:t xml:space="preserve">CS </w:t>
      </w:r>
      <w:r w:rsidRPr="00C00C24">
        <w:t>Article 48 invocations for 327 different satellite filings (323 GSO satellite networks at 140 different orbital positions, and 4 non-GSO satellite systems)</w:t>
      </w:r>
      <w:r w:rsidR="008148FD" w:rsidRPr="00C00C24">
        <w:t>,</w:t>
      </w:r>
    </w:p>
    <w:p w14:paraId="7D188DAD" w14:textId="77777777" w:rsidR="00E40C38" w:rsidRPr="00C00C24" w:rsidRDefault="00E40C38" w:rsidP="008148FD">
      <w:pPr>
        <w:jc w:val="both"/>
        <w:rPr>
          <w:rStyle w:val="Emphasis"/>
          <w:i w:val="0"/>
          <w:iCs/>
        </w:rPr>
      </w:pPr>
    </w:p>
    <w:p w14:paraId="41A72F72" w14:textId="70A8CA3B" w:rsidR="00772B08" w:rsidRPr="00C00C24" w:rsidRDefault="00772B08" w:rsidP="00772B08">
      <w:pPr>
        <w:ind w:firstLine="567"/>
        <w:jc w:val="both"/>
        <w:rPr>
          <w:rStyle w:val="Emphasis"/>
        </w:rPr>
      </w:pPr>
      <w:r w:rsidRPr="00C00C24">
        <w:rPr>
          <w:rStyle w:val="Emphasis"/>
        </w:rPr>
        <w:t>considering</w:t>
      </w:r>
    </w:p>
    <w:p w14:paraId="20CAA510" w14:textId="77777777" w:rsidR="00772B08" w:rsidRPr="00C00C24" w:rsidRDefault="00772B08" w:rsidP="00772B08">
      <w:pPr>
        <w:jc w:val="both"/>
      </w:pPr>
    </w:p>
    <w:p w14:paraId="192B0D4A" w14:textId="05F5647C" w:rsidR="00772B08" w:rsidRPr="00C00C24" w:rsidRDefault="00772B08" w:rsidP="00772B08">
      <w:pPr>
        <w:jc w:val="both"/>
        <w:rPr>
          <w:lang w:val="en-GB"/>
        </w:rPr>
      </w:pPr>
      <w:r w:rsidRPr="00C00C24">
        <w:t>a)</w:t>
      </w:r>
      <w:r w:rsidRPr="00C00C24">
        <w:tab/>
      </w:r>
      <w:r w:rsidRPr="00C00C24">
        <w:rPr>
          <w:lang w:val="en-GB"/>
        </w:rPr>
        <w:t xml:space="preserve">that there is a need to ensure that Member States respect their obligations when invoking CS Article </w:t>
      </w:r>
      <w:proofErr w:type="gramStart"/>
      <w:r w:rsidRPr="00C00C24">
        <w:rPr>
          <w:lang w:val="en-GB"/>
        </w:rPr>
        <w:t>48;</w:t>
      </w:r>
      <w:proofErr w:type="gramEnd"/>
    </w:p>
    <w:p w14:paraId="321C9CAC" w14:textId="77777777" w:rsidR="0013558F" w:rsidRPr="00C00C24" w:rsidRDefault="0013558F" w:rsidP="00772B08">
      <w:pPr>
        <w:jc w:val="both"/>
        <w:rPr>
          <w:lang w:val="en-GB"/>
        </w:rPr>
      </w:pPr>
    </w:p>
    <w:p w14:paraId="7ECC4CEA" w14:textId="65C729E3" w:rsidR="00772B08" w:rsidRPr="00C00C24" w:rsidRDefault="00772B08" w:rsidP="00772B08">
      <w:r w:rsidRPr="00C00C24">
        <w:rPr>
          <w:lang w:val="en-GB"/>
        </w:rPr>
        <w:t xml:space="preserve">b) </w:t>
      </w:r>
      <w:r w:rsidRPr="00C00C24">
        <w:rPr>
          <w:lang w:val="en-GB"/>
        </w:rPr>
        <w:tab/>
      </w:r>
      <w:r w:rsidRPr="00C00C24">
        <w:t>that, at this time, no change to the ITU Constitution is required for this issue,</w:t>
      </w:r>
    </w:p>
    <w:p w14:paraId="4CA09CF2" w14:textId="48B1D990" w:rsidR="00E40C38" w:rsidRPr="00C00C24" w:rsidRDefault="00E40C38" w:rsidP="00772B08"/>
    <w:p w14:paraId="00FB9A4C" w14:textId="77777777" w:rsidR="00E40C38" w:rsidRPr="00C00C24" w:rsidRDefault="00E40C38" w:rsidP="00E40C38">
      <w:pPr>
        <w:ind w:firstLine="567"/>
        <w:jc w:val="both"/>
      </w:pPr>
      <w:r w:rsidRPr="00C00C24">
        <w:rPr>
          <w:rStyle w:val="Emphasis"/>
        </w:rPr>
        <w:lastRenderedPageBreak/>
        <w:t>resolves</w:t>
      </w:r>
    </w:p>
    <w:p w14:paraId="4F5B0530" w14:textId="77777777" w:rsidR="00E40C38" w:rsidRPr="00C00C24" w:rsidRDefault="00E40C38" w:rsidP="00E40C38">
      <w:pPr>
        <w:pStyle w:val="ListParagraph"/>
        <w:jc w:val="both"/>
      </w:pPr>
    </w:p>
    <w:p w14:paraId="71E2E963" w14:textId="77777777" w:rsidR="00E40C38" w:rsidRPr="00C00C24" w:rsidRDefault="00E40C38" w:rsidP="00E40C38">
      <w:pPr>
        <w:pStyle w:val="ListParagraph"/>
        <w:numPr>
          <w:ilvl w:val="0"/>
          <w:numId w:val="2"/>
        </w:numPr>
        <w:spacing w:before="240" w:after="60"/>
        <w:ind w:left="0" w:firstLine="0"/>
        <w:jc w:val="both"/>
      </w:pPr>
      <w:r w:rsidRPr="00C00C24">
        <w:rPr>
          <w:rFonts w:eastAsia="SimSun"/>
          <w:lang w:eastAsia="zh-CN"/>
        </w:rPr>
        <w:t>that</w:t>
      </w:r>
      <w:r w:rsidRPr="00C00C24">
        <w:rPr>
          <w:rFonts w:eastAsia="SimSun" w:hint="eastAsia"/>
          <w:lang w:eastAsia="zh-CN"/>
        </w:rPr>
        <w:t xml:space="preserve"> </w:t>
      </w:r>
      <w:r w:rsidRPr="00C00C24">
        <w:t xml:space="preserve">the right of Member States to invoke CS Article 48 with regard to military radio installations shall not be </w:t>
      </w:r>
      <w:proofErr w:type="gramStart"/>
      <w:r w:rsidRPr="00C00C24">
        <w:t>restricted;</w:t>
      </w:r>
      <w:proofErr w:type="gramEnd"/>
    </w:p>
    <w:p w14:paraId="2920764C" w14:textId="77777777" w:rsidR="00E40C38" w:rsidRPr="00C00C24" w:rsidRDefault="00E40C38" w:rsidP="00E40C38">
      <w:pPr>
        <w:pStyle w:val="ListParagraph"/>
        <w:jc w:val="both"/>
      </w:pPr>
    </w:p>
    <w:p w14:paraId="5D671AD9" w14:textId="77777777" w:rsidR="00E40C38" w:rsidRPr="00C00C24" w:rsidRDefault="00E40C38" w:rsidP="00E40C38">
      <w:pPr>
        <w:jc w:val="both"/>
      </w:pPr>
      <w:r w:rsidRPr="00C00C24">
        <w:t xml:space="preserve">2 </w:t>
      </w:r>
      <w:r w:rsidRPr="00C00C24">
        <w:tab/>
        <w:t xml:space="preserve">that a Member State that invokes CS Article 48 for a frequency assignment undertakes obligations to use such frequency assignment for military radio </w:t>
      </w:r>
      <w:proofErr w:type="gramStart"/>
      <w:r w:rsidRPr="00C00C24">
        <w:t>installations;</w:t>
      </w:r>
      <w:proofErr w:type="gramEnd"/>
    </w:p>
    <w:p w14:paraId="577DDD7C" w14:textId="77777777" w:rsidR="00E40C38" w:rsidRPr="00C00C24" w:rsidRDefault="00E40C38" w:rsidP="00E40C38">
      <w:pPr>
        <w:spacing w:before="240" w:after="60"/>
        <w:jc w:val="both"/>
      </w:pPr>
      <w:r w:rsidRPr="00C00C24">
        <w:t xml:space="preserve">3 </w:t>
      </w:r>
      <w:r w:rsidRPr="00C00C24">
        <w:tab/>
        <w:t xml:space="preserve">that Member States must, so far as possible, observe statutory provisions to prevent harmful interference, and the provisions of the Administrative Regulations concerning the types of emission and the frequency used, according to the nature of the service performed by such </w:t>
      </w:r>
      <w:proofErr w:type="gramStart"/>
      <w:r w:rsidRPr="00C00C24">
        <w:t>installations;</w:t>
      </w:r>
      <w:proofErr w:type="gramEnd"/>
    </w:p>
    <w:p w14:paraId="12A6B20B" w14:textId="249EE147" w:rsidR="00E40C38" w:rsidRPr="00C00C24" w:rsidRDefault="00E40C38" w:rsidP="00E40C38">
      <w:pPr>
        <w:spacing w:before="240" w:after="60"/>
        <w:jc w:val="both"/>
      </w:pPr>
      <w:r w:rsidRPr="00C00C24">
        <w:t xml:space="preserve">4 </w:t>
      </w:r>
      <w:r w:rsidRPr="00C00C24">
        <w:tab/>
        <w:t xml:space="preserve">that Member States </w:t>
      </w:r>
      <w:bookmarkStart w:id="0" w:name="OLE_LINK3"/>
      <w:r w:rsidRPr="00C00C24">
        <w:t xml:space="preserve">have absolute </w:t>
      </w:r>
      <w:bookmarkStart w:id="1" w:name="OLE_LINK1"/>
      <w:r w:rsidRPr="00C00C24">
        <w:t xml:space="preserve">discretion </w:t>
      </w:r>
      <w:bookmarkEnd w:id="0"/>
      <w:bookmarkEnd w:id="1"/>
      <w:r w:rsidRPr="00C00C24">
        <w:t xml:space="preserve">when invoking CS Article 48 for military radio </w:t>
      </w:r>
      <w:proofErr w:type="gramStart"/>
      <w:r w:rsidRPr="00C00C24">
        <w:t>installations;</w:t>
      </w:r>
      <w:proofErr w:type="gramEnd"/>
      <w:r w:rsidRPr="00C00C24">
        <w:t xml:space="preserve"> </w:t>
      </w:r>
    </w:p>
    <w:p w14:paraId="67D7231D" w14:textId="2DF495DF" w:rsidR="00E40C38" w:rsidRPr="00C00C24" w:rsidRDefault="00E40C38" w:rsidP="00522B38">
      <w:pPr>
        <w:spacing w:before="240" w:after="60"/>
        <w:jc w:val="both"/>
      </w:pPr>
      <w:r w:rsidRPr="00C00C24">
        <w:t xml:space="preserve">5 </w:t>
      </w:r>
      <w:r w:rsidRPr="00C00C24">
        <w:tab/>
        <w:t xml:space="preserve"> that </w:t>
      </w:r>
      <w:r w:rsidR="008148FD" w:rsidRPr="00C00C24">
        <w:t>notwithstanding</w:t>
      </w:r>
      <w:r w:rsidRPr="00C00C24">
        <w:t xml:space="preserve"> CS 202, </w:t>
      </w:r>
      <w:bookmarkStart w:id="2" w:name="OLE_LINK5"/>
      <w:r w:rsidRPr="00C00C24">
        <w:t xml:space="preserve">administrations are by default </w:t>
      </w:r>
      <w:bookmarkStart w:id="3" w:name="OLE_LINK2"/>
      <w:r w:rsidRPr="00C00C24">
        <w:t xml:space="preserve">assumed </w:t>
      </w:r>
      <w:bookmarkEnd w:id="3"/>
      <w:r w:rsidRPr="00C00C24">
        <w:t>to be acting with integrity as sovereign Member States</w:t>
      </w:r>
      <w:bookmarkEnd w:id="2"/>
      <w:r w:rsidRPr="00C00C24">
        <w:t xml:space="preserve"> of the ITU when invoking CS Article 48</w:t>
      </w:r>
      <w:r w:rsidR="00522B38" w:rsidRPr="00C00C24">
        <w:t>,</w:t>
      </w:r>
    </w:p>
    <w:p w14:paraId="62816114" w14:textId="187622C5" w:rsidR="00E40C38" w:rsidRPr="00C00C24" w:rsidRDefault="00E40C38" w:rsidP="00772B08"/>
    <w:p w14:paraId="3A4B7AA0" w14:textId="5E634D4E" w:rsidR="00E40C38" w:rsidRPr="00C00C24" w:rsidRDefault="00E40C38" w:rsidP="00E40C38">
      <w:pPr>
        <w:ind w:firstLine="720"/>
        <w:jc w:val="both"/>
        <w:rPr>
          <w:i/>
        </w:rPr>
      </w:pPr>
      <w:r w:rsidRPr="00C00C24">
        <w:rPr>
          <w:i/>
        </w:rPr>
        <w:t>Directs the World Radiocommunication Conference 2023</w:t>
      </w:r>
      <w:r w:rsidRPr="00C00C24">
        <w:t xml:space="preserve"> pursuant to No. 119 of the ITU Convention </w:t>
      </w:r>
    </w:p>
    <w:p w14:paraId="7CAC273C" w14:textId="77777777" w:rsidR="00E40C38" w:rsidRPr="00C00C24" w:rsidRDefault="00E40C38" w:rsidP="00E40C38">
      <w:pPr>
        <w:ind w:firstLine="720"/>
        <w:jc w:val="both"/>
      </w:pPr>
    </w:p>
    <w:p w14:paraId="736A2433" w14:textId="3E81F792" w:rsidR="00E40C38" w:rsidRPr="00C00C24" w:rsidRDefault="00522B38" w:rsidP="00E40C38">
      <w:pPr>
        <w:jc w:val="both"/>
      </w:pPr>
      <w:r w:rsidRPr="00C00C24">
        <w:t>1</w:t>
      </w:r>
      <w:r w:rsidR="00E40C38" w:rsidRPr="00C00C24">
        <w:tab/>
        <w:t xml:space="preserve"> to develop </w:t>
      </w:r>
      <w:r w:rsidRPr="00C00C24">
        <w:t xml:space="preserve">a </w:t>
      </w:r>
      <w:r w:rsidR="00E40C38" w:rsidRPr="00C00C24">
        <w:t xml:space="preserve">mechanism to ensure that the compliance and obligations of Member States as stipulated in CS 203 and CS 204 are fully met to prevent misuse of CS Article </w:t>
      </w:r>
      <w:proofErr w:type="gramStart"/>
      <w:r w:rsidR="00E40C38" w:rsidRPr="00C00C24">
        <w:t>48</w:t>
      </w:r>
      <w:r w:rsidRPr="00C00C24">
        <w:t>;</w:t>
      </w:r>
      <w:proofErr w:type="gramEnd"/>
    </w:p>
    <w:p w14:paraId="49FBBF06" w14:textId="77777777" w:rsidR="00E40C38" w:rsidRPr="00C00C24" w:rsidRDefault="00E40C38" w:rsidP="00E40C38">
      <w:pPr>
        <w:jc w:val="both"/>
      </w:pPr>
    </w:p>
    <w:p w14:paraId="0720A5A1" w14:textId="737D0731" w:rsidR="00E40C38" w:rsidRPr="00C00C24" w:rsidRDefault="00522B38" w:rsidP="00772B08">
      <w:r w:rsidRPr="00C00C24">
        <w:t>2</w:t>
      </w:r>
      <w:r w:rsidR="00E40C38" w:rsidRPr="00C00C24">
        <w:tab/>
        <w:t xml:space="preserve">to identify potential actions, if any, that the Radiocommunication Bureau, in consultation </w:t>
      </w:r>
      <w:r w:rsidR="005D7068" w:rsidRPr="00C00C24">
        <w:t xml:space="preserve">with </w:t>
      </w:r>
      <w:r w:rsidR="00E40C38" w:rsidRPr="00C00C24">
        <w:t xml:space="preserve">and approval </w:t>
      </w:r>
      <w:r w:rsidR="00AB6C57" w:rsidRPr="00C00C24">
        <w:t>from</w:t>
      </w:r>
      <w:r w:rsidR="00E40C38" w:rsidRPr="00C00C24">
        <w:t xml:space="preserve"> the Radio Regulations Board, may take </w:t>
      </w:r>
      <w:proofErr w:type="gramStart"/>
      <w:r w:rsidR="00E40C38" w:rsidRPr="00C00C24">
        <w:t>in the event that</w:t>
      </w:r>
      <w:proofErr w:type="gramEnd"/>
      <w:r w:rsidR="00E40C38" w:rsidRPr="00C00C24">
        <w:t xml:space="preserve"> CS</w:t>
      </w:r>
      <w:r w:rsidR="00F635A7" w:rsidRPr="00C00C24">
        <w:t> </w:t>
      </w:r>
      <w:r w:rsidR="00E40C38" w:rsidRPr="00C00C24">
        <w:t>Article 48 has been misused,</w:t>
      </w:r>
    </w:p>
    <w:p w14:paraId="2D78A762" w14:textId="77777777" w:rsidR="00E40C38" w:rsidRPr="00C00C24" w:rsidRDefault="00E40C38" w:rsidP="00772B08"/>
    <w:p w14:paraId="4CADB0ED" w14:textId="77777777" w:rsidR="00E40C38" w:rsidRPr="00C00C24" w:rsidRDefault="00E40C38" w:rsidP="00E40C38">
      <w:pPr>
        <w:ind w:firstLine="720"/>
        <w:jc w:val="both"/>
        <w:rPr>
          <w:rStyle w:val="Emphasis"/>
        </w:rPr>
      </w:pPr>
      <w:r w:rsidRPr="00C00C24">
        <w:rPr>
          <w:rStyle w:val="Emphasis"/>
        </w:rPr>
        <w:t>instructs the Secretary-General</w:t>
      </w:r>
    </w:p>
    <w:p w14:paraId="3E694D90" w14:textId="77777777" w:rsidR="00E40C38" w:rsidRPr="00C00C24" w:rsidRDefault="00E40C38" w:rsidP="00E40C38">
      <w:pPr>
        <w:ind w:firstLine="720"/>
        <w:jc w:val="both"/>
        <w:rPr>
          <w:rStyle w:val="Emphasis"/>
        </w:rPr>
      </w:pPr>
    </w:p>
    <w:p w14:paraId="68D16281" w14:textId="31275889" w:rsidR="00E40C38" w:rsidRPr="00C00C24" w:rsidRDefault="00E40C38" w:rsidP="00E40C38">
      <w:pPr>
        <w:jc w:val="both"/>
      </w:pPr>
      <w:r w:rsidRPr="00C00C24">
        <w:t>to bring this Resolution to the attention of WRC-23, and report back to Plenipotentiary 2026 o</w:t>
      </w:r>
      <w:r w:rsidR="005D7068" w:rsidRPr="00C00C24">
        <w:t>n</w:t>
      </w:r>
      <w:r w:rsidRPr="00C00C24">
        <w:t xml:space="preserve"> actions being taken for its review and the required actions, if any, as appropriate.  </w:t>
      </w:r>
    </w:p>
    <w:p w14:paraId="2430DAB9" w14:textId="77777777" w:rsidR="00E40C38" w:rsidRPr="00C00C24" w:rsidRDefault="00E40C38" w:rsidP="00772B08"/>
    <w:p w14:paraId="0E1CAB55" w14:textId="77777777" w:rsidR="00772B08" w:rsidRPr="00C00C24" w:rsidRDefault="00772B08" w:rsidP="00772B08"/>
    <w:p w14:paraId="36B409D9" w14:textId="77777777" w:rsidR="00772B08" w:rsidRPr="00420AA9" w:rsidRDefault="00772B08" w:rsidP="00772B08">
      <w:pPr>
        <w:rPr>
          <w:lang w:val="en-GB"/>
        </w:rPr>
      </w:pPr>
    </w:p>
    <w:sectPr w:rsidR="00772B08" w:rsidRPr="00420AA9" w:rsidSect="005D59AE">
      <w:headerReference w:type="default" r:id="rId10"/>
      <w:footerReference w:type="default" r:id="rId11"/>
      <w:pgSz w:w="11906" w:h="16838" w:code="9"/>
      <w:pgMar w:top="1152" w:right="1296" w:bottom="1296" w:left="1440" w:header="720" w:footer="3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D7425" w14:textId="77777777" w:rsidR="00BC2751" w:rsidRDefault="00BC2751" w:rsidP="003A0414">
      <w:r>
        <w:separator/>
      </w:r>
    </w:p>
  </w:endnote>
  <w:endnote w:type="continuationSeparator" w:id="0">
    <w:p w14:paraId="45535DEE" w14:textId="77777777" w:rsidR="00BC2751" w:rsidRDefault="00BC2751"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pitch w:val="variable"/>
    <w:sig w:usb0="00003A87" w:usb1="00000000" w:usb2="00000000" w:usb3="00000000" w:csb0="000000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0EF12D96"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6E3C98">
      <w:rPr>
        <w:lang w:val="en-GB"/>
      </w:rPr>
      <w:t>4</w:t>
    </w:r>
    <w:r w:rsidR="003F14CA">
      <w:rPr>
        <w:lang w:val="en-GB"/>
      </w:rPr>
      <w:t>/</w:t>
    </w:r>
    <w:r w:rsidR="009C339B">
      <w:rPr>
        <w:lang w:val="en-GB"/>
      </w:rPr>
      <w:t>OUT-12</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5D7068">
      <w:rPr>
        <w:noProof/>
        <w:lang w:val="en-GB"/>
      </w:rPr>
      <w:t>3</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5D7068">
      <w:rPr>
        <w:noProof/>
        <w:lang w:val="en-GB"/>
      </w:rPr>
      <w:t>3</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63122" w14:textId="77777777" w:rsidR="00BC2751" w:rsidRDefault="00BC2751" w:rsidP="003A0414">
      <w:r>
        <w:separator/>
      </w:r>
    </w:p>
  </w:footnote>
  <w:footnote w:type="continuationSeparator" w:id="0">
    <w:p w14:paraId="4014525E" w14:textId="77777777" w:rsidR="00BC2751" w:rsidRDefault="00BC2751" w:rsidP="003A0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954C2"/>
    <w:multiLevelType w:val="hybridMultilevel"/>
    <w:tmpl w:val="9404ECCE"/>
    <w:lvl w:ilvl="0" w:tplc="D16CA90A">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377884">
    <w:abstractNumId w:val="1"/>
  </w:num>
  <w:num w:numId="2" w16cid:durableId="942877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FR" w:vendorID="64" w:dllVersion="6" w:nlCheck="1" w:checkStyle="0"/>
  <w:activeWritingStyle w:appName="MSWord" w:lang="en-CA"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CA" w:vendorID="64" w:dllVersion="0" w:nlCheck="1" w:checkStyle="0"/>
  <w:proofState w:spelling="clean" w:grammar="clean"/>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rwUAYvVHYCwAAAA="/>
  </w:docVars>
  <w:rsids>
    <w:rsidRoot w:val="00AD2F26"/>
    <w:rsid w:val="0003778A"/>
    <w:rsid w:val="00057925"/>
    <w:rsid w:val="00120853"/>
    <w:rsid w:val="00133302"/>
    <w:rsid w:val="0013558F"/>
    <w:rsid w:val="00154DF3"/>
    <w:rsid w:val="00242096"/>
    <w:rsid w:val="0026595F"/>
    <w:rsid w:val="002C4C6E"/>
    <w:rsid w:val="00317B67"/>
    <w:rsid w:val="003320B2"/>
    <w:rsid w:val="00383EDB"/>
    <w:rsid w:val="003A0414"/>
    <w:rsid w:val="003A14AD"/>
    <w:rsid w:val="003B77A9"/>
    <w:rsid w:val="003E1255"/>
    <w:rsid w:val="003F14CA"/>
    <w:rsid w:val="00420AA9"/>
    <w:rsid w:val="00422505"/>
    <w:rsid w:val="00425800"/>
    <w:rsid w:val="00450452"/>
    <w:rsid w:val="00487772"/>
    <w:rsid w:val="004A3292"/>
    <w:rsid w:val="004B43B5"/>
    <w:rsid w:val="004E4AB8"/>
    <w:rsid w:val="004F24F4"/>
    <w:rsid w:val="00522B38"/>
    <w:rsid w:val="00534EC0"/>
    <w:rsid w:val="0055081D"/>
    <w:rsid w:val="00565069"/>
    <w:rsid w:val="00597B0F"/>
    <w:rsid w:val="005A1FA2"/>
    <w:rsid w:val="005D59AE"/>
    <w:rsid w:val="005D7068"/>
    <w:rsid w:val="005F3200"/>
    <w:rsid w:val="00617508"/>
    <w:rsid w:val="00685535"/>
    <w:rsid w:val="00685C97"/>
    <w:rsid w:val="0068796D"/>
    <w:rsid w:val="006A6EC5"/>
    <w:rsid w:val="006B3268"/>
    <w:rsid w:val="006B340D"/>
    <w:rsid w:val="006B4D42"/>
    <w:rsid w:val="006E3C98"/>
    <w:rsid w:val="00761BDE"/>
    <w:rsid w:val="00772B08"/>
    <w:rsid w:val="0078146D"/>
    <w:rsid w:val="007A2E4C"/>
    <w:rsid w:val="007E155E"/>
    <w:rsid w:val="00800847"/>
    <w:rsid w:val="008046DC"/>
    <w:rsid w:val="008148FD"/>
    <w:rsid w:val="00814C55"/>
    <w:rsid w:val="0082170C"/>
    <w:rsid w:val="008438A0"/>
    <w:rsid w:val="00873BFA"/>
    <w:rsid w:val="008872D4"/>
    <w:rsid w:val="008E7D01"/>
    <w:rsid w:val="0090702B"/>
    <w:rsid w:val="00941632"/>
    <w:rsid w:val="00950BA4"/>
    <w:rsid w:val="00962F7B"/>
    <w:rsid w:val="00966899"/>
    <w:rsid w:val="009726D4"/>
    <w:rsid w:val="0098418B"/>
    <w:rsid w:val="009A44CC"/>
    <w:rsid w:val="009C339B"/>
    <w:rsid w:val="009E4E18"/>
    <w:rsid w:val="00A200A2"/>
    <w:rsid w:val="00A23852"/>
    <w:rsid w:val="00A75516"/>
    <w:rsid w:val="00A776D0"/>
    <w:rsid w:val="00AB6C57"/>
    <w:rsid w:val="00AD2F26"/>
    <w:rsid w:val="00AE5449"/>
    <w:rsid w:val="00B017E8"/>
    <w:rsid w:val="00B04778"/>
    <w:rsid w:val="00B1556C"/>
    <w:rsid w:val="00B32C5A"/>
    <w:rsid w:val="00B55072"/>
    <w:rsid w:val="00B614D6"/>
    <w:rsid w:val="00B73D09"/>
    <w:rsid w:val="00B95A06"/>
    <w:rsid w:val="00BC2751"/>
    <w:rsid w:val="00C00C24"/>
    <w:rsid w:val="00C166CB"/>
    <w:rsid w:val="00C46426"/>
    <w:rsid w:val="00C504CE"/>
    <w:rsid w:val="00C66D86"/>
    <w:rsid w:val="00C869B1"/>
    <w:rsid w:val="00CA1EC5"/>
    <w:rsid w:val="00CA6990"/>
    <w:rsid w:val="00CB3877"/>
    <w:rsid w:val="00CE0108"/>
    <w:rsid w:val="00D14A3A"/>
    <w:rsid w:val="00D14DA8"/>
    <w:rsid w:val="00D95B17"/>
    <w:rsid w:val="00DC4262"/>
    <w:rsid w:val="00DF10DB"/>
    <w:rsid w:val="00E40C38"/>
    <w:rsid w:val="00E937BE"/>
    <w:rsid w:val="00EA2379"/>
    <w:rsid w:val="00EA5715"/>
    <w:rsid w:val="00F418AA"/>
    <w:rsid w:val="00F635A7"/>
    <w:rsid w:val="00FB22CF"/>
    <w:rsid w:val="00FB29D1"/>
    <w:rsid w:val="00FB70DB"/>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character" w:customStyle="1" w:styleId="ECCHLbold">
    <w:name w:val="ECC HL bold"/>
    <w:uiPriority w:val="1"/>
    <w:qFormat/>
    <w:rsid w:val="00772B08"/>
    <w:rPr>
      <w:b/>
      <w:bCs/>
    </w:rPr>
  </w:style>
  <w:style w:type="character" w:styleId="Emphasis">
    <w:name w:val="Emphasis"/>
    <w:aliases w:val="ECC HL italics"/>
    <w:uiPriority w:val="1"/>
    <w:qFormat/>
    <w:rsid w:val="00772B08"/>
    <w:rPr>
      <w:i/>
    </w:rPr>
  </w:style>
  <w:style w:type="character" w:styleId="CommentReference">
    <w:name w:val="annotation reference"/>
    <w:basedOn w:val="DefaultParagraphFont"/>
    <w:uiPriority w:val="99"/>
    <w:semiHidden/>
    <w:unhideWhenUsed/>
    <w:rsid w:val="00772B08"/>
    <w:rPr>
      <w:sz w:val="21"/>
      <w:szCs w:val="21"/>
    </w:rPr>
  </w:style>
  <w:style w:type="paragraph" w:styleId="CommentText">
    <w:name w:val="annotation text"/>
    <w:basedOn w:val="Normal"/>
    <w:link w:val="CommentTextChar"/>
    <w:uiPriority w:val="99"/>
    <w:unhideWhenUsed/>
    <w:rsid w:val="00772B08"/>
  </w:style>
  <w:style w:type="character" w:customStyle="1" w:styleId="CommentTextChar">
    <w:name w:val="Comment Text Char"/>
    <w:basedOn w:val="DefaultParagraphFont"/>
    <w:link w:val="CommentText"/>
    <w:uiPriority w:val="99"/>
    <w:rsid w:val="00772B08"/>
    <w:rPr>
      <w:lang w:val="en-US" w:eastAsia="ja-JP"/>
    </w:rPr>
  </w:style>
  <w:style w:type="paragraph" w:styleId="Revision">
    <w:name w:val="Revision"/>
    <w:hidden/>
    <w:uiPriority w:val="99"/>
    <w:semiHidden/>
    <w:rsid w:val="009726D4"/>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md/meetingdoc.asp?lang=en&amp;parent=R16-WRC19-C-001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tu.int/md/R16-WRC19-C-0569/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862</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37</cp:revision>
  <dcterms:created xsi:type="dcterms:W3CDTF">2022-08-03T09:31:00Z</dcterms:created>
  <dcterms:modified xsi:type="dcterms:W3CDTF">2022-08-07T13:55:00Z</dcterms:modified>
</cp:coreProperties>
</file>