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50"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682"/>
      </w:tblGrid>
      <w:tr w:rsidR="00F069AD" w:rsidRPr="00E97594" w14:paraId="44443933" w14:textId="77777777" w:rsidTr="00AF00EF">
        <w:trPr>
          <w:cantSplit/>
          <w:trHeight w:val="288"/>
        </w:trPr>
        <w:tc>
          <w:tcPr>
            <w:tcW w:w="1440" w:type="dxa"/>
            <w:vMerge w:val="restart"/>
            <w:hideMark/>
          </w:tcPr>
          <w:p w14:paraId="12F20235" w14:textId="77777777" w:rsidR="00F069AD" w:rsidRPr="00E97594" w:rsidRDefault="00F069AD" w:rsidP="00AF00EF">
            <w:pPr>
              <w:pStyle w:val="Note"/>
              <w:widowControl w:val="0"/>
              <w:tabs>
                <w:tab w:val="clear" w:pos="284"/>
                <w:tab w:val="clear" w:pos="1871"/>
                <w:tab w:val="clear" w:pos="2268"/>
              </w:tabs>
              <w:spacing w:before="0"/>
              <w:rPr>
                <w:noProof w:val="0"/>
                <w:kern w:val="2"/>
                <w:sz w:val="24"/>
                <w:szCs w:val="24"/>
              </w:rPr>
            </w:pPr>
            <w:r w:rsidRPr="00E97594">
              <w:rPr>
                <w:kern w:val="2"/>
                <w:sz w:val="24"/>
                <w:szCs w:val="24"/>
                <w:lang w:eastAsia="zh-CN"/>
              </w:rPr>
              <w:drawing>
                <wp:inline distT="0" distB="0" distL="0" distR="0" wp14:anchorId="1446CF3D" wp14:editId="7B890889">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694B6120" w14:textId="77777777" w:rsidR="00F069AD" w:rsidRPr="00E97594" w:rsidRDefault="00F069AD" w:rsidP="00AF00EF">
            <w:r w:rsidRPr="00E97594">
              <w:t>ASIA-PACIFIC TELECOMMUNITY</w:t>
            </w:r>
          </w:p>
        </w:tc>
        <w:tc>
          <w:tcPr>
            <w:tcW w:w="2682" w:type="dxa"/>
          </w:tcPr>
          <w:p w14:paraId="0BD9F978" w14:textId="77777777" w:rsidR="00F069AD" w:rsidRPr="00E97594" w:rsidRDefault="00F069AD" w:rsidP="00AF00EF">
            <w:r w:rsidRPr="00E97594">
              <w:rPr>
                <w:b/>
                <w:lang w:val="fr-FR"/>
              </w:rPr>
              <w:t>Document No.:</w:t>
            </w:r>
          </w:p>
        </w:tc>
      </w:tr>
      <w:tr w:rsidR="00F069AD" w:rsidRPr="00E97594" w14:paraId="4EE63D99" w14:textId="77777777" w:rsidTr="00AF00EF">
        <w:trPr>
          <w:cantSplit/>
          <w:trHeight w:val="576"/>
        </w:trPr>
        <w:tc>
          <w:tcPr>
            <w:tcW w:w="1440" w:type="dxa"/>
            <w:vMerge/>
            <w:vAlign w:val="center"/>
            <w:hideMark/>
          </w:tcPr>
          <w:p w14:paraId="085333BF" w14:textId="77777777" w:rsidR="00F069AD" w:rsidRPr="00E97594" w:rsidRDefault="00F069AD" w:rsidP="00AF00EF">
            <w:pPr>
              <w:rPr>
                <w:kern w:val="2"/>
                <w:lang w:eastAsia="ko-KR"/>
              </w:rPr>
            </w:pPr>
          </w:p>
        </w:tc>
        <w:tc>
          <w:tcPr>
            <w:tcW w:w="5328" w:type="dxa"/>
            <w:hideMark/>
          </w:tcPr>
          <w:p w14:paraId="7AF4CE2C" w14:textId="77777777" w:rsidR="00F069AD" w:rsidRPr="00E97594" w:rsidRDefault="00F069AD" w:rsidP="00AF00EF">
            <w:r>
              <w:rPr>
                <w:b/>
              </w:rPr>
              <w:t xml:space="preserve">4th </w:t>
            </w:r>
            <w:r w:rsidRPr="00E830C2">
              <w:rPr>
                <w:b/>
              </w:rPr>
              <w:t>Meeting of the APT Preparatory Group</w:t>
            </w:r>
            <w:r w:rsidRPr="00E830C2">
              <w:rPr>
                <w:b/>
              </w:rPr>
              <w:br/>
              <w:t xml:space="preserve">for </w:t>
            </w:r>
            <w:r>
              <w:rPr>
                <w:b/>
              </w:rPr>
              <w:t>PP-22</w:t>
            </w:r>
            <w:r w:rsidRPr="00E830C2">
              <w:rPr>
                <w:b/>
              </w:rPr>
              <w:t xml:space="preserve"> (APT </w:t>
            </w:r>
            <w:r>
              <w:rPr>
                <w:b/>
              </w:rPr>
              <w:t>PP22-4</w:t>
            </w:r>
            <w:r w:rsidRPr="00E830C2">
              <w:rPr>
                <w:b/>
              </w:rPr>
              <w:t>)</w:t>
            </w:r>
          </w:p>
        </w:tc>
        <w:tc>
          <w:tcPr>
            <w:tcW w:w="2682" w:type="dxa"/>
            <w:hideMark/>
          </w:tcPr>
          <w:p w14:paraId="1C965922" w14:textId="27435EC3" w:rsidR="00F069AD" w:rsidRPr="0095411B" w:rsidRDefault="00F069AD" w:rsidP="00AF00EF">
            <w:pPr>
              <w:ind w:right="-63"/>
              <w:rPr>
                <w:b/>
                <w:bCs/>
                <w:lang w:val="en-GB"/>
              </w:rPr>
            </w:pPr>
            <w:r w:rsidRPr="0095411B">
              <w:rPr>
                <w:b/>
                <w:bCs/>
                <w:lang w:val="en-GB"/>
              </w:rPr>
              <w:t xml:space="preserve">APT </w:t>
            </w:r>
            <w:r>
              <w:rPr>
                <w:b/>
                <w:bCs/>
                <w:lang w:val="en-GB"/>
              </w:rPr>
              <w:t>PP22-4</w:t>
            </w:r>
            <w:r w:rsidRPr="0095411B">
              <w:rPr>
                <w:b/>
                <w:bCs/>
                <w:lang w:val="en-GB"/>
              </w:rPr>
              <w:t>/</w:t>
            </w:r>
            <w:r w:rsidR="006C6FD4">
              <w:rPr>
                <w:b/>
                <w:bCs/>
                <w:lang w:val="en-GB"/>
              </w:rPr>
              <w:t>OUT</w:t>
            </w:r>
            <w:r w:rsidRPr="0095411B">
              <w:rPr>
                <w:b/>
                <w:bCs/>
                <w:lang w:val="en-GB"/>
              </w:rPr>
              <w:t>-</w:t>
            </w:r>
            <w:r w:rsidR="006C6FD4">
              <w:rPr>
                <w:b/>
                <w:bCs/>
                <w:lang w:val="en-GB"/>
              </w:rPr>
              <w:t>07</w:t>
            </w:r>
          </w:p>
        </w:tc>
      </w:tr>
      <w:tr w:rsidR="00F069AD" w:rsidRPr="00E97594" w14:paraId="77305557" w14:textId="77777777" w:rsidTr="00AF00EF">
        <w:trPr>
          <w:cantSplit/>
          <w:trHeight w:val="288"/>
        </w:trPr>
        <w:tc>
          <w:tcPr>
            <w:tcW w:w="1440" w:type="dxa"/>
            <w:vMerge/>
            <w:vAlign w:val="center"/>
            <w:hideMark/>
          </w:tcPr>
          <w:p w14:paraId="71D60506" w14:textId="77777777" w:rsidR="00F069AD" w:rsidRPr="00E97594" w:rsidRDefault="00F069AD" w:rsidP="00AF00EF">
            <w:pPr>
              <w:rPr>
                <w:kern w:val="2"/>
                <w:lang w:eastAsia="ko-KR"/>
              </w:rPr>
            </w:pPr>
          </w:p>
        </w:tc>
        <w:tc>
          <w:tcPr>
            <w:tcW w:w="5328" w:type="dxa"/>
            <w:hideMark/>
          </w:tcPr>
          <w:p w14:paraId="3A8BAD58" w14:textId="77777777" w:rsidR="00F069AD" w:rsidRPr="00E97594" w:rsidRDefault="00F069AD" w:rsidP="00AF00EF">
            <w:r>
              <w:t>1-5 August 2022, Bangkok, Thailand</w:t>
            </w:r>
          </w:p>
        </w:tc>
        <w:tc>
          <w:tcPr>
            <w:tcW w:w="2682" w:type="dxa"/>
            <w:hideMark/>
          </w:tcPr>
          <w:p w14:paraId="1B85CDAE" w14:textId="693B4A55" w:rsidR="00F069AD" w:rsidRPr="0095411B" w:rsidRDefault="006C6FD4" w:rsidP="00AF00EF">
            <w:pPr>
              <w:rPr>
                <w:bCs/>
              </w:rPr>
            </w:pPr>
            <w:r>
              <w:rPr>
                <w:bCs/>
              </w:rPr>
              <w:t>5</w:t>
            </w:r>
            <w:r w:rsidR="00F069AD">
              <w:rPr>
                <w:bCs/>
              </w:rPr>
              <w:t xml:space="preserve"> August </w:t>
            </w:r>
            <w:r w:rsidR="00F069AD" w:rsidRPr="0095411B">
              <w:rPr>
                <w:bCs/>
              </w:rPr>
              <w:t>20</w:t>
            </w:r>
            <w:r w:rsidR="00F069AD">
              <w:rPr>
                <w:bCs/>
              </w:rPr>
              <w:t>22</w:t>
            </w:r>
          </w:p>
        </w:tc>
      </w:tr>
    </w:tbl>
    <w:p w14:paraId="33BB47B4" w14:textId="77777777" w:rsidR="0003778A" w:rsidRDefault="0003778A" w:rsidP="00B017E8">
      <w:pPr>
        <w:jc w:val="center"/>
      </w:pPr>
    </w:p>
    <w:p w14:paraId="3AF09F24" w14:textId="0741C25C" w:rsidR="00B017E8" w:rsidRDefault="004E6C73" w:rsidP="00B017E8">
      <w:pPr>
        <w:jc w:val="center"/>
      </w:pPr>
      <w:r w:rsidRPr="00294123">
        <w:t>APT Preparatory Group for ITU Plenipotentiary Conference 2022</w:t>
      </w:r>
    </w:p>
    <w:p w14:paraId="3C160DC2" w14:textId="367DEEA4" w:rsidR="00CA054E" w:rsidRDefault="00CA054E" w:rsidP="00B017E8">
      <w:pPr>
        <w:jc w:val="center"/>
        <w:rPr>
          <w:b/>
        </w:rPr>
      </w:pPr>
      <w:r>
        <w:rPr>
          <w:b/>
        </w:rPr>
        <w:t>PRELIMINARY APT COMMON PROPOSAL</w:t>
      </w:r>
    </w:p>
    <w:p w14:paraId="22677957" w14:textId="252EDF9A" w:rsidR="00F851D8" w:rsidRDefault="00F851D8" w:rsidP="00B017E8">
      <w:pPr>
        <w:jc w:val="center"/>
        <w:rPr>
          <w:b/>
        </w:rPr>
      </w:pPr>
      <w:r>
        <w:rPr>
          <w:b/>
        </w:rPr>
        <w:br/>
      </w:r>
      <w:r w:rsidR="002C1146" w:rsidRPr="00CA054E">
        <w:t xml:space="preserve"> </w:t>
      </w:r>
      <w:r w:rsidR="002C1146">
        <w:rPr>
          <w:b/>
        </w:rPr>
        <w:t>PROPOSED MODIFICATION TO RESOLUTION 100</w:t>
      </w:r>
    </w:p>
    <w:p w14:paraId="2607EB5F" w14:textId="77777777" w:rsidR="00F851D8" w:rsidRPr="00F851D8" w:rsidRDefault="00F851D8" w:rsidP="00F851D8">
      <w:pPr>
        <w:jc w:val="center"/>
        <w:rPr>
          <w:b/>
        </w:rPr>
      </w:pPr>
      <w:r w:rsidRPr="00F851D8">
        <w:rPr>
          <w:b/>
        </w:rPr>
        <w:t xml:space="preserve">Role of the Secretary-General of ITU as depositary </w:t>
      </w:r>
    </w:p>
    <w:p w14:paraId="5750E81C" w14:textId="18DD6698" w:rsidR="00FB29D1" w:rsidRPr="003F14CA" w:rsidRDefault="00F851D8" w:rsidP="00F851D8">
      <w:pPr>
        <w:jc w:val="center"/>
      </w:pPr>
      <w:r w:rsidRPr="00F851D8">
        <w:rPr>
          <w:b/>
        </w:rPr>
        <w:t>for memoranda of understanding</w:t>
      </w:r>
    </w:p>
    <w:tbl>
      <w:tblPr>
        <w:tblStyle w:val="TableGrid"/>
        <w:tblW w:w="9402" w:type="dxa"/>
        <w:tblLook w:val="04A0" w:firstRow="1" w:lastRow="0" w:firstColumn="1" w:lastColumn="0" w:noHBand="0" w:noVBand="1"/>
      </w:tblPr>
      <w:tblGrid>
        <w:gridCol w:w="9402"/>
      </w:tblGrid>
      <w:tr w:rsidR="00B04778" w:rsidRPr="003F14CA" w14:paraId="72891545" w14:textId="77777777" w:rsidTr="00AA7778">
        <w:trPr>
          <w:trHeight w:val="2841"/>
        </w:trPr>
        <w:tc>
          <w:tcPr>
            <w:tcW w:w="9402" w:type="dxa"/>
          </w:tcPr>
          <w:p w14:paraId="55E55D3A" w14:textId="77777777" w:rsidR="00AA7778" w:rsidRDefault="00AA7778" w:rsidP="00B04778">
            <w:pPr>
              <w:rPr>
                <w:rFonts w:eastAsia="SimSun"/>
                <w:b/>
                <w:bCs/>
              </w:rPr>
            </w:pPr>
          </w:p>
          <w:p w14:paraId="5B3658DA" w14:textId="77777777" w:rsidR="003F14CA" w:rsidRDefault="00B04778" w:rsidP="00B04778">
            <w:pPr>
              <w:rPr>
                <w:rFonts w:eastAsia="SimSun"/>
                <w:b/>
                <w:bCs/>
              </w:rPr>
            </w:pPr>
            <w:r w:rsidRPr="003F14CA">
              <w:rPr>
                <w:rFonts w:eastAsia="SimSun"/>
                <w:b/>
                <w:bCs/>
              </w:rPr>
              <w:t>Summary:</w:t>
            </w:r>
            <w:r w:rsidR="003F14CA">
              <w:rPr>
                <w:rFonts w:eastAsia="SimSun"/>
                <w:b/>
                <w:bCs/>
              </w:rPr>
              <w:t xml:space="preserve"> </w:t>
            </w:r>
          </w:p>
          <w:p w14:paraId="4EFB9AC8" w14:textId="77777777" w:rsidR="00B04778" w:rsidRPr="003F14CA" w:rsidRDefault="00CA054E" w:rsidP="00B04778">
            <w:r>
              <w:t>To</w:t>
            </w:r>
            <w:r w:rsidR="00832987">
              <w:t xml:space="preserve"> enhanc</w:t>
            </w:r>
            <w:r>
              <w:t>e</w:t>
            </w:r>
            <w:r w:rsidR="00832987">
              <w:t xml:space="preserve"> oversight and transparency on Memoranda of Understandings (MoUs) being entered with the ITU, the APT proposes to revise PP Resolution 100 to strengthen the Council’s role in assessing MoUs that have a significant financial and/or strategic implication to the Union. </w:t>
            </w:r>
          </w:p>
          <w:p w14:paraId="256DC09A" w14:textId="77777777" w:rsidR="00B04778" w:rsidRDefault="00B04778" w:rsidP="00EA5715"/>
          <w:p w14:paraId="7E829488" w14:textId="77777777" w:rsidR="00832987" w:rsidRPr="003F14CA" w:rsidRDefault="00832987" w:rsidP="00EA5715">
            <w:r>
              <w:t xml:space="preserve">The modifications include instructing the Council to develop guidelines for the ITU entering MoUs that have significant strategic and financial implications. </w:t>
            </w:r>
          </w:p>
        </w:tc>
      </w:tr>
    </w:tbl>
    <w:p w14:paraId="1001FF9D" w14:textId="77777777" w:rsidR="00B04778" w:rsidRDefault="00B04778" w:rsidP="00B04778"/>
    <w:p w14:paraId="37B7F424" w14:textId="77777777" w:rsidR="003F14CA" w:rsidRDefault="003F14CA" w:rsidP="003F14CA"/>
    <w:p w14:paraId="271DD535" w14:textId="77777777" w:rsidR="00420AA9" w:rsidRDefault="00420AA9" w:rsidP="003F14CA">
      <w:pPr>
        <w:rPr>
          <w:b/>
          <w:bCs/>
        </w:rPr>
      </w:pPr>
      <w:r>
        <w:rPr>
          <w:b/>
          <w:bCs/>
        </w:rPr>
        <w:t>INTRODUCTION</w:t>
      </w:r>
    </w:p>
    <w:p w14:paraId="3E891AB6" w14:textId="77777777" w:rsidR="00E94016" w:rsidRPr="00CC3F93" w:rsidRDefault="00CA054E" w:rsidP="00AA7778">
      <w:pPr>
        <w:jc w:val="both"/>
      </w:pPr>
      <w:r>
        <w:t>This</w:t>
      </w:r>
      <w:r w:rsidRPr="00CC3F93">
        <w:t xml:space="preserve"> </w:t>
      </w:r>
      <w:r w:rsidR="00E94016" w:rsidRPr="00CC3F93">
        <w:t>proposal</w:t>
      </w:r>
      <w:r w:rsidR="00E94016">
        <w:t xml:space="preserve"> </w:t>
      </w:r>
      <w:r>
        <w:t xml:space="preserve">by APT member administrations </w:t>
      </w:r>
      <w:r w:rsidR="00AA7778">
        <w:t>instruct</w:t>
      </w:r>
      <w:r>
        <w:t>s</w:t>
      </w:r>
      <w:r w:rsidR="00AA7778">
        <w:t xml:space="preserve"> Council to develop guidelines for the ITU entering into MoUs that have significant strategic and financial implications. These guidelines will </w:t>
      </w:r>
      <w:r w:rsidR="00E94016" w:rsidRPr="00CC3F93">
        <w:t xml:space="preserve">provide the </w:t>
      </w:r>
      <w:r w:rsidR="00E94016">
        <w:t>Secretary-General or their designee</w:t>
      </w:r>
      <w:r w:rsidR="00E94016" w:rsidRPr="00CC3F93">
        <w:t xml:space="preserve"> with clearly defined guidelines and encourage consultation with Council prior to entering into MoUs. This will </w:t>
      </w:r>
      <w:r>
        <w:t>provide</w:t>
      </w:r>
      <w:r w:rsidR="00E94016" w:rsidRPr="00CC3F93">
        <w:t xml:space="preserve"> Member States </w:t>
      </w:r>
      <w:r w:rsidR="00E94016">
        <w:t>better oversight of</w:t>
      </w:r>
      <w:r w:rsidR="00E94016" w:rsidRPr="00CC3F93">
        <w:t xml:space="preserve"> MoUs </w:t>
      </w:r>
      <w:r w:rsidR="00E94016">
        <w:t>between</w:t>
      </w:r>
      <w:r w:rsidR="00E94016" w:rsidRPr="00CC3F93">
        <w:t xml:space="preserve"> the ITU and partnering agencies.</w:t>
      </w:r>
    </w:p>
    <w:p w14:paraId="2CD28465" w14:textId="77777777" w:rsidR="00420AA9" w:rsidRPr="00B32C5A" w:rsidRDefault="00420AA9" w:rsidP="00420AA9">
      <w:pPr>
        <w:rPr>
          <w:i/>
        </w:rPr>
      </w:pPr>
    </w:p>
    <w:p w14:paraId="232DED16" w14:textId="77777777" w:rsidR="00B04778" w:rsidRPr="003F14CA" w:rsidRDefault="003F14CA" w:rsidP="003F14CA">
      <w:pPr>
        <w:rPr>
          <w:b/>
          <w:bCs/>
        </w:rPr>
      </w:pPr>
      <w:r>
        <w:rPr>
          <w:b/>
          <w:bCs/>
        </w:rPr>
        <w:t>PROPOSAL</w:t>
      </w:r>
    </w:p>
    <w:p w14:paraId="33ED2907" w14:textId="77777777" w:rsidR="00B04778" w:rsidRDefault="00B04778" w:rsidP="00B32C5A"/>
    <w:p w14:paraId="2C4BC8B0" w14:textId="78C7B4F6" w:rsidR="00B32C5A" w:rsidRDefault="00420AA9" w:rsidP="00B32C5A">
      <w:r>
        <w:t>APT Member Adminis</w:t>
      </w:r>
      <w:r w:rsidR="00FB1588">
        <w:t>tration</w:t>
      </w:r>
      <w:r w:rsidR="00A06E5E">
        <w:t>s</w:t>
      </w:r>
      <w:r w:rsidR="00DC2391">
        <w:t xml:space="preserve"> </w:t>
      </w:r>
      <w:r w:rsidR="00FB1588">
        <w:t xml:space="preserve">propose the revision of PP Resolution 100 on </w:t>
      </w:r>
      <w:r w:rsidR="00FB1588" w:rsidRPr="00FB1588">
        <w:t>“Role of the Secretary-General of ITU as depositary for memoranda of understanding”.</w:t>
      </w:r>
    </w:p>
    <w:p w14:paraId="725EC4ED" w14:textId="77777777" w:rsidR="00B32C5A" w:rsidRDefault="00B32C5A" w:rsidP="00B32C5A"/>
    <w:p w14:paraId="38B5B2C2" w14:textId="77777777" w:rsidR="00133302" w:rsidRDefault="00133302" w:rsidP="00617508"/>
    <w:p w14:paraId="2D977D4A" w14:textId="77777777" w:rsidR="00133302" w:rsidRDefault="00133302" w:rsidP="00617508"/>
    <w:p w14:paraId="27AE5E4B" w14:textId="77777777" w:rsidR="00133302" w:rsidRDefault="00133302" w:rsidP="00617508"/>
    <w:p w14:paraId="676437FD" w14:textId="77777777" w:rsidR="00133302" w:rsidRDefault="00133302" w:rsidP="00617508"/>
    <w:p w14:paraId="0AC4CF76" w14:textId="77777777" w:rsidR="00133302" w:rsidRDefault="00133302" w:rsidP="00617508"/>
    <w:p w14:paraId="3B57A095" w14:textId="77777777" w:rsidR="00133302" w:rsidRDefault="00133302" w:rsidP="00617508"/>
    <w:p w14:paraId="2BB84F3E" w14:textId="77777777" w:rsidR="00420AA9" w:rsidRDefault="00420AA9">
      <w:r>
        <w:br w:type="page"/>
      </w:r>
    </w:p>
    <w:p w14:paraId="58C4D291" w14:textId="26F8295D" w:rsidR="00133302" w:rsidRPr="00420AA9" w:rsidRDefault="00420AA9" w:rsidP="43052783">
      <w:pPr>
        <w:rPr>
          <w:b/>
          <w:bCs/>
        </w:rPr>
      </w:pPr>
      <w:r w:rsidRPr="43052783">
        <w:rPr>
          <w:b/>
          <w:bCs/>
        </w:rPr>
        <w:lastRenderedPageBreak/>
        <w:t>PACP</w:t>
      </w:r>
      <w:r w:rsidR="004D695F">
        <w:rPr>
          <w:b/>
          <w:bCs/>
        </w:rPr>
        <w:t>-0</w:t>
      </w:r>
      <w:r w:rsidR="00CD14E9">
        <w:rPr>
          <w:b/>
          <w:bCs/>
        </w:rPr>
        <w:t>7</w:t>
      </w:r>
    </w:p>
    <w:p w14:paraId="11CEE4BD" w14:textId="77777777" w:rsidR="00420AA9" w:rsidRPr="00420AA9" w:rsidRDefault="00420AA9" w:rsidP="00617508">
      <w:pPr>
        <w:rPr>
          <w:b/>
        </w:rPr>
      </w:pPr>
      <w:r w:rsidRPr="00420AA9">
        <w:rPr>
          <w:b/>
        </w:rPr>
        <w:t>MOD</w:t>
      </w:r>
    </w:p>
    <w:p w14:paraId="4929D4E4" w14:textId="416792CC" w:rsidR="00420AA9" w:rsidRDefault="00420AA9" w:rsidP="00420AA9">
      <w:pPr>
        <w:jc w:val="both"/>
        <w:rPr>
          <w:b/>
        </w:rPr>
      </w:pPr>
    </w:p>
    <w:p w14:paraId="64D90B70" w14:textId="6AD2D53C" w:rsidR="008C424A" w:rsidRPr="008C424A" w:rsidRDefault="008C424A" w:rsidP="008C424A">
      <w:pPr>
        <w:pStyle w:val="Proposal"/>
        <w:jc w:val="center"/>
        <w:rPr>
          <w:rFonts w:hAnsiTheme="minorHAnsi" w:cstheme="minorHAnsi"/>
          <w:sz w:val="28"/>
        </w:rPr>
      </w:pPr>
      <w:r w:rsidRPr="008C424A">
        <w:rPr>
          <w:rFonts w:hAnsiTheme="minorHAnsi" w:cstheme="minorHAnsi"/>
          <w:sz w:val="28"/>
        </w:rPr>
        <w:t xml:space="preserve">RESOLUTION </w:t>
      </w:r>
      <w:r w:rsidRPr="008C424A">
        <w:rPr>
          <w:rStyle w:val="href"/>
          <w:rFonts w:hAnsiTheme="minorHAnsi" w:cstheme="minorHAnsi"/>
          <w:sz w:val="28"/>
        </w:rPr>
        <w:t>100</w:t>
      </w:r>
      <w:r w:rsidRPr="008C424A">
        <w:rPr>
          <w:rFonts w:hAnsiTheme="minorHAnsi" w:cstheme="minorHAnsi"/>
          <w:sz w:val="28"/>
        </w:rPr>
        <w:t xml:space="preserve"> (</w:t>
      </w:r>
      <w:del w:id="0" w:author="Author">
        <w:r w:rsidR="005D3BD2" w:rsidRPr="005D3BD2" w:rsidDel="005D3BD2">
          <w:rPr>
            <w:rFonts w:hAnsiTheme="minorHAnsi" w:cstheme="minorHAnsi"/>
            <w:sz w:val="28"/>
          </w:rPr>
          <w:delText>Minneapolis, 1998</w:delText>
        </w:r>
      </w:del>
      <w:ins w:id="1" w:author="Author">
        <w:r w:rsidR="005D3BD2">
          <w:rPr>
            <w:rFonts w:hAnsiTheme="minorHAnsi" w:cstheme="minorHAnsi"/>
            <w:sz w:val="28"/>
          </w:rPr>
          <w:t xml:space="preserve">Rev. </w:t>
        </w:r>
        <w:r w:rsidRPr="008C424A">
          <w:rPr>
            <w:rFonts w:hAnsiTheme="minorHAnsi" w:cstheme="minorHAnsi"/>
            <w:sz w:val="28"/>
          </w:rPr>
          <w:t>Bucharest, 2022</w:t>
        </w:r>
      </w:ins>
      <w:r w:rsidRPr="008C424A">
        <w:rPr>
          <w:rFonts w:hAnsiTheme="minorHAnsi" w:cstheme="minorHAnsi"/>
          <w:sz w:val="28"/>
        </w:rPr>
        <w:t>)</w:t>
      </w:r>
    </w:p>
    <w:p w14:paraId="7598B501" w14:textId="77777777" w:rsidR="008C424A" w:rsidRPr="008C424A" w:rsidRDefault="008C424A" w:rsidP="008C424A">
      <w:pPr>
        <w:pStyle w:val="Restitle"/>
        <w:rPr>
          <w:rFonts w:asciiTheme="minorHAnsi" w:hAnsiTheme="minorHAnsi" w:cstheme="minorHAnsi"/>
        </w:rPr>
      </w:pPr>
      <w:bookmarkStart w:id="2" w:name="_Toc164569822"/>
      <w:r w:rsidRPr="008C424A">
        <w:rPr>
          <w:rFonts w:asciiTheme="minorHAnsi" w:hAnsiTheme="minorHAnsi" w:cstheme="minorHAnsi"/>
        </w:rPr>
        <w:t xml:space="preserve">Role of the Secretary-General of ITU as depositary </w:t>
      </w:r>
      <w:r w:rsidRPr="008C424A">
        <w:rPr>
          <w:rFonts w:asciiTheme="minorHAnsi" w:hAnsiTheme="minorHAnsi" w:cstheme="minorHAnsi"/>
        </w:rPr>
        <w:br/>
        <w:t>for memoranda of understanding</w:t>
      </w:r>
      <w:bookmarkEnd w:id="2"/>
    </w:p>
    <w:p w14:paraId="7E64E816" w14:textId="6526292B" w:rsidR="008C424A" w:rsidRPr="008C424A" w:rsidRDefault="008C424A" w:rsidP="008C424A">
      <w:pPr>
        <w:pStyle w:val="Normalaftertitle"/>
        <w:rPr>
          <w:rFonts w:asciiTheme="minorHAnsi" w:hAnsiTheme="minorHAnsi" w:cstheme="minorHAnsi"/>
          <w:szCs w:val="24"/>
        </w:rPr>
      </w:pPr>
      <w:r w:rsidRPr="008C424A">
        <w:rPr>
          <w:rFonts w:asciiTheme="minorHAnsi" w:hAnsiTheme="minorHAnsi" w:cstheme="minorHAnsi"/>
          <w:szCs w:val="24"/>
        </w:rPr>
        <w:t>The Plenipotentiary Conference of the International Telecommunication Union (</w:t>
      </w:r>
      <w:del w:id="3" w:author="Author">
        <w:r w:rsidR="005D3BD2" w:rsidRPr="005D3BD2" w:rsidDel="005D3BD2">
          <w:rPr>
            <w:rFonts w:asciiTheme="minorHAnsi" w:hAnsiTheme="minorHAnsi" w:cstheme="minorHAnsi"/>
            <w:szCs w:val="24"/>
          </w:rPr>
          <w:delText>Minneapolis, 1998</w:delText>
        </w:r>
      </w:del>
      <w:ins w:id="4" w:author="Author">
        <w:r w:rsidR="005D3BD2">
          <w:rPr>
            <w:rFonts w:asciiTheme="minorHAnsi" w:hAnsiTheme="minorHAnsi" w:cstheme="minorHAnsi"/>
            <w:szCs w:val="24"/>
          </w:rPr>
          <w:t xml:space="preserve">Rev. </w:t>
        </w:r>
        <w:r w:rsidRPr="008C424A">
          <w:rPr>
            <w:rFonts w:asciiTheme="minorHAnsi" w:hAnsiTheme="minorHAnsi" w:cstheme="minorHAnsi"/>
            <w:szCs w:val="24"/>
          </w:rPr>
          <w:t>Bucharest 2022</w:t>
        </w:r>
      </w:ins>
      <w:r w:rsidRPr="008C424A">
        <w:rPr>
          <w:rFonts w:asciiTheme="minorHAnsi" w:hAnsiTheme="minorHAnsi" w:cstheme="minorHAnsi"/>
          <w:szCs w:val="24"/>
        </w:rPr>
        <w:t>),</w:t>
      </w:r>
    </w:p>
    <w:p w14:paraId="00289699" w14:textId="77777777" w:rsidR="008C424A" w:rsidRPr="008C424A" w:rsidRDefault="008C424A" w:rsidP="008C424A">
      <w:pPr>
        <w:pStyle w:val="Heading1"/>
        <w:ind w:left="284" w:firstLine="436"/>
        <w:rPr>
          <w:rFonts w:asciiTheme="minorHAnsi" w:hAnsiTheme="minorHAnsi" w:cstheme="minorHAnsi"/>
          <w:i/>
          <w:color w:val="auto"/>
          <w:sz w:val="24"/>
          <w:szCs w:val="24"/>
        </w:rPr>
      </w:pPr>
      <w:r w:rsidRPr="008C424A">
        <w:rPr>
          <w:rFonts w:asciiTheme="minorHAnsi" w:hAnsiTheme="minorHAnsi" w:cstheme="minorHAnsi"/>
          <w:i/>
          <w:color w:val="auto"/>
          <w:sz w:val="24"/>
          <w:szCs w:val="24"/>
        </w:rPr>
        <w:t>considering</w:t>
      </w:r>
    </w:p>
    <w:p w14:paraId="30260FC6" w14:textId="77777777" w:rsidR="008C424A" w:rsidRPr="008C424A" w:rsidRDefault="008C424A" w:rsidP="008C424A"/>
    <w:p w14:paraId="3F37EE81" w14:textId="77777777" w:rsidR="008C424A" w:rsidRDefault="008C424A" w:rsidP="008C424A">
      <w:pPr>
        <w:rPr>
          <w:rFonts w:asciiTheme="minorHAnsi" w:hAnsiTheme="minorHAnsi" w:cstheme="minorHAnsi"/>
        </w:rPr>
      </w:pPr>
      <w:r w:rsidRPr="008C424A">
        <w:rPr>
          <w:rFonts w:asciiTheme="minorHAnsi" w:hAnsiTheme="minorHAnsi" w:cstheme="minorHAnsi"/>
          <w:i/>
          <w:iCs/>
        </w:rPr>
        <w:t>a)</w:t>
      </w:r>
      <w:r w:rsidRPr="008C424A">
        <w:rPr>
          <w:rFonts w:asciiTheme="minorHAnsi" w:hAnsiTheme="minorHAnsi" w:cstheme="minorHAnsi"/>
        </w:rPr>
        <w:t xml:space="preserve"> </w:t>
      </w:r>
      <w:r w:rsidRPr="008C424A">
        <w:rPr>
          <w:rFonts w:asciiTheme="minorHAnsi" w:hAnsiTheme="minorHAnsi" w:cstheme="minorHAnsi"/>
        </w:rPr>
        <w:tab/>
        <w:t>that one of the purposes of the Union as set out in Article 1 of the Constitution is to maintain and extend international cooperation between all its Member States for the improvement and rational use of telecommunications of all kinds;</w:t>
      </w:r>
    </w:p>
    <w:p w14:paraId="5FC5AF57" w14:textId="77777777" w:rsidR="008C424A" w:rsidRPr="008C424A" w:rsidRDefault="008C424A" w:rsidP="008C424A">
      <w:pPr>
        <w:rPr>
          <w:rFonts w:asciiTheme="minorHAnsi" w:hAnsiTheme="minorHAnsi" w:cstheme="minorHAnsi"/>
        </w:rPr>
      </w:pPr>
    </w:p>
    <w:p w14:paraId="3DE48CB3" w14:textId="77777777" w:rsidR="008C424A" w:rsidRPr="008C424A" w:rsidRDefault="008C424A" w:rsidP="008C424A">
      <w:pPr>
        <w:rPr>
          <w:rFonts w:asciiTheme="minorHAnsi" w:hAnsiTheme="minorHAnsi" w:cstheme="minorHAnsi"/>
        </w:rPr>
      </w:pPr>
      <w:r w:rsidRPr="008C424A">
        <w:rPr>
          <w:rFonts w:asciiTheme="minorHAnsi" w:hAnsiTheme="minorHAnsi" w:cstheme="minorHAnsi"/>
        </w:rPr>
        <w:t>b)</w:t>
      </w:r>
      <w:r w:rsidRPr="008C424A">
        <w:rPr>
          <w:rFonts w:asciiTheme="minorHAnsi" w:hAnsiTheme="minorHAnsi" w:cstheme="minorHAnsi"/>
        </w:rPr>
        <w:tab/>
        <w:t>that another purpose of the Union is to promote, at the international level, the adoption of a broader approach to the issues of telecommunications in the global information economy and society, by cooperating with other world and regional intergovernmental organizations and those non-governmental organizations concerned with telecommunications,</w:t>
      </w:r>
    </w:p>
    <w:p w14:paraId="03F67EAE" w14:textId="77777777" w:rsidR="008C424A" w:rsidRPr="008C424A" w:rsidRDefault="008C424A" w:rsidP="008C424A">
      <w:pPr>
        <w:pStyle w:val="Heading1"/>
        <w:ind w:left="284" w:firstLine="436"/>
        <w:rPr>
          <w:rFonts w:asciiTheme="minorHAnsi" w:hAnsiTheme="minorHAnsi" w:cstheme="minorHAnsi"/>
          <w:i/>
          <w:color w:val="auto"/>
          <w:sz w:val="24"/>
          <w:szCs w:val="24"/>
        </w:rPr>
      </w:pPr>
      <w:r w:rsidRPr="008C424A">
        <w:rPr>
          <w:rFonts w:asciiTheme="minorHAnsi" w:hAnsiTheme="minorHAnsi" w:cstheme="minorHAnsi"/>
          <w:i/>
          <w:color w:val="auto"/>
          <w:sz w:val="24"/>
          <w:szCs w:val="24"/>
        </w:rPr>
        <w:t>noting</w:t>
      </w:r>
    </w:p>
    <w:p w14:paraId="22668FE9" w14:textId="77777777" w:rsidR="008C424A" w:rsidRPr="008C424A" w:rsidRDefault="008C424A" w:rsidP="008C424A"/>
    <w:p w14:paraId="53ABA80C" w14:textId="51490756" w:rsidR="008C424A" w:rsidRDefault="008C424A" w:rsidP="008C424A">
      <w:pPr>
        <w:rPr>
          <w:ins w:id="5" w:author="Author"/>
          <w:rFonts w:asciiTheme="minorHAnsi" w:hAnsiTheme="minorHAnsi" w:cstheme="minorHAnsi"/>
        </w:rPr>
      </w:pPr>
      <w:r w:rsidRPr="008C424A">
        <w:rPr>
          <w:rFonts w:asciiTheme="minorHAnsi" w:hAnsiTheme="minorHAnsi" w:cstheme="minorHAnsi"/>
        </w:rPr>
        <w:t>that cooperative multilateral action in the field of telecommunications is increasingly being achieved through the conclusion of memoranda of understanding (”MoUs”), which are generally non-binding instruments used to reflect international consensus on a matter, and in which both Member States and Sector Members may participate,</w:t>
      </w:r>
    </w:p>
    <w:p w14:paraId="38DDD915" w14:textId="5796A55D" w:rsidR="00126884" w:rsidRPr="003434D2" w:rsidDel="001D2339" w:rsidRDefault="00126884" w:rsidP="43052783">
      <w:pPr>
        <w:pStyle w:val="Heading1"/>
        <w:rPr>
          <w:del w:id="6" w:author="Author"/>
          <w:rFonts w:asciiTheme="minorHAnsi" w:hAnsiTheme="minorHAnsi" w:cstheme="minorBidi"/>
          <w:i/>
          <w:iCs/>
          <w:color w:val="auto"/>
          <w:sz w:val="24"/>
          <w:szCs w:val="24"/>
        </w:rPr>
      </w:pPr>
      <w:del w:id="7" w:author="Author">
        <w:r w:rsidDel="001D2339">
          <w:rPr>
            <w:rFonts w:asciiTheme="minorHAnsi" w:hAnsiTheme="minorHAnsi" w:cstheme="minorHAnsi"/>
            <w:color w:val="auto"/>
            <w:sz w:val="24"/>
            <w:szCs w:val="24"/>
          </w:rPr>
          <w:tab/>
        </w:r>
        <w:r w:rsidRPr="43052783" w:rsidDel="00126884">
          <w:rPr>
            <w:rFonts w:asciiTheme="minorHAnsi" w:hAnsiTheme="minorHAnsi" w:cstheme="minorBidi"/>
            <w:i/>
            <w:iCs/>
            <w:sz w:val="24"/>
            <w:szCs w:val="24"/>
            <w:rPrChange w:id="8" w:author="Author">
              <w:rPr>
                <w:rFonts w:asciiTheme="minorHAnsi" w:hAnsiTheme="minorHAnsi" w:cstheme="minorBidi"/>
                <w:i/>
                <w:iCs/>
              </w:rPr>
            </w:rPrChange>
          </w:rPr>
          <w:delText>appreciating</w:delText>
        </w:r>
      </w:del>
    </w:p>
    <w:p w14:paraId="31DDBFDD" w14:textId="7BC8CF2E" w:rsidR="00126884" w:rsidRPr="003434D2" w:rsidDel="001D2339" w:rsidRDefault="00126884" w:rsidP="43052783">
      <w:pPr>
        <w:pStyle w:val="Call"/>
        <w:ind w:left="0"/>
        <w:rPr>
          <w:del w:id="9" w:author="Author"/>
          <w:rFonts w:asciiTheme="minorHAnsi" w:hAnsiTheme="minorHAnsi" w:cstheme="minorBidi"/>
          <w:i w:val="0"/>
        </w:rPr>
      </w:pPr>
      <w:del w:id="10" w:author="Author">
        <w:r w:rsidRPr="43052783" w:rsidDel="00126884">
          <w:rPr>
            <w:rFonts w:asciiTheme="minorHAnsi" w:hAnsiTheme="minorHAnsi" w:cstheme="minorBidi"/>
            <w:i w:val="0"/>
          </w:rPr>
          <w:delText>the successful implementation of the MoU on global mobile personal communications by satellite (GMPCS), which is open to Member States, Sector Members and other telecommunication entities to sign, and the role of the Secretary-General as depositary for that MoU, as approved by Council,</w:delText>
        </w:r>
        <w:r w:rsidRPr="43052783" w:rsidDel="00126884">
          <w:rPr>
            <w:rFonts w:asciiTheme="minorHAnsi" w:hAnsiTheme="minorHAnsi" w:cstheme="minorBidi"/>
          </w:rPr>
          <w:delText xml:space="preserve"> </w:delText>
        </w:r>
      </w:del>
    </w:p>
    <w:p w14:paraId="03AC2755" w14:textId="6264E53E" w:rsidR="008C424A" w:rsidDel="00126884" w:rsidRDefault="00126884" w:rsidP="43052783">
      <w:pPr>
        <w:pStyle w:val="Heading1"/>
        <w:ind w:left="720"/>
        <w:rPr>
          <w:del w:id="11" w:author="Author"/>
          <w:rFonts w:asciiTheme="minorHAnsi" w:hAnsiTheme="minorHAnsi" w:cstheme="minorBidi"/>
          <w:i/>
          <w:iCs/>
          <w:color w:val="auto"/>
          <w:sz w:val="24"/>
          <w:szCs w:val="24"/>
        </w:rPr>
      </w:pPr>
      <w:del w:id="12" w:author="Author">
        <w:r w:rsidRPr="43052783" w:rsidDel="00126884">
          <w:rPr>
            <w:rFonts w:asciiTheme="minorHAnsi" w:hAnsiTheme="minorHAnsi" w:cstheme="minorBidi"/>
            <w:i/>
            <w:iCs/>
            <w:rPrChange w:id="13" w:author="Author">
              <w:rPr>
                <w:rFonts w:asciiTheme="minorHAnsi" w:hAnsiTheme="minorHAnsi" w:cstheme="minorBidi"/>
              </w:rPr>
            </w:rPrChange>
          </w:rPr>
          <w:delText>observing</w:delText>
        </w:r>
      </w:del>
      <w:bookmarkStart w:id="14" w:name="_Hlk102138038"/>
      <w:r w:rsidR="0023378C" w:rsidRPr="43052783">
        <w:rPr>
          <w:rFonts w:asciiTheme="minorHAnsi" w:hAnsiTheme="minorHAnsi" w:cstheme="minorBidi"/>
          <w:i/>
          <w:iCs/>
          <w:color w:val="auto"/>
          <w:sz w:val="24"/>
          <w:szCs w:val="24"/>
        </w:rPr>
        <w:t xml:space="preserve"> </w:t>
      </w:r>
      <w:ins w:id="15" w:author="Author">
        <w:r w:rsidRPr="43052783">
          <w:rPr>
            <w:rFonts w:asciiTheme="minorHAnsi" w:hAnsiTheme="minorHAnsi" w:cstheme="minorBidi"/>
            <w:i/>
            <w:iCs/>
            <w:color w:val="auto"/>
            <w:sz w:val="24"/>
            <w:szCs w:val="24"/>
          </w:rPr>
          <w:t>recognizing</w:t>
        </w:r>
      </w:ins>
      <w:del w:id="16" w:author="Author">
        <w:r w:rsidRPr="43052783" w:rsidDel="008C424A">
          <w:rPr>
            <w:rFonts w:asciiTheme="minorHAnsi" w:hAnsiTheme="minorHAnsi" w:cstheme="minorBidi"/>
            <w:i/>
            <w:iCs/>
            <w:color w:val="auto"/>
            <w:sz w:val="24"/>
            <w:szCs w:val="24"/>
          </w:rPr>
          <w:delText xml:space="preserve"> </w:delText>
        </w:r>
      </w:del>
    </w:p>
    <w:p w14:paraId="7E6D90C9" w14:textId="60F16200" w:rsidR="00E94016" w:rsidRPr="00E94016" w:rsidRDefault="00E94016" w:rsidP="00E94016"/>
    <w:p w14:paraId="4C5875F7" w14:textId="2799EA93" w:rsidR="008C424A" w:rsidRDefault="008C424A" w:rsidP="43052783">
      <w:pPr>
        <w:rPr>
          <w:rFonts w:asciiTheme="minorHAnsi" w:hAnsiTheme="minorHAnsi" w:cstheme="minorBidi"/>
        </w:rPr>
      </w:pPr>
      <w:ins w:id="17" w:author="Author">
        <w:r w:rsidRPr="43052783">
          <w:rPr>
            <w:rFonts w:asciiTheme="minorHAnsi" w:hAnsiTheme="minorHAnsi" w:cstheme="minorBidi"/>
          </w:rPr>
          <w:t>a)</w:t>
        </w:r>
        <w:r>
          <w:tab/>
        </w:r>
      </w:ins>
      <w:r w:rsidRPr="43052783">
        <w:rPr>
          <w:rFonts w:asciiTheme="minorHAnsi" w:hAnsiTheme="minorHAnsi" w:cstheme="minorBidi"/>
        </w:rPr>
        <w:t xml:space="preserve">that the Secretary-General </w:t>
      </w:r>
      <w:ins w:id="18" w:author="Author">
        <w:r w:rsidRPr="43052783">
          <w:rPr>
            <w:rFonts w:asciiTheme="minorHAnsi" w:hAnsiTheme="minorHAnsi" w:cstheme="minorBidi"/>
          </w:rPr>
          <w:t xml:space="preserve"> </w:t>
        </w:r>
      </w:ins>
      <w:del w:id="19" w:author="Author">
        <w:r w:rsidRPr="43052783" w:rsidDel="001D2339">
          <w:rPr>
            <w:rFonts w:asciiTheme="minorHAnsi" w:hAnsiTheme="minorHAnsi" w:cstheme="minorBidi"/>
          </w:rPr>
          <w:delText xml:space="preserve">has recently received a number of requests to </w:delText>
        </w:r>
      </w:del>
      <w:ins w:id="20" w:author="Author">
        <w:r w:rsidRPr="43052783">
          <w:rPr>
            <w:rFonts w:asciiTheme="minorHAnsi" w:hAnsiTheme="minorHAnsi" w:cstheme="minorBidi"/>
          </w:rPr>
          <w:t>traditionally</w:t>
        </w:r>
      </w:ins>
      <w:r w:rsidRPr="43052783">
        <w:rPr>
          <w:rFonts w:asciiTheme="minorHAnsi" w:hAnsiTheme="minorHAnsi" w:cstheme="minorBidi"/>
        </w:rPr>
        <w:t xml:space="preserve"> </w:t>
      </w:r>
      <w:bookmarkStart w:id="21" w:name="_Hlk102138090"/>
      <w:r w:rsidRPr="43052783">
        <w:rPr>
          <w:rFonts w:asciiTheme="minorHAnsi" w:hAnsiTheme="minorHAnsi" w:cstheme="minorBidi"/>
        </w:rPr>
        <w:t>serve</w:t>
      </w:r>
      <w:ins w:id="22" w:author="Author">
        <w:r w:rsidRPr="43052783">
          <w:rPr>
            <w:rFonts w:asciiTheme="minorHAnsi" w:hAnsiTheme="minorHAnsi" w:cstheme="minorBidi"/>
          </w:rPr>
          <w:t>s</w:t>
        </w:r>
      </w:ins>
      <w:bookmarkEnd w:id="21"/>
      <w:r w:rsidRPr="43052783">
        <w:rPr>
          <w:rFonts w:asciiTheme="minorHAnsi" w:hAnsiTheme="minorHAnsi" w:cstheme="minorBidi"/>
        </w:rPr>
        <w:t xml:space="preserve"> as depositary for </w:t>
      </w:r>
      <w:del w:id="23" w:author="Author">
        <w:r w:rsidRPr="43052783" w:rsidDel="001D2339">
          <w:rPr>
            <w:rFonts w:asciiTheme="minorHAnsi" w:hAnsiTheme="minorHAnsi" w:cstheme="minorBidi"/>
          </w:rPr>
          <w:delText xml:space="preserve">other </w:delText>
        </w:r>
      </w:del>
      <w:r w:rsidRPr="43052783">
        <w:rPr>
          <w:rFonts w:asciiTheme="minorHAnsi" w:hAnsiTheme="minorHAnsi" w:cstheme="minorBidi"/>
        </w:rPr>
        <w:t>MoUs that relate to telecommunications,</w:t>
      </w:r>
    </w:p>
    <w:p w14:paraId="78B263D0" w14:textId="77777777" w:rsidR="008C424A" w:rsidRPr="008C424A" w:rsidRDefault="008C424A" w:rsidP="008C424A">
      <w:pPr>
        <w:rPr>
          <w:ins w:id="24" w:author="Author"/>
          <w:rFonts w:asciiTheme="minorHAnsi" w:hAnsiTheme="minorHAnsi" w:cstheme="minorHAnsi"/>
        </w:rPr>
      </w:pPr>
    </w:p>
    <w:bookmarkEnd w:id="14"/>
    <w:p w14:paraId="6EAC0FA8" w14:textId="77777777" w:rsidR="008C424A" w:rsidRDefault="008C424A" w:rsidP="008C424A">
      <w:pPr>
        <w:rPr>
          <w:rFonts w:asciiTheme="minorHAnsi" w:hAnsiTheme="minorHAnsi" w:cstheme="minorHAnsi"/>
        </w:rPr>
      </w:pPr>
      <w:ins w:id="25" w:author="Author">
        <w:r w:rsidRPr="008C424A">
          <w:rPr>
            <w:rFonts w:asciiTheme="minorHAnsi" w:hAnsiTheme="minorHAnsi" w:cstheme="minorHAnsi"/>
          </w:rPr>
          <w:t>b)</w:t>
        </w:r>
        <w:r w:rsidRPr="008C424A">
          <w:rPr>
            <w:rFonts w:asciiTheme="minorHAnsi" w:hAnsiTheme="minorHAnsi" w:cstheme="minorHAnsi"/>
          </w:rPr>
          <w:tab/>
          <w:t>that the 2018 Plenipotentiary Conference agreed MoUs in which the ITU is a participant, that have substantial and/or strategic implications, should only be entered into subject to Council’s prior approval,</w:t>
        </w:r>
      </w:ins>
    </w:p>
    <w:p w14:paraId="59E18BDA" w14:textId="77777777" w:rsidR="00E94016" w:rsidRDefault="00E94016" w:rsidP="008C424A">
      <w:pPr>
        <w:rPr>
          <w:rFonts w:asciiTheme="minorHAnsi" w:hAnsiTheme="minorHAnsi" w:cstheme="minorHAnsi"/>
        </w:rPr>
      </w:pPr>
    </w:p>
    <w:p w14:paraId="3CBF12B9" w14:textId="77777777" w:rsidR="00E94016" w:rsidRPr="008C424A" w:rsidRDefault="00E94016" w:rsidP="008C424A">
      <w:pPr>
        <w:rPr>
          <w:rFonts w:asciiTheme="minorHAnsi" w:hAnsiTheme="minorHAnsi" w:cstheme="minorHAnsi"/>
        </w:rPr>
      </w:pPr>
    </w:p>
    <w:p w14:paraId="093E0599" w14:textId="77777777" w:rsidR="008C424A" w:rsidRDefault="008C424A" w:rsidP="008C424A">
      <w:pPr>
        <w:pStyle w:val="Heading1"/>
        <w:ind w:left="284" w:firstLine="436"/>
        <w:rPr>
          <w:rFonts w:asciiTheme="minorHAnsi" w:hAnsiTheme="minorHAnsi" w:cstheme="minorHAnsi"/>
          <w:i/>
          <w:color w:val="auto"/>
          <w:sz w:val="24"/>
          <w:szCs w:val="24"/>
        </w:rPr>
      </w:pPr>
      <w:r w:rsidRPr="008C424A">
        <w:rPr>
          <w:rFonts w:asciiTheme="minorHAnsi" w:hAnsiTheme="minorHAnsi" w:cstheme="minorHAnsi"/>
          <w:i/>
          <w:color w:val="auto"/>
          <w:sz w:val="24"/>
          <w:szCs w:val="24"/>
        </w:rPr>
        <w:lastRenderedPageBreak/>
        <w:t>believing</w:t>
      </w:r>
    </w:p>
    <w:p w14:paraId="2B696F83" w14:textId="77777777" w:rsidR="008C424A" w:rsidRPr="008C424A" w:rsidRDefault="008C424A" w:rsidP="008C424A"/>
    <w:p w14:paraId="06E7BF86" w14:textId="77777777" w:rsidR="008C424A" w:rsidRPr="008C424A" w:rsidRDefault="008C424A" w:rsidP="008C424A">
      <w:pPr>
        <w:rPr>
          <w:rFonts w:asciiTheme="minorHAnsi" w:hAnsiTheme="minorHAnsi" w:cstheme="minorHAnsi"/>
        </w:rPr>
      </w:pPr>
      <w:r w:rsidRPr="008C424A">
        <w:rPr>
          <w:rFonts w:asciiTheme="minorHAnsi" w:hAnsiTheme="minorHAnsi" w:cstheme="minorHAnsi"/>
        </w:rPr>
        <w:t>that</w:t>
      </w:r>
      <w:ins w:id="26" w:author="Author">
        <w:r w:rsidRPr="008C424A">
          <w:rPr>
            <w:rFonts w:asciiTheme="minorHAnsi" w:hAnsiTheme="minorHAnsi" w:cstheme="minorHAnsi"/>
          </w:rPr>
          <w:t>,</w:t>
        </w:r>
      </w:ins>
      <w:r w:rsidRPr="008C424A">
        <w:rPr>
          <w:rFonts w:asciiTheme="minorHAnsi" w:hAnsiTheme="minorHAnsi" w:cstheme="minorHAnsi"/>
        </w:rPr>
        <w:t xml:space="preserve"> </w:t>
      </w:r>
      <w:ins w:id="27" w:author="Author">
        <w:r w:rsidRPr="008C424A">
          <w:rPr>
            <w:rFonts w:asciiTheme="minorHAnsi" w:hAnsiTheme="minorHAnsi" w:cstheme="minorHAnsi"/>
          </w:rPr>
          <w:t xml:space="preserve">to ensure transparency and accountability, </w:t>
        </w:r>
      </w:ins>
      <w:r w:rsidRPr="008C424A">
        <w:rPr>
          <w:rFonts w:asciiTheme="minorHAnsi" w:hAnsiTheme="minorHAnsi" w:cstheme="minorHAnsi"/>
        </w:rPr>
        <w:t xml:space="preserve">the Secretary-General’s role </w:t>
      </w:r>
      <w:ins w:id="28" w:author="Author">
        <w:r w:rsidRPr="008C424A">
          <w:rPr>
            <w:rFonts w:asciiTheme="minorHAnsi" w:hAnsiTheme="minorHAnsi" w:cstheme="minorHAnsi"/>
          </w:rPr>
          <w:t xml:space="preserve">entering into MoUs on behalf of the ITU, or serving </w:t>
        </w:r>
      </w:ins>
      <w:r w:rsidRPr="008C424A">
        <w:rPr>
          <w:rFonts w:asciiTheme="minorHAnsi" w:hAnsiTheme="minorHAnsi" w:cstheme="minorHAnsi"/>
        </w:rPr>
        <w:t xml:space="preserve">as </w:t>
      </w:r>
      <w:ins w:id="29" w:author="Author">
        <w:r w:rsidRPr="008C424A">
          <w:rPr>
            <w:rFonts w:asciiTheme="minorHAnsi" w:hAnsiTheme="minorHAnsi" w:cstheme="minorHAnsi"/>
          </w:rPr>
          <w:t xml:space="preserve">a </w:t>
        </w:r>
      </w:ins>
      <w:r w:rsidRPr="008C424A">
        <w:rPr>
          <w:rFonts w:asciiTheme="minorHAnsi" w:hAnsiTheme="minorHAnsi" w:cstheme="minorHAnsi"/>
        </w:rPr>
        <w:t>depositary for any MoU</w:t>
      </w:r>
      <w:ins w:id="30" w:author="Author">
        <w:r w:rsidRPr="008C424A">
          <w:rPr>
            <w:rFonts w:asciiTheme="minorHAnsi" w:hAnsiTheme="minorHAnsi" w:cstheme="minorHAnsi"/>
          </w:rPr>
          <w:t>,</w:t>
        </w:r>
      </w:ins>
      <w:r w:rsidRPr="008C424A">
        <w:rPr>
          <w:rFonts w:asciiTheme="minorHAnsi" w:hAnsiTheme="minorHAnsi" w:cstheme="minorHAnsi"/>
        </w:rPr>
        <w:t xml:space="preserve"> must follow established criteria and guidelines and must be in line with the general practices of the United Nations system,</w:t>
      </w:r>
    </w:p>
    <w:p w14:paraId="3E54628F" w14:textId="5035B7D4" w:rsidR="00802D93" w:rsidRPr="0023378C" w:rsidDel="00802D93" w:rsidRDefault="00802D93" w:rsidP="43052783">
      <w:pPr>
        <w:pStyle w:val="Call"/>
        <w:rPr>
          <w:del w:id="31" w:author="Author"/>
        </w:rPr>
      </w:pPr>
      <w:del w:id="32" w:author="Author">
        <w:r w:rsidDel="00802D93">
          <w:delText>instructs the Council</w:delText>
        </w:r>
      </w:del>
    </w:p>
    <w:p w14:paraId="4655CB62" w14:textId="451EB83B" w:rsidR="00802D93" w:rsidRPr="003434D2" w:rsidDel="00802D93" w:rsidRDefault="00802D93" w:rsidP="43052783">
      <w:pPr>
        <w:rPr>
          <w:del w:id="33" w:author="Author"/>
        </w:rPr>
      </w:pPr>
      <w:del w:id="34" w:author="Author">
        <w:r w:rsidDel="00802D93">
          <w:delText>1</w:delText>
        </w:r>
        <w:r>
          <w:tab/>
        </w:r>
        <w:r w:rsidDel="00802D93">
          <w:delText>to formulate criteria and guidelines for the Secretary-General to respond to requests to serve as depositary for MoUs, based on the following principles:</w:delText>
        </w:r>
      </w:del>
    </w:p>
    <w:p w14:paraId="64685AB9" w14:textId="2AAA877E" w:rsidR="00802D93" w:rsidRPr="003434D2" w:rsidDel="00802D93" w:rsidRDefault="00802D93" w:rsidP="43052783">
      <w:pPr>
        <w:pStyle w:val="enumlev1"/>
        <w:rPr>
          <w:del w:id="35" w:author="Author"/>
        </w:rPr>
      </w:pPr>
      <w:del w:id="36" w:author="Author">
        <w:r w:rsidDel="00802D93">
          <w:delText>a)</w:delText>
        </w:r>
        <w:r>
          <w:tab/>
        </w:r>
        <w:r w:rsidDel="00802D93">
          <w:delText>that any involvement of the Secretary-General in this capacity should contribute to and be within the purposes of the Union as set forth in Article 1 of the Constitution;</w:delText>
        </w:r>
      </w:del>
    </w:p>
    <w:p w14:paraId="126D492C" w14:textId="47E87EA2" w:rsidR="00802D93" w:rsidRPr="003434D2" w:rsidDel="00802D93" w:rsidRDefault="00802D93" w:rsidP="43052783">
      <w:pPr>
        <w:pStyle w:val="enumlev1"/>
        <w:rPr>
          <w:del w:id="37" w:author="Author"/>
        </w:rPr>
      </w:pPr>
      <w:del w:id="38" w:author="Author">
        <w:r w:rsidDel="00802D93">
          <w:delText>b)</w:delText>
        </w:r>
        <w:r>
          <w:tab/>
        </w:r>
        <w:r w:rsidDel="00802D93">
          <w:delText>that such involvement be on the basis of cost recovery;</w:delText>
        </w:r>
      </w:del>
    </w:p>
    <w:p w14:paraId="059CC7EC" w14:textId="24E66681" w:rsidR="00802D93" w:rsidRPr="003434D2" w:rsidDel="00802D93" w:rsidRDefault="00802D93" w:rsidP="43052783">
      <w:pPr>
        <w:pStyle w:val="enumlev1"/>
        <w:rPr>
          <w:del w:id="39" w:author="Author"/>
        </w:rPr>
      </w:pPr>
      <w:del w:id="40" w:author="Author">
        <w:r w:rsidDel="00802D93">
          <w:delText>c)</w:delText>
        </w:r>
        <w:r>
          <w:tab/>
        </w:r>
        <w:r w:rsidDel="00802D93">
          <w:delText>that interested Member States and Sector Members will be kept informed of the activities of the Secretary-General in serving as depositary of the MoUs and will not be restricted from joining relevant MoUs;</w:delText>
        </w:r>
      </w:del>
    </w:p>
    <w:p w14:paraId="6AAE5F48" w14:textId="6334F85F" w:rsidR="00802D93" w:rsidRPr="003434D2" w:rsidDel="00802D93" w:rsidRDefault="00802D93" w:rsidP="43052783">
      <w:pPr>
        <w:pStyle w:val="enumlev1"/>
        <w:rPr>
          <w:del w:id="41" w:author="Author"/>
        </w:rPr>
      </w:pPr>
      <w:del w:id="42" w:author="Author">
        <w:r w:rsidDel="00802D93">
          <w:delText>d)</w:delText>
        </w:r>
        <w:r>
          <w:tab/>
        </w:r>
        <w:r w:rsidDel="00802D93">
          <w:delText>that the sovereignty and rights of ITU Member States are fully respected and preserved;</w:delText>
        </w:r>
      </w:del>
    </w:p>
    <w:p w14:paraId="3E8A2FFD" w14:textId="65D0704F" w:rsidR="00802D93" w:rsidRPr="003434D2" w:rsidDel="00802D93" w:rsidRDefault="00802D93" w:rsidP="43052783">
      <w:pPr>
        <w:rPr>
          <w:del w:id="43" w:author="Author"/>
        </w:rPr>
      </w:pPr>
      <w:del w:id="44" w:author="Author">
        <w:r w:rsidDel="00802D93">
          <w:delText>2</w:delText>
        </w:r>
        <w:r>
          <w:tab/>
        </w:r>
        <w:r w:rsidDel="00802D93">
          <w:delText>to implement a mechanism to review the Secretary-General’s activities in these matters;</w:delText>
        </w:r>
      </w:del>
    </w:p>
    <w:p w14:paraId="565FC6CA" w14:textId="0351721E" w:rsidR="00802D93" w:rsidRPr="001625CE" w:rsidDel="00802D93" w:rsidRDefault="00802D93" w:rsidP="00802D93">
      <w:pPr>
        <w:rPr>
          <w:del w:id="45" w:author="Author"/>
        </w:rPr>
      </w:pPr>
      <w:del w:id="46" w:author="Author">
        <w:r w:rsidDel="00802D93">
          <w:delText>3</w:delText>
        </w:r>
        <w:r>
          <w:tab/>
        </w:r>
        <w:r w:rsidDel="00802D93">
          <w:delText>to report on the application of this resolution to the next plenipotentiary conference,</w:delText>
        </w:r>
      </w:del>
    </w:p>
    <w:p w14:paraId="7BAD8FE1" w14:textId="77777777" w:rsidR="008C424A" w:rsidRDefault="008C424A" w:rsidP="008C424A">
      <w:pPr>
        <w:pStyle w:val="Heading1"/>
        <w:ind w:left="284" w:firstLine="436"/>
        <w:rPr>
          <w:rFonts w:asciiTheme="minorHAnsi" w:hAnsiTheme="minorHAnsi" w:cstheme="minorHAnsi"/>
          <w:i/>
          <w:color w:val="auto"/>
          <w:sz w:val="24"/>
          <w:szCs w:val="24"/>
        </w:rPr>
      </w:pPr>
      <w:r>
        <w:rPr>
          <w:rFonts w:asciiTheme="minorHAnsi" w:hAnsiTheme="minorHAnsi" w:cstheme="minorHAnsi"/>
          <w:i/>
          <w:color w:val="auto"/>
          <w:sz w:val="24"/>
          <w:szCs w:val="24"/>
        </w:rPr>
        <w:t>r</w:t>
      </w:r>
      <w:r w:rsidRPr="008C424A">
        <w:rPr>
          <w:rFonts w:asciiTheme="minorHAnsi" w:hAnsiTheme="minorHAnsi" w:cstheme="minorHAnsi"/>
          <w:i/>
          <w:color w:val="auto"/>
          <w:sz w:val="24"/>
          <w:szCs w:val="24"/>
        </w:rPr>
        <w:t>esolves</w:t>
      </w:r>
    </w:p>
    <w:p w14:paraId="4C7596A2" w14:textId="77777777" w:rsidR="008C424A" w:rsidRPr="008C424A" w:rsidRDefault="008C424A" w:rsidP="008C424A"/>
    <w:p w14:paraId="5620B445" w14:textId="020CA623" w:rsidR="008C424A" w:rsidRPr="008C424A" w:rsidRDefault="008C424A" w:rsidP="43052783">
      <w:pPr>
        <w:rPr>
          <w:ins w:id="47" w:author="Author"/>
          <w:rFonts w:asciiTheme="minorHAnsi" w:hAnsiTheme="minorHAnsi" w:cstheme="minorBidi"/>
        </w:rPr>
      </w:pPr>
      <w:r w:rsidRPr="43052783">
        <w:rPr>
          <w:rFonts w:asciiTheme="minorHAnsi" w:hAnsiTheme="minorHAnsi" w:cstheme="minorBidi"/>
        </w:rPr>
        <w:t xml:space="preserve">that in keeping with the criteria and guidelines </w:t>
      </w:r>
      <w:del w:id="48" w:author="Author">
        <w:r w:rsidRPr="43052783" w:rsidDel="00802D93">
          <w:rPr>
            <w:rFonts w:asciiTheme="minorHAnsi" w:hAnsiTheme="minorHAnsi" w:cstheme="minorBidi"/>
          </w:rPr>
          <w:delText xml:space="preserve">to be </w:delText>
        </w:r>
      </w:del>
      <w:r w:rsidRPr="43052783">
        <w:rPr>
          <w:rFonts w:asciiTheme="minorHAnsi" w:hAnsiTheme="minorHAnsi" w:cstheme="minorBidi"/>
        </w:rPr>
        <w:t>established by the Council the Secretary-General may</w:t>
      </w:r>
      <w:del w:id="49" w:author="Author">
        <w:r w:rsidRPr="43052783" w:rsidDel="008C424A">
          <w:rPr>
            <w:rFonts w:asciiTheme="minorHAnsi" w:hAnsiTheme="minorHAnsi" w:cstheme="minorBidi"/>
          </w:rPr>
          <w:delText xml:space="preserve"> </w:delText>
        </w:r>
      </w:del>
      <w:ins w:id="50" w:author="Author">
        <w:r w:rsidR="003434D2" w:rsidRPr="43052783">
          <w:rPr>
            <w:rFonts w:asciiTheme="minorHAnsi" w:hAnsiTheme="minorHAnsi" w:cstheme="minorBidi"/>
          </w:rPr>
          <w:t>2021</w:t>
        </w:r>
      </w:ins>
      <w:del w:id="51" w:author="Author">
        <w:r w:rsidRPr="43052783" w:rsidDel="00F56C03">
          <w:rPr>
            <w:rFonts w:asciiTheme="minorHAnsi" w:hAnsiTheme="minorHAnsi" w:cstheme="minorBidi"/>
          </w:rPr>
          <w:delText>with the approval of the Council</w:delText>
        </w:r>
      </w:del>
      <w:ins w:id="52" w:author="Author">
        <w:r w:rsidR="00F56C03" w:rsidRPr="43052783">
          <w:rPr>
            <w:rFonts w:asciiTheme="minorHAnsi" w:hAnsiTheme="minorHAnsi" w:cstheme="minorBidi"/>
          </w:rPr>
          <w:t xml:space="preserve"> </w:t>
        </w:r>
        <w:r w:rsidRPr="43052783">
          <w:rPr>
            <w:rFonts w:asciiTheme="minorHAnsi" w:hAnsiTheme="minorHAnsi" w:cstheme="minorBidi"/>
          </w:rPr>
          <w:t>enter into and</w:t>
        </w:r>
      </w:ins>
      <w:del w:id="53" w:author="Author">
        <w:r w:rsidRPr="43052783" w:rsidDel="008C424A">
          <w:rPr>
            <w:rFonts w:asciiTheme="minorHAnsi" w:hAnsiTheme="minorHAnsi" w:cstheme="minorBidi"/>
          </w:rPr>
          <w:delText>,</w:delText>
        </w:r>
      </w:del>
      <w:r w:rsidRPr="43052783">
        <w:rPr>
          <w:rFonts w:asciiTheme="minorHAnsi" w:hAnsiTheme="minorHAnsi" w:cstheme="minorBidi"/>
        </w:rPr>
        <w:t xml:space="preserve"> serve as depositary for MoUs that relate to telecommunications and that are in the overall interest of the Union</w:t>
      </w:r>
      <w:ins w:id="54" w:author="Author">
        <w:r w:rsidRPr="43052783">
          <w:rPr>
            <w:rFonts w:asciiTheme="minorHAnsi" w:hAnsiTheme="minorHAnsi" w:cstheme="minorBidi"/>
          </w:rPr>
          <w:t>,</w:t>
        </w:r>
      </w:ins>
    </w:p>
    <w:p w14:paraId="3FB098BA" w14:textId="77777777" w:rsidR="008C424A" w:rsidRDefault="008C424A" w:rsidP="008C424A">
      <w:pPr>
        <w:pStyle w:val="Heading1"/>
        <w:ind w:left="284" w:firstLine="436"/>
        <w:rPr>
          <w:rFonts w:asciiTheme="minorHAnsi" w:hAnsiTheme="minorHAnsi" w:cstheme="minorHAnsi"/>
          <w:i/>
          <w:sz w:val="24"/>
          <w:szCs w:val="24"/>
        </w:rPr>
      </w:pPr>
      <w:ins w:id="55" w:author="Author">
        <w:r w:rsidRPr="008C424A">
          <w:rPr>
            <w:rFonts w:asciiTheme="minorHAnsi" w:hAnsiTheme="minorHAnsi" w:cstheme="minorHAnsi"/>
            <w:i/>
            <w:sz w:val="24"/>
            <w:szCs w:val="24"/>
          </w:rPr>
          <w:t xml:space="preserve">instructs </w:t>
        </w:r>
        <w:r w:rsidRPr="008C424A">
          <w:rPr>
            <w:rFonts w:asciiTheme="minorHAnsi" w:hAnsiTheme="minorHAnsi" w:cstheme="minorHAnsi"/>
            <w:i/>
            <w:color w:val="auto"/>
            <w:sz w:val="24"/>
            <w:szCs w:val="24"/>
          </w:rPr>
          <w:t>the</w:t>
        </w:r>
        <w:r w:rsidRPr="008C424A">
          <w:rPr>
            <w:rFonts w:asciiTheme="minorHAnsi" w:hAnsiTheme="minorHAnsi" w:cstheme="minorHAnsi"/>
            <w:i/>
            <w:sz w:val="24"/>
            <w:szCs w:val="24"/>
          </w:rPr>
          <w:t xml:space="preserve"> Secretary General</w:t>
        </w:r>
      </w:ins>
    </w:p>
    <w:p w14:paraId="74DFF35B" w14:textId="77777777" w:rsidR="008C424A" w:rsidRPr="008C424A" w:rsidRDefault="008C424A" w:rsidP="008C424A">
      <w:pPr>
        <w:rPr>
          <w:ins w:id="56" w:author="Author"/>
        </w:rPr>
      </w:pPr>
    </w:p>
    <w:p w14:paraId="4E87D774" w14:textId="77777777" w:rsidR="008C424A" w:rsidRPr="008C424A" w:rsidRDefault="008C424A" w:rsidP="008C424A">
      <w:pPr>
        <w:rPr>
          <w:ins w:id="57" w:author="Author"/>
          <w:rFonts w:asciiTheme="minorHAnsi" w:hAnsiTheme="minorHAnsi" w:cstheme="minorHAnsi"/>
        </w:rPr>
      </w:pPr>
      <w:ins w:id="58" w:author="Author">
        <w:r w:rsidRPr="008C424A">
          <w:rPr>
            <w:rFonts w:asciiTheme="minorHAnsi" w:hAnsiTheme="minorHAnsi" w:cstheme="minorHAnsi"/>
          </w:rPr>
          <w:t>1</w:t>
        </w:r>
        <w:r w:rsidRPr="008C424A">
          <w:rPr>
            <w:rFonts w:asciiTheme="minorHAnsi" w:hAnsiTheme="minorHAnsi" w:cstheme="minorHAnsi"/>
          </w:rPr>
          <w:tab/>
          <w:t>to only enter into MoUs on behalf of the ITU in accordance with the guidelines established by the Council;</w:t>
        </w:r>
      </w:ins>
    </w:p>
    <w:p w14:paraId="4C615E79" w14:textId="77777777" w:rsidR="008C424A" w:rsidRPr="008C424A" w:rsidRDefault="008C424A" w:rsidP="008C424A">
      <w:pPr>
        <w:rPr>
          <w:ins w:id="59" w:author="Author"/>
          <w:rFonts w:asciiTheme="minorHAnsi" w:hAnsiTheme="minorHAnsi" w:cstheme="minorHAnsi"/>
        </w:rPr>
      </w:pPr>
      <w:ins w:id="60" w:author="Author">
        <w:r w:rsidRPr="008C424A">
          <w:rPr>
            <w:rFonts w:asciiTheme="minorHAnsi" w:hAnsiTheme="minorHAnsi" w:cstheme="minorHAnsi"/>
          </w:rPr>
          <w:t>2</w:t>
        </w:r>
        <w:r w:rsidRPr="008C424A">
          <w:rPr>
            <w:rFonts w:asciiTheme="minorHAnsi" w:hAnsiTheme="minorHAnsi" w:cstheme="minorHAnsi"/>
          </w:rPr>
          <w:tab/>
          <w:t>to prepare contributions and provide reports to Council;</w:t>
        </w:r>
      </w:ins>
    </w:p>
    <w:p w14:paraId="4E721FEC" w14:textId="77777777" w:rsidR="008C424A" w:rsidRPr="008C424A" w:rsidRDefault="008C424A" w:rsidP="008C424A">
      <w:pPr>
        <w:rPr>
          <w:ins w:id="61" w:author="Author"/>
          <w:rFonts w:asciiTheme="minorHAnsi" w:hAnsiTheme="minorHAnsi" w:cstheme="minorHAnsi"/>
        </w:rPr>
      </w:pPr>
      <w:ins w:id="62" w:author="Author">
        <w:r w:rsidRPr="008C424A">
          <w:rPr>
            <w:rFonts w:asciiTheme="minorHAnsi" w:hAnsiTheme="minorHAnsi" w:cstheme="minorHAnsi"/>
          </w:rPr>
          <w:t>3</w:t>
        </w:r>
        <w:r w:rsidRPr="008C424A">
          <w:rPr>
            <w:rFonts w:asciiTheme="minorHAnsi" w:hAnsiTheme="minorHAnsi" w:cstheme="minorHAnsi"/>
          </w:rPr>
          <w:tab/>
          <w:t>to obtain Council approval on the ITU’s participation in MoUs, as appropriate, in accordance with the guidelines;</w:t>
        </w:r>
      </w:ins>
    </w:p>
    <w:p w14:paraId="0B3F8405" w14:textId="3CD49BC2" w:rsidR="008C424A" w:rsidRPr="008C424A" w:rsidRDefault="008C424A" w:rsidP="008C424A">
      <w:pPr>
        <w:rPr>
          <w:ins w:id="63" w:author="Author"/>
          <w:rFonts w:asciiTheme="minorHAnsi" w:hAnsiTheme="minorHAnsi" w:cstheme="minorHAnsi"/>
        </w:rPr>
      </w:pPr>
      <w:ins w:id="64" w:author="Author">
        <w:r w:rsidRPr="008C424A">
          <w:rPr>
            <w:rFonts w:asciiTheme="minorHAnsi" w:hAnsiTheme="minorHAnsi" w:cstheme="minorHAnsi"/>
          </w:rPr>
          <w:t>4</w:t>
        </w:r>
        <w:r w:rsidRPr="008C424A">
          <w:rPr>
            <w:rFonts w:asciiTheme="minorHAnsi" w:hAnsiTheme="minorHAnsi" w:cstheme="minorHAnsi"/>
          </w:rPr>
          <w:tab/>
          <w:t>to provide annually to Council a list of all MoUs entered into since the last ordinary session of the Council</w:t>
        </w:r>
        <w:r w:rsidR="00951BAC">
          <w:rPr>
            <w:rFonts w:asciiTheme="minorHAnsi" w:hAnsiTheme="minorHAnsi" w:cstheme="minorHAnsi"/>
          </w:rPr>
          <w:t>,</w:t>
        </w:r>
      </w:ins>
    </w:p>
    <w:p w14:paraId="1EB85AC8" w14:textId="77777777" w:rsidR="008C424A" w:rsidRDefault="008C424A" w:rsidP="008C424A">
      <w:pPr>
        <w:pStyle w:val="Heading1"/>
        <w:ind w:left="284"/>
        <w:rPr>
          <w:rFonts w:asciiTheme="minorHAnsi" w:hAnsiTheme="minorHAnsi" w:cstheme="minorHAnsi"/>
          <w:i/>
          <w:color w:val="auto"/>
          <w:sz w:val="24"/>
          <w:szCs w:val="24"/>
        </w:rPr>
      </w:pPr>
      <w:ins w:id="65" w:author="Author">
        <w:r w:rsidRPr="008C424A">
          <w:rPr>
            <w:rFonts w:asciiTheme="minorHAnsi" w:hAnsiTheme="minorHAnsi" w:cstheme="minorHAnsi"/>
            <w:i/>
            <w:sz w:val="24"/>
            <w:szCs w:val="24"/>
          </w:rPr>
          <w:tab/>
          <w:t xml:space="preserve">instructs the </w:t>
        </w:r>
        <w:r w:rsidRPr="008C424A">
          <w:rPr>
            <w:rFonts w:asciiTheme="minorHAnsi" w:hAnsiTheme="minorHAnsi" w:cstheme="minorHAnsi"/>
            <w:i/>
            <w:color w:val="auto"/>
            <w:sz w:val="24"/>
            <w:szCs w:val="24"/>
          </w:rPr>
          <w:t>Council</w:t>
        </w:r>
      </w:ins>
    </w:p>
    <w:p w14:paraId="217F6F84" w14:textId="77777777" w:rsidR="008C424A" w:rsidRPr="008C424A" w:rsidRDefault="008C424A" w:rsidP="008C424A">
      <w:pPr>
        <w:rPr>
          <w:ins w:id="66" w:author="Author"/>
        </w:rPr>
      </w:pPr>
    </w:p>
    <w:p w14:paraId="30E5F205" w14:textId="4DFA8AC0" w:rsidR="008C424A" w:rsidRPr="00591526" w:rsidRDefault="00591526" w:rsidP="00591526">
      <w:pPr>
        <w:spacing w:after="160" w:line="259" w:lineRule="auto"/>
        <w:rPr>
          <w:ins w:id="67" w:author="Author"/>
          <w:rFonts w:asciiTheme="minorHAnsi" w:hAnsiTheme="minorHAnsi" w:cstheme="minorHAnsi"/>
          <w:lang w:val="en-CA"/>
        </w:rPr>
      </w:pPr>
      <w:ins w:id="68" w:author="Author">
        <w:r>
          <w:rPr>
            <w:rFonts w:asciiTheme="minorHAnsi" w:hAnsiTheme="minorHAnsi" w:cstheme="minorHAnsi"/>
            <w:lang w:val="en-CA"/>
          </w:rPr>
          <w:t>1</w:t>
        </w:r>
        <w:r>
          <w:rPr>
            <w:rFonts w:asciiTheme="minorHAnsi" w:hAnsiTheme="minorHAnsi" w:cstheme="minorHAnsi"/>
            <w:lang w:val="en-CA"/>
          </w:rPr>
          <w:tab/>
        </w:r>
        <w:r w:rsidR="008C424A" w:rsidRPr="00591526">
          <w:rPr>
            <w:rFonts w:asciiTheme="minorHAnsi" w:hAnsiTheme="minorHAnsi" w:cstheme="minorHAnsi"/>
            <w:lang w:val="en-CA"/>
          </w:rPr>
          <w:t>to establish guidelines for entering into MoUs which will ensure an opportunity for Council to approve MoUs that have strategic and/or financial significance</w:t>
        </w:r>
        <w:r w:rsidR="00951BAC">
          <w:rPr>
            <w:rFonts w:asciiTheme="minorHAnsi" w:hAnsiTheme="minorHAnsi" w:cstheme="minorHAnsi"/>
            <w:lang w:val="en-CA"/>
          </w:rPr>
          <w:t>;</w:t>
        </w:r>
        <w:r w:rsidR="008C424A" w:rsidRPr="00591526">
          <w:rPr>
            <w:rFonts w:asciiTheme="minorHAnsi" w:hAnsiTheme="minorHAnsi" w:cstheme="minorHAnsi"/>
            <w:lang w:val="en-CA"/>
          </w:rPr>
          <w:t xml:space="preserve"> </w:t>
        </w:r>
      </w:ins>
    </w:p>
    <w:p w14:paraId="2A63514F" w14:textId="2F2275E8" w:rsidR="008C424A" w:rsidRPr="00C776CA" w:rsidRDefault="00591526" w:rsidP="00591526">
      <w:pPr>
        <w:tabs>
          <w:tab w:val="left" w:pos="720"/>
        </w:tabs>
        <w:snapToGrid w:val="0"/>
        <w:spacing w:after="120"/>
        <w:rPr>
          <w:rFonts w:asciiTheme="minorHAnsi" w:hAnsiTheme="minorHAnsi" w:cstheme="minorHAnsi"/>
          <w:lang w:val="en-CA"/>
        </w:rPr>
      </w:pPr>
      <w:ins w:id="69" w:author="Author">
        <w:r>
          <w:rPr>
            <w:rFonts w:asciiTheme="minorHAnsi" w:hAnsiTheme="minorHAnsi" w:cstheme="minorHAnsi"/>
            <w:lang w:val="en-CA"/>
          </w:rPr>
          <w:t>2</w:t>
        </w:r>
        <w:r>
          <w:rPr>
            <w:rFonts w:asciiTheme="minorHAnsi" w:hAnsiTheme="minorHAnsi" w:cstheme="minorHAnsi"/>
            <w:lang w:val="en-CA"/>
          </w:rPr>
          <w:tab/>
        </w:r>
        <w:r w:rsidR="008C424A" w:rsidRPr="00591526">
          <w:rPr>
            <w:rFonts w:asciiTheme="minorHAnsi" w:hAnsiTheme="minorHAnsi" w:cstheme="minorHAnsi"/>
            <w:lang w:val="en-CA"/>
          </w:rPr>
          <w:t>to</w:t>
        </w:r>
        <w:r w:rsidR="007B6756" w:rsidRPr="00D46D18">
          <w:rPr>
            <w:rFonts w:asciiTheme="minorHAnsi" w:hAnsiTheme="minorHAnsi" w:cstheme="minorHAnsi"/>
            <w:lang w:val="en-CA"/>
          </w:rPr>
          <w:t xml:space="preserve"> </w:t>
        </w:r>
        <w:r w:rsidR="007B6756" w:rsidRPr="00591526">
          <w:rPr>
            <w:rFonts w:asciiTheme="minorHAnsi" w:hAnsiTheme="minorHAnsi" w:cstheme="minorHAnsi"/>
            <w:lang w:val="en-CA"/>
          </w:rPr>
          <w:t>apply the following principles</w:t>
        </w:r>
        <w:r w:rsidR="008C424A" w:rsidRPr="00591526">
          <w:rPr>
            <w:rFonts w:asciiTheme="minorHAnsi" w:hAnsiTheme="minorHAnsi" w:cstheme="minorHAnsi"/>
            <w:lang w:val="en-CA"/>
          </w:rPr>
          <w:t xml:space="preserve"> when considering ITU’s participation in MoUs</w:t>
        </w:r>
        <w:r w:rsidR="00951BAC">
          <w:rPr>
            <w:rFonts w:asciiTheme="minorHAnsi" w:hAnsiTheme="minorHAnsi" w:cstheme="minorHAnsi"/>
            <w:lang w:val="en-CA"/>
          </w:rPr>
          <w:t>:</w:t>
        </w:r>
      </w:ins>
    </w:p>
    <w:p w14:paraId="3F330410" w14:textId="5E096D51" w:rsidR="008C424A" w:rsidRPr="008C424A" w:rsidRDefault="008C424A" w:rsidP="0023378C">
      <w:pPr>
        <w:pStyle w:val="enumlev1"/>
        <w:rPr>
          <w:ins w:id="70" w:author="Author"/>
          <w:rFonts w:asciiTheme="minorHAnsi" w:hAnsiTheme="minorHAnsi" w:cstheme="minorHAnsi"/>
          <w:szCs w:val="24"/>
        </w:rPr>
      </w:pPr>
      <w:ins w:id="71" w:author="Author">
        <w:r w:rsidRPr="008C424A">
          <w:rPr>
            <w:rFonts w:asciiTheme="minorHAnsi" w:hAnsiTheme="minorHAnsi" w:cstheme="minorHAnsi"/>
            <w:iCs/>
            <w:szCs w:val="24"/>
            <w:lang w:val="en-CA"/>
          </w:rPr>
          <w:t>a)</w:t>
        </w:r>
        <w:r w:rsidRPr="008C424A">
          <w:rPr>
            <w:rFonts w:asciiTheme="minorHAnsi" w:hAnsiTheme="minorHAnsi" w:cstheme="minorHAnsi"/>
            <w:iCs/>
            <w:szCs w:val="24"/>
            <w:lang w:val="en-CA"/>
          </w:rPr>
          <w:tab/>
        </w:r>
        <w:r w:rsidR="004E6519">
          <w:rPr>
            <w:rFonts w:asciiTheme="minorHAnsi" w:hAnsiTheme="minorHAnsi" w:cstheme="minorHAnsi"/>
            <w:szCs w:val="24"/>
          </w:rPr>
          <w:t xml:space="preserve">that any </w:t>
        </w:r>
        <w:r w:rsidR="002C6E22">
          <w:rPr>
            <w:rFonts w:asciiTheme="minorHAnsi" w:hAnsiTheme="minorHAnsi" w:cstheme="minorHAnsi"/>
            <w:szCs w:val="24"/>
          </w:rPr>
          <w:t xml:space="preserve">MoUs and </w:t>
        </w:r>
        <w:r w:rsidR="004E6519">
          <w:rPr>
            <w:rFonts w:asciiTheme="minorHAnsi" w:hAnsiTheme="minorHAnsi" w:cstheme="minorHAnsi"/>
            <w:szCs w:val="24"/>
          </w:rPr>
          <w:t xml:space="preserve">involvement of the Secretary General in </w:t>
        </w:r>
        <w:r w:rsidR="001B0CD1">
          <w:rPr>
            <w:rFonts w:asciiTheme="minorHAnsi" w:hAnsiTheme="minorHAnsi" w:cstheme="minorHAnsi"/>
            <w:szCs w:val="24"/>
          </w:rPr>
          <w:t>his</w:t>
        </w:r>
        <w:r w:rsidR="00ED1884">
          <w:rPr>
            <w:rFonts w:asciiTheme="minorHAnsi" w:hAnsiTheme="minorHAnsi" w:cstheme="minorHAnsi"/>
            <w:szCs w:val="24"/>
          </w:rPr>
          <w:t>/her</w:t>
        </w:r>
        <w:r w:rsidR="004E6519">
          <w:rPr>
            <w:rFonts w:asciiTheme="minorHAnsi" w:hAnsiTheme="minorHAnsi" w:cstheme="minorHAnsi"/>
            <w:szCs w:val="24"/>
          </w:rPr>
          <w:t xml:space="preserve"> capacity</w:t>
        </w:r>
      </w:ins>
      <w:r w:rsidR="0023378C">
        <w:rPr>
          <w:rFonts w:asciiTheme="minorHAnsi" w:hAnsiTheme="minorHAnsi" w:cstheme="minorHAnsi"/>
          <w:szCs w:val="24"/>
        </w:rPr>
        <w:t xml:space="preserve"> </w:t>
      </w:r>
      <w:ins w:id="72" w:author="Author">
        <w:r w:rsidRPr="008C424A">
          <w:rPr>
            <w:rFonts w:asciiTheme="minorHAnsi" w:hAnsiTheme="minorHAnsi" w:cstheme="minorHAnsi"/>
            <w:szCs w:val="24"/>
          </w:rPr>
          <w:t>should contribute to and be within the purposes of the Union as set forth in Article 1 of the Constitution, and within the strategic and financial plans of the Union;</w:t>
        </w:r>
        <w:r w:rsidR="004E6519">
          <w:rPr>
            <w:rFonts w:asciiTheme="minorHAnsi" w:hAnsiTheme="minorHAnsi" w:cstheme="minorHAnsi"/>
            <w:szCs w:val="24"/>
          </w:rPr>
          <w:t xml:space="preserve"> </w:t>
        </w:r>
      </w:ins>
    </w:p>
    <w:p w14:paraId="232FC047" w14:textId="77777777" w:rsidR="008C424A" w:rsidRPr="008C424A" w:rsidRDefault="008C424A" w:rsidP="0023378C">
      <w:pPr>
        <w:pStyle w:val="enumlev1"/>
        <w:rPr>
          <w:rFonts w:asciiTheme="minorHAnsi" w:hAnsiTheme="minorHAnsi" w:cstheme="minorHAnsi"/>
          <w:szCs w:val="24"/>
        </w:rPr>
      </w:pPr>
      <w:ins w:id="73" w:author="Author">
        <w:r w:rsidRPr="008C424A">
          <w:rPr>
            <w:rFonts w:asciiTheme="minorHAnsi" w:hAnsiTheme="minorHAnsi" w:cstheme="minorHAnsi"/>
            <w:szCs w:val="24"/>
          </w:rPr>
          <w:t>b)</w:t>
        </w:r>
        <w:r w:rsidRPr="008C424A">
          <w:rPr>
            <w:rFonts w:asciiTheme="minorHAnsi" w:hAnsiTheme="minorHAnsi" w:cstheme="minorHAnsi"/>
            <w:szCs w:val="24"/>
          </w:rPr>
          <w:tab/>
          <w:t>that the sovereignty and rights of ITU Member States should be fully respected and preserved.</w:t>
        </w:r>
      </w:ins>
    </w:p>
    <w:sectPr w:rsidR="008C424A" w:rsidRPr="008C424A" w:rsidSect="00EA5715">
      <w:headerReference w:type="default" r:id="rId11"/>
      <w:footerReference w:type="default" r:id="rId12"/>
      <w:pgSz w:w="11906" w:h="16838" w:code="9"/>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799BA" w14:textId="77777777" w:rsidR="00C7506A" w:rsidRDefault="00C7506A" w:rsidP="003A0414">
      <w:r>
        <w:separator/>
      </w:r>
    </w:p>
  </w:endnote>
  <w:endnote w:type="continuationSeparator" w:id="0">
    <w:p w14:paraId="7F2CE2E4" w14:textId="77777777" w:rsidR="00C7506A" w:rsidRDefault="00C7506A"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C43C1" w14:textId="4B434C97"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F069AD">
      <w:rPr>
        <w:lang w:val="en-GB"/>
      </w:rPr>
      <w:t>4</w:t>
    </w:r>
    <w:r w:rsidR="003F14CA">
      <w:rPr>
        <w:lang w:val="en-GB"/>
      </w:rPr>
      <w:t>/</w:t>
    </w:r>
    <w:r w:rsidR="006C6FD4">
      <w:rPr>
        <w:lang w:val="en-GB"/>
      </w:rPr>
      <w:t>OUT-07</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D154ED">
      <w:rPr>
        <w:noProof/>
        <w:lang w:val="en-GB"/>
      </w:rPr>
      <w:t>4</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D154ED">
      <w:rPr>
        <w:noProof/>
        <w:lang w:val="en-GB"/>
      </w:rPr>
      <w:t>4</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F86C8" w14:textId="77777777" w:rsidR="00C7506A" w:rsidRDefault="00C7506A" w:rsidP="003A0414">
      <w:r>
        <w:separator/>
      </w:r>
    </w:p>
  </w:footnote>
  <w:footnote w:type="continuationSeparator" w:id="0">
    <w:p w14:paraId="15DC177C" w14:textId="77777777" w:rsidR="00C7506A" w:rsidRDefault="00C7506A" w:rsidP="003A0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218B1" w14:textId="77777777" w:rsidR="003F14CA" w:rsidRDefault="003F14CA" w:rsidP="00800847">
    <w:pPr>
      <w:pStyle w:val="Header"/>
      <w:tabs>
        <w:tab w:val="clear" w:pos="4513"/>
        <w:tab w:val="clear" w:pos="9026"/>
      </w:tabs>
      <w:rPr>
        <w:lang w:val="en-GB"/>
      </w:rPr>
    </w:pPr>
  </w:p>
  <w:p w14:paraId="2EAA0329"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0B63DB"/>
    <w:multiLevelType w:val="hybridMultilevel"/>
    <w:tmpl w:val="33D4935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7620357">
    <w:abstractNumId w:val="1"/>
  </w:num>
  <w:num w:numId="2" w16cid:durableId="11474052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CA"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kwqwUAI8RceSwAAAA="/>
  </w:docVars>
  <w:rsids>
    <w:rsidRoot w:val="00AD2F26"/>
    <w:rsid w:val="0003778A"/>
    <w:rsid w:val="00057925"/>
    <w:rsid w:val="00126884"/>
    <w:rsid w:val="00133302"/>
    <w:rsid w:val="00154DF3"/>
    <w:rsid w:val="00174299"/>
    <w:rsid w:val="001B0CD1"/>
    <w:rsid w:val="001D2339"/>
    <w:rsid w:val="00201F48"/>
    <w:rsid w:val="002108DA"/>
    <w:rsid w:val="0023378C"/>
    <w:rsid w:val="0026595F"/>
    <w:rsid w:val="002C1146"/>
    <w:rsid w:val="002C4C6E"/>
    <w:rsid w:val="002C6E22"/>
    <w:rsid w:val="003434D2"/>
    <w:rsid w:val="00383EDB"/>
    <w:rsid w:val="003A0414"/>
    <w:rsid w:val="003A14AD"/>
    <w:rsid w:val="003F14CA"/>
    <w:rsid w:val="003F1DAA"/>
    <w:rsid w:val="00420AA9"/>
    <w:rsid w:val="00422505"/>
    <w:rsid w:val="00425800"/>
    <w:rsid w:val="00450452"/>
    <w:rsid w:val="0045787B"/>
    <w:rsid w:val="00474120"/>
    <w:rsid w:val="004A3292"/>
    <w:rsid w:val="004D695F"/>
    <w:rsid w:val="004E41F9"/>
    <w:rsid w:val="004E6519"/>
    <w:rsid w:val="004E682D"/>
    <w:rsid w:val="004E6C73"/>
    <w:rsid w:val="004F24F4"/>
    <w:rsid w:val="00505843"/>
    <w:rsid w:val="00534EC0"/>
    <w:rsid w:val="0055081D"/>
    <w:rsid w:val="00565069"/>
    <w:rsid w:val="00591526"/>
    <w:rsid w:val="00597B0F"/>
    <w:rsid w:val="005A1FA2"/>
    <w:rsid w:val="005C7C21"/>
    <w:rsid w:val="005D3BD2"/>
    <w:rsid w:val="005F3200"/>
    <w:rsid w:val="00617508"/>
    <w:rsid w:val="00685B89"/>
    <w:rsid w:val="00685C97"/>
    <w:rsid w:val="006A6EC5"/>
    <w:rsid w:val="006B3268"/>
    <w:rsid w:val="006B4D42"/>
    <w:rsid w:val="006C6FD4"/>
    <w:rsid w:val="00705FC2"/>
    <w:rsid w:val="00711CD3"/>
    <w:rsid w:val="007552CB"/>
    <w:rsid w:val="007649ED"/>
    <w:rsid w:val="0078146D"/>
    <w:rsid w:val="007A2E4C"/>
    <w:rsid w:val="007B6756"/>
    <w:rsid w:val="007E6280"/>
    <w:rsid w:val="00800847"/>
    <w:rsid w:val="00802D93"/>
    <w:rsid w:val="00814C55"/>
    <w:rsid w:val="00832987"/>
    <w:rsid w:val="00834764"/>
    <w:rsid w:val="008438A0"/>
    <w:rsid w:val="00873BFA"/>
    <w:rsid w:val="00884718"/>
    <w:rsid w:val="008872D4"/>
    <w:rsid w:val="008C424A"/>
    <w:rsid w:val="008F6EC6"/>
    <w:rsid w:val="009043EA"/>
    <w:rsid w:val="0090702B"/>
    <w:rsid w:val="00941632"/>
    <w:rsid w:val="00950BA4"/>
    <w:rsid w:val="00951BAC"/>
    <w:rsid w:val="00966899"/>
    <w:rsid w:val="0098418B"/>
    <w:rsid w:val="009A44CC"/>
    <w:rsid w:val="009E31CF"/>
    <w:rsid w:val="009E4E18"/>
    <w:rsid w:val="00A06E5E"/>
    <w:rsid w:val="00A479DC"/>
    <w:rsid w:val="00A56DB1"/>
    <w:rsid w:val="00A75516"/>
    <w:rsid w:val="00A776D0"/>
    <w:rsid w:val="00AA7778"/>
    <w:rsid w:val="00AD2F26"/>
    <w:rsid w:val="00AE6352"/>
    <w:rsid w:val="00B017E8"/>
    <w:rsid w:val="00B04778"/>
    <w:rsid w:val="00B1556C"/>
    <w:rsid w:val="00B32C5A"/>
    <w:rsid w:val="00B55072"/>
    <w:rsid w:val="00B614D6"/>
    <w:rsid w:val="00B95A06"/>
    <w:rsid w:val="00BC3702"/>
    <w:rsid w:val="00BE7761"/>
    <w:rsid w:val="00BF1771"/>
    <w:rsid w:val="00C0107A"/>
    <w:rsid w:val="00C24B23"/>
    <w:rsid w:val="00C25191"/>
    <w:rsid w:val="00C26DCB"/>
    <w:rsid w:val="00C7506A"/>
    <w:rsid w:val="00C776CA"/>
    <w:rsid w:val="00CA054E"/>
    <w:rsid w:val="00CA1EC5"/>
    <w:rsid w:val="00CA6990"/>
    <w:rsid w:val="00CB3877"/>
    <w:rsid w:val="00CD14E9"/>
    <w:rsid w:val="00CE0108"/>
    <w:rsid w:val="00CE1CC2"/>
    <w:rsid w:val="00CF5367"/>
    <w:rsid w:val="00D14A3A"/>
    <w:rsid w:val="00D14DA8"/>
    <w:rsid w:val="00D154ED"/>
    <w:rsid w:val="00D46D18"/>
    <w:rsid w:val="00D80BE5"/>
    <w:rsid w:val="00DC2391"/>
    <w:rsid w:val="00DC4262"/>
    <w:rsid w:val="00DD2044"/>
    <w:rsid w:val="00DE002A"/>
    <w:rsid w:val="00DF10DB"/>
    <w:rsid w:val="00E80A81"/>
    <w:rsid w:val="00E94016"/>
    <w:rsid w:val="00EA2379"/>
    <w:rsid w:val="00EA5715"/>
    <w:rsid w:val="00EB6C85"/>
    <w:rsid w:val="00ED1884"/>
    <w:rsid w:val="00ED5090"/>
    <w:rsid w:val="00EF5F43"/>
    <w:rsid w:val="00F069AD"/>
    <w:rsid w:val="00F14141"/>
    <w:rsid w:val="00F1757B"/>
    <w:rsid w:val="00F32AD9"/>
    <w:rsid w:val="00F418AA"/>
    <w:rsid w:val="00F56C03"/>
    <w:rsid w:val="00F851D8"/>
    <w:rsid w:val="00FB1588"/>
    <w:rsid w:val="00FB29D1"/>
    <w:rsid w:val="1C5434B4"/>
    <w:rsid w:val="43052783"/>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7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F26"/>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34"/>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uiPriority w:val="99"/>
    <w:locked/>
    <w:rsid w:val="00420AA9"/>
    <w:rPr>
      <w:rFonts w:ascii="Calibri" w:eastAsia="Times New Roman" w:hAnsi="Calibri"/>
      <w:szCs w:val="20"/>
    </w:rPr>
  </w:style>
  <w:style w:type="paragraph" w:customStyle="1" w:styleId="Restitle">
    <w:name w:val="Res_title"/>
    <w:basedOn w:val="Normal"/>
    <w:next w:val="Normal"/>
    <w:link w:val="RestitleChar"/>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uiPriority w:val="99"/>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paragraph" w:customStyle="1" w:styleId="enumlev1">
    <w:name w:val="enumlev1"/>
    <w:basedOn w:val="Normal"/>
    <w:link w:val="enumlev1Char"/>
    <w:rsid w:val="008C424A"/>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pPr>
    <w:rPr>
      <w:rFonts w:ascii="Calibri" w:eastAsia="Times New Roman" w:hAnsi="Calibri"/>
      <w:szCs w:val="20"/>
      <w:lang w:val="en-GB" w:eastAsia="en-US"/>
    </w:rPr>
  </w:style>
  <w:style w:type="paragraph" w:customStyle="1" w:styleId="Call">
    <w:name w:val="Call"/>
    <w:basedOn w:val="Normal"/>
    <w:next w:val="Normal"/>
    <w:link w:val="CallChar"/>
    <w:rsid w:val="008C424A"/>
    <w:pPr>
      <w:keepNext/>
      <w:keepLines/>
      <w:tabs>
        <w:tab w:val="left" w:pos="567"/>
      </w:tabs>
      <w:overflowPunct w:val="0"/>
      <w:autoSpaceDE w:val="0"/>
      <w:autoSpaceDN w:val="0"/>
      <w:adjustRightInd w:val="0"/>
      <w:spacing w:before="160"/>
      <w:ind w:left="567"/>
      <w:textAlignment w:val="baseline"/>
    </w:pPr>
    <w:rPr>
      <w:rFonts w:ascii="Calibri" w:eastAsia="Times New Roman" w:hAnsi="Calibri"/>
      <w:i/>
      <w:szCs w:val="20"/>
      <w:lang w:val="en-GB" w:eastAsia="en-US"/>
    </w:rPr>
  </w:style>
  <w:style w:type="paragraph" w:customStyle="1" w:styleId="Proposal">
    <w:name w:val="Proposal"/>
    <w:basedOn w:val="Normal"/>
    <w:next w:val="Normal"/>
    <w:rsid w:val="008C424A"/>
    <w:pPr>
      <w:keepNext/>
      <w:tabs>
        <w:tab w:val="left" w:pos="1134"/>
      </w:tabs>
      <w:overflowPunct w:val="0"/>
      <w:autoSpaceDE w:val="0"/>
      <w:autoSpaceDN w:val="0"/>
      <w:adjustRightInd w:val="0"/>
      <w:spacing w:before="240"/>
      <w:textAlignment w:val="baseline"/>
    </w:pPr>
    <w:rPr>
      <w:rFonts w:asciiTheme="minorHAnsi" w:eastAsia="Times New Roman" w:hAnsi="Times New Roman Bold"/>
      <w:b/>
      <w:szCs w:val="20"/>
      <w:lang w:val="en-GB" w:eastAsia="en-US"/>
    </w:rPr>
  </w:style>
  <w:style w:type="paragraph" w:styleId="BalloonText">
    <w:name w:val="Balloon Text"/>
    <w:basedOn w:val="Normal"/>
    <w:link w:val="BalloonTextChar"/>
    <w:uiPriority w:val="99"/>
    <w:semiHidden/>
    <w:unhideWhenUsed/>
    <w:rsid w:val="005915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1526"/>
    <w:rPr>
      <w:rFonts w:ascii="Segoe UI" w:hAnsi="Segoe UI" w:cs="Segoe UI"/>
      <w:sz w:val="18"/>
      <w:szCs w:val="18"/>
      <w:lang w:val="en-US" w:eastAsia="ja-JP"/>
    </w:rPr>
  </w:style>
  <w:style w:type="paragraph" w:styleId="Revision">
    <w:name w:val="Revision"/>
    <w:hidden/>
    <w:uiPriority w:val="99"/>
    <w:semiHidden/>
    <w:rsid w:val="00C0107A"/>
    <w:rPr>
      <w:lang w:val="en-US" w:eastAsia="ja-JP"/>
    </w:rPr>
  </w:style>
  <w:style w:type="character" w:customStyle="1" w:styleId="enumlev1Char">
    <w:name w:val="enumlev1 Char"/>
    <w:basedOn w:val="DefaultParagraphFont"/>
    <w:link w:val="enumlev1"/>
    <w:rsid w:val="00802D93"/>
    <w:rPr>
      <w:rFonts w:ascii="Calibri" w:eastAsia="Times New Roman" w:hAnsi="Calibri"/>
      <w:szCs w:val="20"/>
    </w:rPr>
  </w:style>
  <w:style w:type="character" w:customStyle="1" w:styleId="CallChar">
    <w:name w:val="Call Char"/>
    <w:basedOn w:val="DefaultParagraphFont"/>
    <w:link w:val="Call"/>
    <w:locked/>
    <w:rsid w:val="00802D93"/>
    <w:rPr>
      <w:rFonts w:ascii="Calibri" w:eastAsia="Times New Roman" w:hAnsi="Calibri"/>
      <w: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6FE8F584DFDEF4A8A88D1E76049F668" ma:contentTypeVersion="13" ma:contentTypeDescription="Create a new document." ma:contentTypeScope="" ma:versionID="a726982ca6805aedf303eb77cca13152">
  <xsd:schema xmlns:xsd="http://www.w3.org/2001/XMLSchema" xmlns:xs="http://www.w3.org/2001/XMLSchema" xmlns:p="http://schemas.microsoft.com/office/2006/metadata/properties" xmlns:ns2="9d6405e5-7dae-4658-bf68-09ef33082457" xmlns:ns3="2fd21ba4-9785-4e06-bb18-0142ad558097" targetNamespace="http://schemas.microsoft.com/office/2006/metadata/properties" ma:root="true" ma:fieldsID="dfb54a462a8acdb07231a39ade90d940" ns2:_="" ns3:_="">
    <xsd:import namespace="9d6405e5-7dae-4658-bf68-09ef33082457"/>
    <xsd:import namespace="2fd21ba4-9785-4e06-bb18-0142ad5580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6405e5-7dae-4658-bf68-09ef330824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7f8a4516-4c1b-40a3-af95-dae598a73a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d21ba4-9785-4e06-bb18-0142ad55809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dd371d20-8b49-4ef0-a66e-17037f8cbb59}" ma:internalName="TaxCatchAll" ma:showField="CatchAllData" ma:web="2fd21ba4-9785-4e06-bb18-0142ad5580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8CFB95-8FF1-4814-AE1E-DC5FBC7175ED}">
  <ds:schemaRefs>
    <ds:schemaRef ds:uri="http://schemas.openxmlformats.org/officeDocument/2006/bibliography"/>
  </ds:schemaRefs>
</ds:datastoreItem>
</file>

<file path=customXml/itemProps2.xml><?xml version="1.0" encoding="utf-8"?>
<ds:datastoreItem xmlns:ds="http://schemas.openxmlformats.org/officeDocument/2006/customXml" ds:itemID="{4AD1AECD-1B6F-4491-87F7-3731D6469D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6405e5-7dae-4658-bf68-09ef33082457"/>
    <ds:schemaRef ds:uri="2fd21ba4-9785-4e06-bb18-0142ad5580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E39A9E-13CE-4C74-BBEE-DE70DCCC9F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881</Words>
  <Characters>5028</Characters>
  <Application>Microsoft Office Word</Application>
  <DocSecurity>0</DocSecurity>
  <Lines>41</Lines>
  <Paragraphs>11</Paragraphs>
  <ScaleCrop>false</ScaleCrop>
  <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2022-08-04T15:48:00Z</dcterms:created>
  <dcterms:modified xsi:type="dcterms:W3CDTF">2022-08-07T13:42:00Z</dcterms:modified>
</cp:coreProperties>
</file>