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6B4D42" w:rsidRPr="00A83DDE" w14:paraId="68BC3E10" w14:textId="77777777" w:rsidTr="00DB0088">
        <w:trPr>
          <w:cantSplit/>
          <w:trHeight w:val="288"/>
        </w:trPr>
        <w:tc>
          <w:tcPr>
            <w:tcW w:w="1440" w:type="dxa"/>
            <w:vMerge w:val="restart"/>
            <w:hideMark/>
          </w:tcPr>
          <w:p w14:paraId="6A1662B8" w14:textId="77777777" w:rsidR="006B4D42" w:rsidRPr="00A83DDE" w:rsidRDefault="006B4D42" w:rsidP="00DB0088">
            <w:pPr>
              <w:widowControl w:val="0"/>
              <w:tabs>
                <w:tab w:val="left" w:pos="1134"/>
              </w:tabs>
              <w:jc w:val="both"/>
              <w:rPr>
                <w:rFonts w:eastAsia="BatangChe"/>
                <w:kern w:val="2"/>
                <w:lang w:eastAsia="ko-KR"/>
              </w:rPr>
            </w:pPr>
            <w:r w:rsidRPr="00A83DDE">
              <w:rPr>
                <w:rFonts w:eastAsia="BatangChe"/>
                <w:noProof/>
                <w:kern w:val="2"/>
                <w:lang w:eastAsia="zh-CN"/>
              </w:rPr>
              <w:drawing>
                <wp:inline distT="0" distB="0" distL="0" distR="0" wp14:anchorId="30766958" wp14:editId="49B42554">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77D61537" w14:textId="77777777" w:rsidR="006B4D42" w:rsidRPr="00A83DDE" w:rsidRDefault="006B4D42" w:rsidP="00DB0088">
            <w:pPr>
              <w:rPr>
                <w:rFonts w:eastAsia="BatangChe"/>
                <w:lang w:eastAsia="en-US"/>
              </w:rPr>
            </w:pPr>
            <w:r w:rsidRPr="00A83DDE">
              <w:rPr>
                <w:rFonts w:eastAsia="BatangChe"/>
                <w:lang w:eastAsia="en-US"/>
              </w:rPr>
              <w:t>ASIA-PACIFIC TELECOMMUNITY</w:t>
            </w:r>
          </w:p>
        </w:tc>
        <w:tc>
          <w:tcPr>
            <w:tcW w:w="2448" w:type="dxa"/>
          </w:tcPr>
          <w:p w14:paraId="6AF8E028" w14:textId="77777777" w:rsidR="006B4D42" w:rsidRPr="00A83DDE" w:rsidRDefault="006B4D42" w:rsidP="00DB0088">
            <w:pPr>
              <w:rPr>
                <w:rFonts w:eastAsia="BatangChe"/>
                <w:lang w:eastAsia="en-US"/>
              </w:rPr>
            </w:pPr>
            <w:r w:rsidRPr="00A83DDE">
              <w:rPr>
                <w:rFonts w:eastAsia="BatangChe"/>
                <w:b/>
                <w:lang w:val="fr-FR" w:eastAsia="en-US"/>
              </w:rPr>
              <w:t>Document No</w:t>
            </w:r>
            <w:proofErr w:type="gramStart"/>
            <w:r w:rsidRPr="00A83DDE">
              <w:rPr>
                <w:rFonts w:eastAsia="BatangChe"/>
                <w:b/>
                <w:lang w:val="fr-FR" w:eastAsia="en-US"/>
              </w:rPr>
              <w:t>.:</w:t>
            </w:r>
            <w:proofErr w:type="gramEnd"/>
          </w:p>
        </w:tc>
      </w:tr>
      <w:tr w:rsidR="006B4D42" w:rsidRPr="00A83DDE" w14:paraId="7B18CD80" w14:textId="77777777" w:rsidTr="00DB0088">
        <w:trPr>
          <w:cantSplit/>
          <w:trHeight w:val="576"/>
        </w:trPr>
        <w:tc>
          <w:tcPr>
            <w:tcW w:w="1440" w:type="dxa"/>
            <w:vMerge/>
            <w:vAlign w:val="center"/>
            <w:hideMark/>
          </w:tcPr>
          <w:p w14:paraId="18A5DC6F" w14:textId="77777777" w:rsidR="006B4D42" w:rsidRPr="00A83DDE" w:rsidRDefault="006B4D42" w:rsidP="00DB0088">
            <w:pPr>
              <w:rPr>
                <w:rFonts w:eastAsia="BatangChe"/>
                <w:kern w:val="2"/>
                <w:lang w:eastAsia="ko-KR"/>
              </w:rPr>
            </w:pPr>
          </w:p>
        </w:tc>
        <w:tc>
          <w:tcPr>
            <w:tcW w:w="5328" w:type="dxa"/>
            <w:hideMark/>
          </w:tcPr>
          <w:p w14:paraId="61AD41F1" w14:textId="77777777" w:rsidR="000E6BA1" w:rsidRDefault="006B4D42" w:rsidP="00DB0088">
            <w:pPr>
              <w:rPr>
                <w:rFonts w:eastAsia="BatangChe"/>
                <w:b/>
                <w:lang w:eastAsia="en-US"/>
              </w:rPr>
            </w:pPr>
            <w:r w:rsidRPr="00A83DDE">
              <w:rPr>
                <w:rFonts w:eastAsia="BatangChe"/>
                <w:b/>
                <w:lang w:eastAsia="en-US"/>
              </w:rPr>
              <w:t xml:space="preserve">The </w:t>
            </w:r>
            <w:r w:rsidR="000E6BA1">
              <w:rPr>
                <w:rFonts w:eastAsia="BatangChe"/>
                <w:b/>
                <w:lang w:eastAsia="en-US"/>
              </w:rPr>
              <w:t>4th</w:t>
            </w:r>
            <w:r w:rsidRPr="00A83DDE">
              <w:rPr>
                <w:rFonts w:eastAsia="BatangChe"/>
                <w:b/>
                <w:lang w:eastAsia="en-US"/>
              </w:rPr>
              <w:t xml:space="preserve"> Meeting of the APT Preparatory Group </w:t>
            </w:r>
          </w:p>
          <w:p w14:paraId="2E064207" w14:textId="15BBD37E" w:rsidR="006B4D42" w:rsidRPr="00A83DDE" w:rsidRDefault="006B4D42" w:rsidP="00DB0088">
            <w:pPr>
              <w:rPr>
                <w:rFonts w:eastAsia="BatangChe"/>
                <w:lang w:eastAsia="en-US"/>
              </w:rPr>
            </w:pPr>
            <w:r w:rsidRPr="00A83DDE">
              <w:rPr>
                <w:rFonts w:eastAsia="BatangChe"/>
                <w:b/>
                <w:lang w:eastAsia="en-US"/>
              </w:rPr>
              <w:t>for PP-22 (APT PP22</w:t>
            </w:r>
            <w:r w:rsidR="00534EC0">
              <w:rPr>
                <w:rFonts w:eastAsia="BatangChe"/>
                <w:b/>
                <w:lang w:eastAsia="en-US"/>
              </w:rPr>
              <w:t>-</w:t>
            </w:r>
            <w:r w:rsidR="000E6BA1">
              <w:rPr>
                <w:rFonts w:eastAsia="BatangChe"/>
                <w:b/>
                <w:lang w:eastAsia="en-US"/>
              </w:rPr>
              <w:t>4</w:t>
            </w:r>
            <w:r w:rsidRPr="00A83DDE">
              <w:rPr>
                <w:rFonts w:eastAsia="BatangChe"/>
                <w:b/>
                <w:lang w:eastAsia="en-US"/>
              </w:rPr>
              <w:t>)</w:t>
            </w:r>
          </w:p>
        </w:tc>
        <w:tc>
          <w:tcPr>
            <w:tcW w:w="2448" w:type="dxa"/>
            <w:hideMark/>
          </w:tcPr>
          <w:p w14:paraId="411FC6C2" w14:textId="7D04F949" w:rsidR="006B4D42" w:rsidRPr="00A83DDE" w:rsidRDefault="006B4D42" w:rsidP="00DB0088">
            <w:pPr>
              <w:ind w:right="-63"/>
              <w:rPr>
                <w:rFonts w:eastAsia="BatangChe"/>
                <w:b/>
                <w:bCs/>
                <w:lang w:val="en-GB" w:eastAsia="en-US"/>
              </w:rPr>
            </w:pPr>
            <w:r w:rsidRPr="00A83DDE">
              <w:rPr>
                <w:rFonts w:eastAsia="BatangChe"/>
                <w:b/>
                <w:bCs/>
                <w:lang w:val="en-GB" w:eastAsia="en-US"/>
              </w:rPr>
              <w:t>APT PP22-</w:t>
            </w:r>
            <w:r w:rsidR="005F3200">
              <w:rPr>
                <w:rFonts w:eastAsia="BatangChe"/>
                <w:b/>
                <w:bCs/>
                <w:lang w:val="en-GB" w:eastAsia="en-US"/>
              </w:rPr>
              <w:t>3</w:t>
            </w:r>
            <w:r w:rsidRPr="00A83DDE">
              <w:rPr>
                <w:rFonts w:eastAsia="BatangChe"/>
                <w:b/>
                <w:bCs/>
                <w:lang w:val="en-GB" w:eastAsia="en-US"/>
              </w:rPr>
              <w:t>/</w:t>
            </w:r>
            <w:r w:rsidR="00B37ECD">
              <w:rPr>
                <w:rFonts w:eastAsia="BatangChe"/>
                <w:b/>
                <w:bCs/>
                <w:lang w:val="en-GB" w:eastAsia="en-US"/>
              </w:rPr>
              <w:t>OUT-</w:t>
            </w:r>
            <w:r w:rsidR="00714982">
              <w:rPr>
                <w:rFonts w:eastAsia="BatangChe"/>
                <w:b/>
                <w:bCs/>
                <w:lang w:val="en-GB" w:eastAsia="en-US"/>
              </w:rPr>
              <w:t>3</w:t>
            </w:r>
            <w:r w:rsidR="00B37ECD">
              <w:rPr>
                <w:rFonts w:eastAsia="BatangChe"/>
                <w:b/>
                <w:bCs/>
                <w:lang w:val="en-GB" w:eastAsia="en-US"/>
              </w:rPr>
              <w:t>0</w:t>
            </w:r>
          </w:p>
        </w:tc>
      </w:tr>
      <w:tr w:rsidR="006B4D42" w:rsidRPr="00A83DDE" w14:paraId="2AEBBB1F" w14:textId="77777777" w:rsidTr="00DB0088">
        <w:trPr>
          <w:cantSplit/>
          <w:trHeight w:val="288"/>
        </w:trPr>
        <w:tc>
          <w:tcPr>
            <w:tcW w:w="1440" w:type="dxa"/>
            <w:vMerge/>
            <w:vAlign w:val="center"/>
            <w:hideMark/>
          </w:tcPr>
          <w:p w14:paraId="01909D37" w14:textId="77777777" w:rsidR="006B4D42" w:rsidRPr="00A83DDE" w:rsidRDefault="006B4D42" w:rsidP="00DB0088">
            <w:pPr>
              <w:rPr>
                <w:rFonts w:eastAsia="BatangChe"/>
                <w:kern w:val="2"/>
                <w:lang w:eastAsia="ko-KR"/>
              </w:rPr>
            </w:pPr>
          </w:p>
        </w:tc>
        <w:tc>
          <w:tcPr>
            <w:tcW w:w="5328" w:type="dxa"/>
            <w:hideMark/>
          </w:tcPr>
          <w:p w14:paraId="23EC083F" w14:textId="01A5EC1A" w:rsidR="006B4D42" w:rsidRPr="00A83DDE" w:rsidRDefault="000E6BA1" w:rsidP="00DB0088">
            <w:pPr>
              <w:rPr>
                <w:rFonts w:eastAsia="BatangChe"/>
                <w:lang w:eastAsia="en-US"/>
              </w:rPr>
            </w:pPr>
            <w:r>
              <w:rPr>
                <w:rFonts w:eastAsia="BatangChe"/>
                <w:lang w:eastAsia="en-US"/>
              </w:rPr>
              <w:t>1-5 August</w:t>
            </w:r>
            <w:r w:rsidR="006B4D42" w:rsidRPr="00A83DDE">
              <w:rPr>
                <w:rFonts w:eastAsia="BatangChe"/>
                <w:lang w:eastAsia="en-US"/>
              </w:rPr>
              <w:t xml:space="preserve"> 2022, </w:t>
            </w:r>
            <w:r>
              <w:rPr>
                <w:rFonts w:eastAsia="BatangChe"/>
                <w:lang w:eastAsia="en-US"/>
              </w:rPr>
              <w:t>Bangkok, Thailand</w:t>
            </w:r>
          </w:p>
        </w:tc>
        <w:tc>
          <w:tcPr>
            <w:tcW w:w="2448" w:type="dxa"/>
            <w:hideMark/>
          </w:tcPr>
          <w:p w14:paraId="31051462" w14:textId="2B57BEB5" w:rsidR="006B4D42" w:rsidRPr="00A83DDE" w:rsidRDefault="000E6BA1" w:rsidP="00DB0088">
            <w:pPr>
              <w:rPr>
                <w:rFonts w:eastAsia="BatangChe"/>
                <w:bCs/>
                <w:lang w:eastAsia="en-US"/>
              </w:rPr>
            </w:pPr>
            <w:r>
              <w:rPr>
                <w:rFonts w:eastAsia="BatangChe"/>
                <w:bCs/>
                <w:lang w:eastAsia="en-US"/>
              </w:rPr>
              <w:t>5</w:t>
            </w:r>
            <w:r w:rsidR="00B37ECD" w:rsidRPr="00A83DDE">
              <w:rPr>
                <w:rFonts w:eastAsia="BatangChe"/>
                <w:bCs/>
                <w:lang w:eastAsia="en-US"/>
              </w:rPr>
              <w:t xml:space="preserve"> </w:t>
            </w:r>
            <w:r>
              <w:rPr>
                <w:rFonts w:eastAsia="BatangChe"/>
                <w:bCs/>
                <w:lang w:eastAsia="en-US"/>
              </w:rPr>
              <w:t>August</w:t>
            </w:r>
            <w:r w:rsidR="006B4D42" w:rsidRPr="00A83DDE">
              <w:rPr>
                <w:rFonts w:eastAsia="BatangChe"/>
                <w:bCs/>
                <w:lang w:eastAsia="en-US"/>
              </w:rPr>
              <w:t xml:space="preserve"> 202</w:t>
            </w:r>
            <w:r w:rsidR="006B4D42">
              <w:rPr>
                <w:rFonts w:eastAsia="BatangChe"/>
                <w:bCs/>
                <w:lang w:eastAsia="en-US"/>
              </w:rPr>
              <w:t>2</w:t>
            </w:r>
          </w:p>
        </w:tc>
      </w:tr>
    </w:tbl>
    <w:p w14:paraId="7BAED1E8" w14:textId="77777777" w:rsidR="0003778A" w:rsidRDefault="0003778A" w:rsidP="00B017E8">
      <w:pPr>
        <w:jc w:val="center"/>
      </w:pPr>
    </w:p>
    <w:p w14:paraId="2CD06300" w14:textId="7202F3AF" w:rsidR="00B017E8" w:rsidRDefault="00C00A36" w:rsidP="00B017E8">
      <w:pPr>
        <w:jc w:val="center"/>
      </w:pPr>
      <w:r w:rsidRPr="00207B91">
        <w:t>APT Preparatory Group for ITU Plenipotentiary Conference 2022</w:t>
      </w:r>
    </w:p>
    <w:p w14:paraId="5172CDD7" w14:textId="2EFB30CD" w:rsidR="00B017E8" w:rsidRDefault="00EB7C10" w:rsidP="00EB7C10">
      <w:pPr>
        <w:jc w:val="center"/>
        <w:rPr>
          <w:rFonts w:ascii="Times New Roman Bold" w:hAnsi="Times New Roman Bold"/>
          <w:b/>
          <w:caps/>
        </w:rPr>
      </w:pPr>
      <w:r>
        <w:rPr>
          <w:rFonts w:ascii="Times New Roman Bold" w:hAnsi="Times New Roman Bold"/>
          <w:b/>
          <w:caps/>
        </w:rPr>
        <w:t>Preliminary APT Common Proposal</w:t>
      </w:r>
    </w:p>
    <w:p w14:paraId="758BF14D" w14:textId="77777777" w:rsidR="00043625" w:rsidRPr="00B32C5A" w:rsidRDefault="00043625" w:rsidP="00EB7C10">
      <w:pPr>
        <w:jc w:val="center"/>
        <w:rPr>
          <w:b/>
        </w:rPr>
      </w:pPr>
    </w:p>
    <w:p w14:paraId="3C4F9EF3" w14:textId="14B50618" w:rsidR="00FB29D1" w:rsidRDefault="00EB7C10" w:rsidP="00B017E8">
      <w:pPr>
        <w:jc w:val="center"/>
        <w:rPr>
          <w:rFonts w:ascii="Times New Roman Bold" w:hAnsi="Times New Roman Bold"/>
          <w:b/>
          <w:caps/>
        </w:rPr>
      </w:pPr>
      <w:r w:rsidRPr="00371474">
        <w:rPr>
          <w:rFonts w:ascii="Times New Roman Bold" w:hAnsi="Times New Roman Bold"/>
          <w:b/>
          <w:caps/>
        </w:rPr>
        <w:t>PROPOSED MODIFICATIONs TO RESOLUTION 1</w:t>
      </w:r>
      <w:r>
        <w:rPr>
          <w:rFonts w:ascii="Times New Roman Bold" w:hAnsi="Times New Roman Bold"/>
          <w:b/>
          <w:caps/>
        </w:rPr>
        <w:t>54</w:t>
      </w:r>
    </w:p>
    <w:p w14:paraId="1BB78A4D" w14:textId="77777777" w:rsidR="00043625" w:rsidRPr="00407508" w:rsidRDefault="00043625" w:rsidP="00043625">
      <w:pPr>
        <w:pStyle w:val="Restitle"/>
        <w:rPr>
          <w:rFonts w:ascii="Times New Roman" w:hAnsi="Times New Roman"/>
          <w:sz w:val="24"/>
          <w:szCs w:val="24"/>
        </w:rPr>
      </w:pPr>
      <w:r w:rsidRPr="00A41921">
        <w:rPr>
          <w:rFonts w:ascii="Times New Roman" w:hAnsi="Times New Roman"/>
          <w:sz w:val="24"/>
          <w:szCs w:val="24"/>
        </w:rPr>
        <w:t>Use of the six official languages of the Union on an equal footing</w:t>
      </w:r>
    </w:p>
    <w:p w14:paraId="2AE81887" w14:textId="77777777" w:rsidR="00EB7C10" w:rsidRPr="00EB7C10" w:rsidRDefault="00EB7C10" w:rsidP="00B017E8">
      <w:pPr>
        <w:jc w:val="center"/>
      </w:pPr>
    </w:p>
    <w:tbl>
      <w:tblPr>
        <w:tblStyle w:val="TableGrid"/>
        <w:tblW w:w="9402" w:type="dxa"/>
        <w:tblLook w:val="04A0" w:firstRow="1" w:lastRow="0" w:firstColumn="1" w:lastColumn="0" w:noHBand="0" w:noVBand="1"/>
      </w:tblPr>
      <w:tblGrid>
        <w:gridCol w:w="9402"/>
      </w:tblGrid>
      <w:tr w:rsidR="00B04778" w:rsidRPr="003F14CA" w14:paraId="16E062DD" w14:textId="77777777" w:rsidTr="00420AA9">
        <w:trPr>
          <w:trHeight w:val="2609"/>
        </w:trPr>
        <w:tc>
          <w:tcPr>
            <w:tcW w:w="9402" w:type="dxa"/>
          </w:tcPr>
          <w:p w14:paraId="5591B50E" w14:textId="77777777" w:rsidR="00B04778" w:rsidRPr="003F14CA" w:rsidRDefault="00B04778" w:rsidP="00B04778">
            <w:pPr>
              <w:rPr>
                <w:rFonts w:eastAsia="SimSun"/>
                <w:b/>
                <w:bCs/>
              </w:rPr>
            </w:pPr>
          </w:p>
          <w:p w14:paraId="51DBBFB0" w14:textId="77777777" w:rsidR="003F14CA" w:rsidRDefault="00B04778" w:rsidP="00B04778">
            <w:pPr>
              <w:rPr>
                <w:rFonts w:eastAsia="SimSun"/>
                <w:b/>
                <w:bCs/>
              </w:rPr>
            </w:pPr>
            <w:r w:rsidRPr="003F14CA">
              <w:rPr>
                <w:rFonts w:eastAsia="SimSun"/>
                <w:b/>
                <w:bCs/>
              </w:rPr>
              <w:t>Summary:</w:t>
            </w:r>
            <w:r w:rsidR="003F14CA">
              <w:rPr>
                <w:rFonts w:eastAsia="SimSun"/>
                <w:b/>
                <w:bCs/>
              </w:rPr>
              <w:t xml:space="preserve"> </w:t>
            </w:r>
          </w:p>
          <w:p w14:paraId="72198EBE" w14:textId="77777777" w:rsidR="00045A8C" w:rsidRDefault="00045A8C" w:rsidP="00045A8C">
            <w:pPr>
              <w:rPr>
                <w:rFonts w:eastAsia="SimSun"/>
                <w:bCs/>
                <w:i/>
              </w:rPr>
            </w:pPr>
          </w:p>
          <w:p w14:paraId="26B51244" w14:textId="0597C628" w:rsidR="00B04778" w:rsidRDefault="00045A8C" w:rsidP="00045A8C">
            <w:pPr>
              <w:rPr>
                <w:rFonts w:eastAsia="SimSun"/>
                <w:bCs/>
                <w:lang w:eastAsia="zh-CN" w:bidi="ar"/>
              </w:rPr>
            </w:pPr>
            <w:r>
              <w:rPr>
                <w:rFonts w:eastAsia="SimSun"/>
                <w:kern w:val="2"/>
                <w:lang w:eastAsia="zh-CN" w:bidi="ar"/>
              </w:rPr>
              <w:t xml:space="preserve">PP Resolution 154 for </w:t>
            </w:r>
            <w:r>
              <w:rPr>
                <w:rFonts w:eastAsia="SimSun"/>
                <w:bCs/>
                <w:kern w:val="2"/>
                <w:lang w:eastAsia="zh-CN" w:bidi="ar"/>
              </w:rPr>
              <w:t xml:space="preserve">“Use of the six official languages of the Union on an equal footing” </w:t>
            </w:r>
            <w:r>
              <w:rPr>
                <w:rFonts w:eastAsia="SimSun"/>
                <w:kern w:val="2"/>
                <w:lang w:eastAsia="zh-CN" w:bidi="ar"/>
              </w:rPr>
              <w:t xml:space="preserve">resolves </w:t>
            </w:r>
            <w:r>
              <w:rPr>
                <w:lang w:val="en-GB"/>
              </w:rPr>
              <w:t>that the Secretary-General and the Council should, working in close collaboration with CCT, complete and maintain the ITU database for telecommunication/ICT terminology and definitions for all languages.</w:t>
            </w:r>
            <w:r w:rsidRPr="0076464D">
              <w:t xml:space="preserve"> The main modifications include the</w:t>
            </w:r>
            <w:r>
              <w:rPr>
                <w:rFonts w:eastAsia="SimSun"/>
                <w:bCs/>
                <w:lang w:eastAsia="zh-CN" w:bidi="ar"/>
              </w:rPr>
              <w:t xml:space="preserve"> </w:t>
            </w:r>
            <w:r w:rsidR="00FD55E3">
              <w:rPr>
                <w:rFonts w:eastAsia="SimSun"/>
                <w:bCs/>
                <w:lang w:eastAsia="zh-CN" w:bidi="ar"/>
              </w:rPr>
              <w:t xml:space="preserve">collaboration </w:t>
            </w:r>
            <w:r w:rsidR="00AD1AA3">
              <w:rPr>
                <w:rFonts w:eastAsia="SimSun"/>
                <w:bCs/>
                <w:lang w:eastAsia="zh-CN" w:bidi="ar"/>
              </w:rPr>
              <w:t>of</w:t>
            </w:r>
            <w:r w:rsidR="000853E2">
              <w:rPr>
                <w:rFonts w:eastAsia="SimSun"/>
                <w:bCs/>
                <w:lang w:eastAsia="zh-CN" w:bidi="ar"/>
              </w:rPr>
              <w:t xml:space="preserve"> the Secretary-General </w:t>
            </w:r>
            <w:r w:rsidR="00AD1AA3">
              <w:rPr>
                <w:rFonts w:eastAsia="SimSun"/>
                <w:bCs/>
                <w:lang w:eastAsia="zh-CN" w:bidi="ar"/>
              </w:rPr>
              <w:t xml:space="preserve">with </w:t>
            </w:r>
            <w:r w:rsidR="00DD1F42" w:rsidRPr="00DD1F42">
              <w:rPr>
                <w:rFonts w:eastAsia="SimSun"/>
                <w:bCs/>
                <w:lang w:eastAsia="zh-CN" w:bidi="ar"/>
              </w:rPr>
              <w:t>interested</w:t>
            </w:r>
            <w:r w:rsidR="00DD1F42">
              <w:rPr>
                <w:rFonts w:eastAsia="SimSun"/>
                <w:bCs/>
                <w:lang w:eastAsia="zh-CN" w:bidi="ar"/>
              </w:rPr>
              <w:t xml:space="preserve"> </w:t>
            </w:r>
            <w:r w:rsidR="00AD1AA3">
              <w:rPr>
                <w:lang w:val="en-GB"/>
              </w:rPr>
              <w:t>M</w:t>
            </w:r>
            <w:r w:rsidR="00AD1AA3" w:rsidRPr="008958DF">
              <w:rPr>
                <w:lang w:val="en-GB"/>
              </w:rPr>
              <w:t xml:space="preserve">ember States </w:t>
            </w:r>
            <w:r w:rsidR="000853E2">
              <w:rPr>
                <w:rFonts w:eastAsia="SimSun"/>
                <w:bCs/>
                <w:lang w:eastAsia="zh-CN" w:bidi="ar"/>
              </w:rPr>
              <w:t>and</w:t>
            </w:r>
            <w:r>
              <w:rPr>
                <w:rFonts w:eastAsia="SimSun"/>
                <w:bCs/>
                <w:lang w:eastAsia="zh-CN" w:bidi="ar"/>
              </w:rPr>
              <w:t xml:space="preserve"> SDOs</w:t>
            </w:r>
            <w:r w:rsidR="00FD55E3">
              <w:rPr>
                <w:rFonts w:eastAsia="SimSun"/>
                <w:bCs/>
                <w:lang w:eastAsia="zh-CN" w:bidi="ar"/>
              </w:rPr>
              <w:t xml:space="preserve"> </w:t>
            </w:r>
            <w:r w:rsidR="00DD1F42">
              <w:rPr>
                <w:rFonts w:eastAsia="SimSun" w:hint="eastAsia"/>
                <w:bCs/>
                <w:lang w:eastAsia="zh-CN" w:bidi="ar"/>
              </w:rPr>
              <w:t>in</w:t>
            </w:r>
            <w:r w:rsidR="00DD1F42">
              <w:rPr>
                <w:rFonts w:eastAsia="SimSun"/>
                <w:bCs/>
                <w:lang w:eastAsia="zh-CN" w:bidi="ar"/>
              </w:rPr>
              <w:t xml:space="preserve"> </w:t>
            </w:r>
            <w:r w:rsidR="00FD55E3" w:rsidRPr="008958DF">
              <w:rPr>
                <w:lang w:val="en-GB"/>
              </w:rPr>
              <w:t xml:space="preserve">partnership </w:t>
            </w:r>
            <w:r w:rsidR="00DD1F42">
              <w:rPr>
                <w:lang w:val="en-GB"/>
              </w:rPr>
              <w:t>with the</w:t>
            </w:r>
            <w:r w:rsidR="00FD55E3" w:rsidRPr="008958DF">
              <w:rPr>
                <w:lang w:val="en-GB"/>
              </w:rPr>
              <w:t xml:space="preserve"> ITU</w:t>
            </w:r>
            <w:r>
              <w:rPr>
                <w:rFonts w:eastAsia="SimSun"/>
                <w:bCs/>
                <w:lang w:eastAsia="zh-CN" w:bidi="ar"/>
              </w:rPr>
              <w:t xml:space="preserve"> to refine the </w:t>
            </w:r>
            <w:r w:rsidR="00DD1F42">
              <w:rPr>
                <w:rFonts w:eastAsia="SimSun"/>
                <w:bCs/>
                <w:lang w:eastAsia="zh-CN" w:bidi="ar"/>
              </w:rPr>
              <w:t xml:space="preserve">translation of </w:t>
            </w:r>
            <w:r w:rsidR="00AF5D57">
              <w:rPr>
                <w:rFonts w:eastAsia="SimSun"/>
                <w:bCs/>
                <w:lang w:eastAsia="zh-CN" w:bidi="ar"/>
              </w:rPr>
              <w:t xml:space="preserve">terminology and definitions </w:t>
            </w:r>
            <w:r>
              <w:rPr>
                <w:rFonts w:eastAsia="SimSun"/>
                <w:bCs/>
                <w:lang w:eastAsia="zh-CN" w:bidi="ar"/>
              </w:rPr>
              <w:t>in the individual official languages, and the invitation of Member States and Sector Members to cooperate with CCT.</w:t>
            </w:r>
          </w:p>
          <w:p w14:paraId="022D1738" w14:textId="38FEEC1E" w:rsidR="00045A8C" w:rsidRPr="003F14CA" w:rsidRDefault="00045A8C" w:rsidP="00045A8C"/>
        </w:tc>
      </w:tr>
    </w:tbl>
    <w:p w14:paraId="04EBBA0D" w14:textId="77777777" w:rsidR="003F14CA" w:rsidRDefault="003F14CA" w:rsidP="003F14CA"/>
    <w:p w14:paraId="624D46CF" w14:textId="77777777" w:rsidR="00420AA9" w:rsidRDefault="00420AA9" w:rsidP="003F14CA">
      <w:pPr>
        <w:rPr>
          <w:b/>
          <w:bCs/>
        </w:rPr>
      </w:pPr>
      <w:r>
        <w:rPr>
          <w:b/>
          <w:bCs/>
        </w:rPr>
        <w:t>INTRODUCTION</w:t>
      </w:r>
    </w:p>
    <w:p w14:paraId="23B109D4" w14:textId="36CA4D17" w:rsidR="00D60F9C" w:rsidRDefault="000853E2" w:rsidP="00D60F9C">
      <w:pPr>
        <w:widowControl w:val="0"/>
        <w:spacing w:beforeLines="50" w:before="120" w:afterLines="50" w:after="120"/>
        <w:jc w:val="both"/>
        <w:rPr>
          <w:rFonts w:eastAsia="SimSun"/>
          <w:bCs/>
          <w:lang w:eastAsia="zh-CN" w:bidi="ar"/>
        </w:rPr>
      </w:pPr>
      <w:r>
        <w:rPr>
          <w:lang w:val="en-GB"/>
        </w:rPr>
        <w:t xml:space="preserve">The </w:t>
      </w:r>
      <w:r w:rsidR="00C55F6C">
        <w:rPr>
          <w:lang w:val="en-GB"/>
        </w:rPr>
        <w:t>ITU Secretary-General maintains the ITU database for telecommunication/ICT terminology and definitions.</w:t>
      </w:r>
      <w:r w:rsidR="00740BE3">
        <w:rPr>
          <w:lang w:val="en-GB"/>
        </w:rPr>
        <w:t xml:space="preserve"> </w:t>
      </w:r>
      <w:r>
        <w:rPr>
          <w:lang w:val="en-GB"/>
        </w:rPr>
        <w:t>So far, t</w:t>
      </w:r>
      <w:r w:rsidR="00D60F9C">
        <w:rPr>
          <w:rFonts w:eastAsia="SimSun"/>
          <w:bCs/>
          <w:lang w:eastAsia="zh-CN" w:bidi="ar"/>
        </w:rPr>
        <w:t xml:space="preserve">he equal use of six official languages in </w:t>
      </w:r>
      <w:r>
        <w:rPr>
          <w:rFonts w:eastAsia="SimSun"/>
          <w:bCs/>
          <w:lang w:eastAsia="zh-CN" w:bidi="ar"/>
        </w:rPr>
        <w:t xml:space="preserve">the </w:t>
      </w:r>
      <w:r w:rsidR="00D60F9C">
        <w:rPr>
          <w:rFonts w:eastAsia="SimSun"/>
          <w:bCs/>
          <w:lang w:eastAsia="zh-CN" w:bidi="ar"/>
        </w:rPr>
        <w:t>term</w:t>
      </w:r>
      <w:r w:rsidR="00AF5D57">
        <w:rPr>
          <w:rFonts w:eastAsia="SimSun"/>
          <w:bCs/>
          <w:lang w:eastAsia="zh-CN" w:bidi="ar"/>
        </w:rPr>
        <w:t>inology</w:t>
      </w:r>
      <w:r w:rsidR="00D60F9C">
        <w:rPr>
          <w:rFonts w:eastAsia="SimSun"/>
          <w:bCs/>
          <w:lang w:eastAsia="zh-CN" w:bidi="ar"/>
        </w:rPr>
        <w:t xml:space="preserve"> and definitions database is still considerably far behind expectation. The translation of </w:t>
      </w:r>
      <w:r w:rsidR="00AF5D57">
        <w:rPr>
          <w:rFonts w:eastAsia="SimSun"/>
          <w:bCs/>
          <w:lang w:eastAsia="zh-CN" w:bidi="ar"/>
        </w:rPr>
        <w:t>terminology</w:t>
      </w:r>
      <w:r w:rsidR="00D60F9C">
        <w:rPr>
          <w:rFonts w:eastAsia="SimSun"/>
          <w:bCs/>
          <w:lang w:eastAsia="zh-CN" w:bidi="ar"/>
        </w:rPr>
        <w:t xml:space="preserve"> </w:t>
      </w:r>
      <w:r w:rsidR="00AF5D57">
        <w:rPr>
          <w:rFonts w:eastAsia="SimSun"/>
          <w:bCs/>
          <w:lang w:eastAsia="zh-CN" w:bidi="ar"/>
        </w:rPr>
        <w:t xml:space="preserve">and definitions </w:t>
      </w:r>
      <w:r w:rsidR="00D60F9C">
        <w:rPr>
          <w:rFonts w:eastAsia="SimSun"/>
          <w:bCs/>
          <w:lang w:eastAsia="zh-CN" w:bidi="ar"/>
        </w:rPr>
        <w:t xml:space="preserve">in different languages is such a rigorous and precise </w:t>
      </w:r>
      <w:r>
        <w:rPr>
          <w:rFonts w:eastAsia="SimSun"/>
          <w:bCs/>
          <w:lang w:eastAsia="zh-CN" w:bidi="ar"/>
        </w:rPr>
        <w:t>task</w:t>
      </w:r>
      <w:r w:rsidR="00D60F9C">
        <w:rPr>
          <w:rFonts w:eastAsia="SimSun"/>
          <w:bCs/>
          <w:lang w:eastAsia="zh-CN" w:bidi="ar"/>
        </w:rPr>
        <w:t xml:space="preserve">, that it requires the joint efforts of native-speaking experts and technicians besides ITU translators and interpreters. As regional/national SDOs have a deep understanding of the relevant vocabulary in their native languages and </w:t>
      </w:r>
      <w:r>
        <w:rPr>
          <w:rFonts w:eastAsia="SimSun"/>
          <w:bCs/>
          <w:lang w:eastAsia="zh-CN" w:bidi="ar"/>
        </w:rPr>
        <w:t>rich</w:t>
      </w:r>
      <w:r w:rsidR="00D60F9C">
        <w:rPr>
          <w:rFonts w:eastAsia="SimSun"/>
          <w:bCs/>
          <w:lang w:eastAsia="zh-CN" w:bidi="ar"/>
        </w:rPr>
        <w:t xml:space="preserve"> experience in deciding the authentic wording of emerging technologies, it is recommended that the Secretary-General </w:t>
      </w:r>
      <w:r w:rsidR="00AF5D57">
        <w:rPr>
          <w:rFonts w:eastAsia="SimSun"/>
          <w:bCs/>
          <w:lang w:eastAsia="zh-CN" w:bidi="ar"/>
        </w:rPr>
        <w:t>collaborate</w:t>
      </w:r>
      <w:r w:rsidR="00D60F9C">
        <w:rPr>
          <w:rFonts w:eastAsia="SimSun"/>
          <w:bCs/>
          <w:lang w:eastAsia="zh-CN" w:bidi="ar"/>
        </w:rPr>
        <w:t xml:space="preserve"> with </w:t>
      </w:r>
      <w:r w:rsidR="00AF5D57">
        <w:rPr>
          <w:rFonts w:eastAsia="SimSun" w:hint="eastAsia"/>
          <w:bCs/>
          <w:lang w:eastAsia="zh-CN" w:bidi="ar"/>
        </w:rPr>
        <w:t>in</w:t>
      </w:r>
      <w:r w:rsidR="00AF5D57">
        <w:rPr>
          <w:rFonts w:eastAsia="SimSun"/>
          <w:bCs/>
          <w:lang w:eastAsia="zh-CN" w:bidi="ar"/>
        </w:rPr>
        <w:t xml:space="preserve">terested </w:t>
      </w:r>
      <w:r w:rsidR="00AF5D57">
        <w:rPr>
          <w:lang w:val="en-GB"/>
        </w:rPr>
        <w:t>M</w:t>
      </w:r>
      <w:r w:rsidR="00AF5D57" w:rsidRPr="008958DF">
        <w:rPr>
          <w:lang w:val="en-GB"/>
        </w:rPr>
        <w:t>ember States</w:t>
      </w:r>
      <w:r w:rsidR="00AF5D57">
        <w:rPr>
          <w:lang w:val="en-GB"/>
        </w:rPr>
        <w:t xml:space="preserve"> and</w:t>
      </w:r>
      <w:r w:rsidR="00AF5D57" w:rsidDel="00AF5D57">
        <w:rPr>
          <w:rFonts w:eastAsia="SimSun"/>
          <w:bCs/>
          <w:lang w:eastAsia="zh-CN" w:bidi="ar"/>
        </w:rPr>
        <w:t xml:space="preserve"> </w:t>
      </w:r>
      <w:r w:rsidR="00D60F9C">
        <w:rPr>
          <w:rFonts w:eastAsia="SimSun"/>
          <w:bCs/>
          <w:lang w:eastAsia="zh-CN" w:bidi="ar"/>
        </w:rPr>
        <w:t xml:space="preserve">SDOs </w:t>
      </w:r>
      <w:r w:rsidR="00AF5D57">
        <w:rPr>
          <w:rFonts w:eastAsia="SimSun"/>
          <w:bCs/>
          <w:lang w:eastAsia="zh-CN" w:bidi="ar"/>
        </w:rPr>
        <w:t xml:space="preserve">in </w:t>
      </w:r>
      <w:r w:rsidR="00AF5D57" w:rsidRPr="008958DF">
        <w:rPr>
          <w:lang w:val="en-GB"/>
        </w:rPr>
        <w:t xml:space="preserve">partnership </w:t>
      </w:r>
      <w:r w:rsidR="00AF5D57">
        <w:rPr>
          <w:lang w:val="en-GB"/>
        </w:rPr>
        <w:t>with</w:t>
      </w:r>
      <w:r w:rsidR="00AF5D57">
        <w:rPr>
          <w:rFonts w:eastAsia="SimSun"/>
          <w:bCs/>
          <w:lang w:eastAsia="zh-CN" w:bidi="ar"/>
        </w:rPr>
        <w:t xml:space="preserve"> ITU </w:t>
      </w:r>
      <w:r w:rsidR="00D60F9C">
        <w:rPr>
          <w:rFonts w:eastAsia="SimSun"/>
          <w:bCs/>
          <w:lang w:eastAsia="zh-CN" w:bidi="ar"/>
        </w:rPr>
        <w:t xml:space="preserve">to refine the </w:t>
      </w:r>
      <w:r w:rsidR="00AF5D57">
        <w:rPr>
          <w:rFonts w:eastAsia="SimSun"/>
          <w:bCs/>
          <w:lang w:eastAsia="zh-CN" w:bidi="ar"/>
        </w:rPr>
        <w:t>translation of terminology</w:t>
      </w:r>
      <w:r w:rsidR="00D60F9C">
        <w:rPr>
          <w:rFonts w:eastAsia="SimSun"/>
          <w:bCs/>
          <w:lang w:eastAsia="zh-CN" w:bidi="ar"/>
        </w:rPr>
        <w:t xml:space="preserve"> and </w:t>
      </w:r>
      <w:r w:rsidR="00AF5D57">
        <w:rPr>
          <w:rFonts w:eastAsia="SimSun"/>
          <w:bCs/>
          <w:lang w:eastAsia="zh-CN" w:bidi="ar"/>
        </w:rPr>
        <w:t xml:space="preserve">definitions </w:t>
      </w:r>
      <w:r w:rsidR="00D60F9C">
        <w:rPr>
          <w:rFonts w:eastAsia="SimSun"/>
          <w:bCs/>
          <w:lang w:eastAsia="zh-CN" w:bidi="ar"/>
        </w:rPr>
        <w:t xml:space="preserve">in the individual official languages, it is also recommended that Member States and Sector Members submit their contributions and inputs to </w:t>
      </w:r>
      <w:r>
        <w:rPr>
          <w:rFonts w:eastAsia="SimSun"/>
          <w:bCs/>
          <w:lang w:eastAsia="zh-CN" w:bidi="ar"/>
        </w:rPr>
        <w:t xml:space="preserve">help </w:t>
      </w:r>
      <w:r w:rsidR="00D60F9C">
        <w:rPr>
          <w:rFonts w:eastAsia="SimSun"/>
          <w:bCs/>
          <w:lang w:eastAsia="zh-CN" w:bidi="ar"/>
        </w:rPr>
        <w:t xml:space="preserve">improve the translation of </w:t>
      </w:r>
      <w:r w:rsidR="00AF5D57">
        <w:rPr>
          <w:rFonts w:eastAsia="SimSun"/>
          <w:bCs/>
          <w:lang w:eastAsia="zh-CN" w:bidi="ar"/>
        </w:rPr>
        <w:t>terminology</w:t>
      </w:r>
      <w:r w:rsidR="00D60F9C">
        <w:rPr>
          <w:rFonts w:eastAsia="SimSun"/>
          <w:bCs/>
          <w:lang w:eastAsia="zh-CN" w:bidi="ar"/>
        </w:rPr>
        <w:t xml:space="preserve"> in relevant official languages.</w:t>
      </w:r>
    </w:p>
    <w:p w14:paraId="5E44FD77" w14:textId="1134F572" w:rsidR="00225E61" w:rsidRDefault="00225E61" w:rsidP="00225E61">
      <w:pPr>
        <w:widowControl w:val="0"/>
        <w:spacing w:beforeLines="50" w:before="120" w:afterLines="50" w:after="120"/>
        <w:jc w:val="both"/>
        <w:rPr>
          <w:rFonts w:eastAsia="SimSun"/>
          <w:bCs/>
          <w:lang w:eastAsia="zh-CN" w:bidi="ar"/>
        </w:rPr>
      </w:pPr>
      <w:r>
        <w:rPr>
          <w:rFonts w:eastAsia="SimSun"/>
          <w:bCs/>
          <w:lang w:eastAsia="zh-CN" w:bidi="ar"/>
        </w:rPr>
        <w:t>WTSA</w:t>
      </w:r>
      <w:r w:rsidR="005E64C0">
        <w:rPr>
          <w:rFonts w:eastAsia="SimSun"/>
          <w:bCs/>
          <w:lang w:eastAsia="zh-CN" w:bidi="ar"/>
        </w:rPr>
        <w:t>-</w:t>
      </w:r>
      <w:r>
        <w:rPr>
          <w:rFonts w:eastAsia="SimSun"/>
          <w:bCs/>
          <w:lang w:eastAsia="zh-CN" w:bidi="ar"/>
        </w:rPr>
        <w:t xml:space="preserve">20 Resolution 67 “Use in the ITU Telecommunication Standardization Sector of the languages of the Union on an equal footing” has been modified </w:t>
      </w:r>
      <w:r w:rsidR="000853E2">
        <w:rPr>
          <w:rFonts w:eastAsia="SimSun"/>
          <w:bCs/>
          <w:lang w:eastAsia="zh-CN" w:bidi="ar"/>
        </w:rPr>
        <w:t>as follows:</w:t>
      </w:r>
      <w:r w:rsidR="000853E2" w:rsidRPr="00225E61">
        <w:rPr>
          <w:rFonts w:eastAsia="SimSun"/>
          <w:bCs/>
          <w:lang w:eastAsia="zh-CN" w:bidi="ar"/>
        </w:rPr>
        <w:t xml:space="preserve"> </w:t>
      </w:r>
      <w:r w:rsidRPr="00225E61">
        <w:rPr>
          <w:rFonts w:eastAsia="SimSun"/>
          <w:bCs/>
          <w:lang w:eastAsia="zh-CN" w:bidi="ar"/>
        </w:rPr>
        <w:t>the work of standardizing vocabulary within ITU T</w:t>
      </w:r>
      <w:r>
        <w:rPr>
          <w:rFonts w:eastAsia="SimSun"/>
          <w:bCs/>
          <w:lang w:eastAsia="zh-CN" w:bidi="ar"/>
        </w:rPr>
        <w:t xml:space="preserve"> shall be </w:t>
      </w:r>
      <w:r w:rsidRPr="00225E61">
        <w:rPr>
          <w:rFonts w:eastAsia="SimSun"/>
          <w:bCs/>
          <w:lang w:eastAsia="zh-CN" w:bidi="ar"/>
        </w:rPr>
        <w:t>consider</w:t>
      </w:r>
      <w:r>
        <w:rPr>
          <w:rFonts w:eastAsia="SimSun"/>
          <w:bCs/>
          <w:lang w:eastAsia="zh-CN" w:bidi="ar"/>
        </w:rPr>
        <w:t>ed</w:t>
      </w:r>
      <w:r w:rsidRPr="00225E61">
        <w:rPr>
          <w:rFonts w:eastAsia="SimSun"/>
          <w:bCs/>
          <w:lang w:eastAsia="zh-CN" w:bidi="ar"/>
        </w:rPr>
        <w:t xml:space="preserve"> and the translation into the </w:t>
      </w:r>
      <w:r>
        <w:rPr>
          <w:rFonts w:eastAsia="SimSun"/>
          <w:bCs/>
          <w:lang w:eastAsia="zh-CN" w:bidi="ar"/>
        </w:rPr>
        <w:t xml:space="preserve">six </w:t>
      </w:r>
      <w:r w:rsidRPr="00225E61">
        <w:rPr>
          <w:rFonts w:eastAsia="SimSun"/>
          <w:bCs/>
          <w:lang w:eastAsia="zh-CN" w:bidi="ar"/>
        </w:rPr>
        <w:t xml:space="preserve">official languages </w:t>
      </w:r>
      <w:r w:rsidR="000853E2">
        <w:rPr>
          <w:rFonts w:eastAsia="SimSun"/>
          <w:bCs/>
          <w:lang w:eastAsia="zh-CN" w:bidi="ar"/>
        </w:rPr>
        <w:t xml:space="preserve">shall be </w:t>
      </w:r>
      <w:r w:rsidR="000853E2" w:rsidRPr="00225E61">
        <w:rPr>
          <w:rFonts w:eastAsia="SimSun"/>
          <w:bCs/>
          <w:lang w:eastAsia="zh-CN" w:bidi="ar"/>
        </w:rPr>
        <w:t>adopt</w:t>
      </w:r>
      <w:r w:rsidR="000853E2">
        <w:rPr>
          <w:rFonts w:eastAsia="SimSun"/>
          <w:bCs/>
          <w:lang w:eastAsia="zh-CN" w:bidi="ar"/>
        </w:rPr>
        <w:t>ed</w:t>
      </w:r>
      <w:r w:rsidR="000853E2" w:rsidRPr="00225E61">
        <w:rPr>
          <w:rFonts w:eastAsia="SimSun"/>
          <w:bCs/>
          <w:lang w:eastAsia="zh-CN" w:bidi="ar"/>
        </w:rPr>
        <w:t xml:space="preserve"> </w:t>
      </w:r>
      <w:r w:rsidRPr="00225E61">
        <w:rPr>
          <w:rFonts w:eastAsia="SimSun"/>
          <w:bCs/>
          <w:lang w:eastAsia="zh-CN" w:bidi="ar"/>
        </w:rPr>
        <w:t xml:space="preserve">as proposed by the General </w:t>
      </w:r>
      <w:proofErr w:type="gramStart"/>
      <w:r w:rsidRPr="00225E61">
        <w:rPr>
          <w:rFonts w:eastAsia="SimSun"/>
          <w:bCs/>
          <w:lang w:eastAsia="zh-CN" w:bidi="ar"/>
        </w:rPr>
        <w:t>Secretariat, and</w:t>
      </w:r>
      <w:proofErr w:type="gramEnd"/>
      <w:r w:rsidRPr="00225E61">
        <w:rPr>
          <w:rFonts w:eastAsia="SimSun"/>
          <w:bCs/>
          <w:lang w:eastAsia="zh-CN" w:bidi="ar"/>
        </w:rPr>
        <w:t xml:space="preserve"> ensured by the ITU CCT</w:t>
      </w:r>
      <w:r>
        <w:rPr>
          <w:rFonts w:eastAsia="SimSun"/>
          <w:bCs/>
          <w:lang w:eastAsia="zh-CN" w:bidi="ar"/>
        </w:rPr>
        <w:t>.</w:t>
      </w:r>
      <w:r w:rsidRPr="00225E61">
        <w:t xml:space="preserve"> </w:t>
      </w:r>
      <w:r w:rsidR="005E64C0">
        <w:rPr>
          <w:rFonts w:eastAsia="SimSun"/>
          <w:bCs/>
          <w:lang w:eastAsia="zh-CN" w:bidi="ar"/>
        </w:rPr>
        <w:t>WTSA-20 Resolution 67 also</w:t>
      </w:r>
      <w:r>
        <w:t xml:space="preserve"> </w:t>
      </w:r>
      <w:r w:rsidRPr="00225E61">
        <w:rPr>
          <w:rFonts w:eastAsia="SimSun"/>
          <w:bCs/>
          <w:lang w:eastAsia="zh-CN" w:bidi="ar"/>
        </w:rPr>
        <w:t>invite Member States</w:t>
      </w:r>
      <w:r>
        <w:rPr>
          <w:rFonts w:eastAsia="SimSun"/>
          <w:bCs/>
          <w:lang w:eastAsia="zh-CN" w:bidi="ar"/>
        </w:rPr>
        <w:t xml:space="preserve"> to</w:t>
      </w:r>
      <w:r w:rsidRPr="00225E61">
        <w:rPr>
          <w:rFonts w:eastAsia="SimSun"/>
          <w:bCs/>
          <w:lang w:eastAsia="zh-CN" w:bidi="ar"/>
        </w:rPr>
        <w:t xml:space="preserve"> cooperate with ITU in the refinement of the official language translation of terms and definitions at the request of CCT.</w:t>
      </w:r>
    </w:p>
    <w:p w14:paraId="675FC25D" w14:textId="77777777" w:rsidR="00420AA9" w:rsidRDefault="00420AA9" w:rsidP="003F14CA">
      <w:pPr>
        <w:rPr>
          <w:b/>
          <w:bCs/>
        </w:rPr>
      </w:pPr>
    </w:p>
    <w:p w14:paraId="5FB046D8" w14:textId="77777777" w:rsidR="00B04778" w:rsidRPr="003F14CA" w:rsidRDefault="003F14CA" w:rsidP="003F14CA">
      <w:pPr>
        <w:rPr>
          <w:b/>
          <w:bCs/>
        </w:rPr>
      </w:pPr>
      <w:r>
        <w:rPr>
          <w:b/>
          <w:bCs/>
        </w:rPr>
        <w:t>PROPOSAL</w:t>
      </w:r>
    </w:p>
    <w:p w14:paraId="089ABD3D" w14:textId="77777777" w:rsidR="00B04778" w:rsidRDefault="00B04778" w:rsidP="00B32C5A"/>
    <w:p w14:paraId="335A8ECC" w14:textId="764B7097" w:rsidR="00B32C5A" w:rsidRDefault="00420AA9" w:rsidP="00B32C5A">
      <w:r>
        <w:t>APT Member Administration</w:t>
      </w:r>
      <w:r w:rsidR="008143BD">
        <w:t>s</w:t>
      </w:r>
      <w:r>
        <w:t xml:space="preserve"> propose </w:t>
      </w:r>
      <w:r w:rsidR="00045A8C" w:rsidRPr="0076464D">
        <w:t xml:space="preserve">the revision of </w:t>
      </w:r>
      <w:r w:rsidR="00045A8C" w:rsidRPr="00045A8C">
        <w:t xml:space="preserve">PP </w:t>
      </w:r>
      <w:r w:rsidR="00045A8C" w:rsidRPr="0076464D">
        <w:t>Resolution</w:t>
      </w:r>
      <w:r w:rsidR="00045A8C" w:rsidRPr="00045A8C">
        <w:t xml:space="preserve"> 154 </w:t>
      </w:r>
      <w:r w:rsidR="00045A8C">
        <w:t xml:space="preserve">on the improvement of translation of </w:t>
      </w:r>
      <w:r w:rsidR="00045A8C">
        <w:rPr>
          <w:lang w:val="en-GB"/>
        </w:rPr>
        <w:t xml:space="preserve">Terminology </w:t>
      </w:r>
      <w:r w:rsidR="00045A8C">
        <w:t>and Definitions of the six official languages</w:t>
      </w:r>
      <w:r w:rsidR="00045A8C" w:rsidRPr="0076464D">
        <w:t xml:space="preserve"> shown in this document</w:t>
      </w:r>
      <w:r w:rsidR="00045A8C" w:rsidRPr="00045A8C">
        <w:t>.</w:t>
      </w:r>
    </w:p>
    <w:p w14:paraId="53231B13" w14:textId="465A4913" w:rsidR="00133302" w:rsidRPr="00420AA9" w:rsidRDefault="00420AA9" w:rsidP="00617508">
      <w:pPr>
        <w:rPr>
          <w:b/>
        </w:rPr>
      </w:pPr>
      <w:r w:rsidRPr="00420AA9">
        <w:rPr>
          <w:b/>
        </w:rPr>
        <w:t>PACP</w:t>
      </w:r>
      <w:r w:rsidR="00043625">
        <w:rPr>
          <w:b/>
        </w:rPr>
        <w:t>-12</w:t>
      </w:r>
    </w:p>
    <w:p w14:paraId="04D291B4" w14:textId="77777777" w:rsidR="00420AA9" w:rsidRPr="00420AA9" w:rsidRDefault="00420AA9" w:rsidP="00617508">
      <w:pPr>
        <w:rPr>
          <w:b/>
        </w:rPr>
      </w:pPr>
      <w:r w:rsidRPr="00420AA9">
        <w:rPr>
          <w:b/>
        </w:rPr>
        <w:lastRenderedPageBreak/>
        <w:t>MOD</w:t>
      </w:r>
    </w:p>
    <w:p w14:paraId="1D2C6C27" w14:textId="77777777" w:rsidR="00420AA9" w:rsidRDefault="00420AA9" w:rsidP="00420AA9">
      <w:pPr>
        <w:jc w:val="both"/>
        <w:rPr>
          <w:b/>
        </w:rPr>
      </w:pPr>
    </w:p>
    <w:p w14:paraId="4C3DCBC4" w14:textId="4918E701" w:rsidR="00420AA9" w:rsidRPr="00407508" w:rsidRDefault="00A41921" w:rsidP="00420AA9">
      <w:pPr>
        <w:pStyle w:val="ResNo"/>
        <w:rPr>
          <w:rFonts w:ascii="Times New Roman" w:hAnsi="Times New Roman"/>
          <w:sz w:val="24"/>
          <w:szCs w:val="24"/>
        </w:rPr>
      </w:pPr>
      <w:r w:rsidRPr="00A41921">
        <w:rPr>
          <w:rFonts w:ascii="Times New Roman" w:hAnsi="Times New Roman"/>
          <w:sz w:val="24"/>
          <w:szCs w:val="24"/>
        </w:rPr>
        <w:t>RESOLUTION 154 (Rev.</w:t>
      </w:r>
      <w:ins w:id="0" w:author="Wu Tong" w:date="2022-05-09T16:55:00Z">
        <w:r w:rsidRPr="00A41921">
          <w:rPr>
            <w:rFonts w:ascii="Times New Roman" w:hAnsi="Times New Roman"/>
            <w:sz w:val="24"/>
            <w:szCs w:val="24"/>
          </w:rPr>
          <w:t xml:space="preserve"> </w:t>
        </w:r>
      </w:ins>
      <w:del w:id="1" w:author="Wu Tong" w:date="2022-05-09T17:32:00Z">
        <w:r w:rsidR="00716AEF" w:rsidDel="00716AEF">
          <w:rPr>
            <w:rFonts w:ascii="Times New Roman" w:hAnsi="Times New Roman"/>
            <w:sz w:val="24"/>
            <w:szCs w:val="24"/>
          </w:rPr>
          <w:delText>DUBAI, 2018</w:delText>
        </w:r>
      </w:del>
      <w:ins w:id="2" w:author="Wu Tong" w:date="2022-05-09T16:55:00Z">
        <w:r w:rsidRPr="00A41921">
          <w:rPr>
            <w:rFonts w:ascii="Times New Roman" w:hAnsi="Times New Roman"/>
            <w:sz w:val="24"/>
            <w:szCs w:val="24"/>
          </w:rPr>
          <w:t>BUCHAREST,</w:t>
        </w:r>
      </w:ins>
      <w:ins w:id="3" w:author="長屋　嘉明" w:date="2022-05-11T00:22:00Z">
        <w:r w:rsidR="008143BD">
          <w:rPr>
            <w:rFonts w:ascii="Times New Roman" w:hAnsi="Times New Roman"/>
            <w:sz w:val="24"/>
            <w:szCs w:val="24"/>
          </w:rPr>
          <w:t xml:space="preserve"> </w:t>
        </w:r>
      </w:ins>
      <w:ins w:id="4" w:author="Wu Tong" w:date="2022-05-09T16:55:00Z">
        <w:r w:rsidRPr="00A41921">
          <w:rPr>
            <w:rFonts w:ascii="Times New Roman" w:hAnsi="Times New Roman"/>
            <w:sz w:val="24"/>
            <w:szCs w:val="24"/>
          </w:rPr>
          <w:t>2022</w:t>
        </w:r>
      </w:ins>
      <w:r w:rsidRPr="00A41921">
        <w:rPr>
          <w:rFonts w:ascii="Times New Roman" w:hAnsi="Times New Roman"/>
          <w:sz w:val="24"/>
          <w:szCs w:val="24"/>
        </w:rPr>
        <w:t>)</w:t>
      </w:r>
    </w:p>
    <w:p w14:paraId="79BEEF7F" w14:textId="26558DD0" w:rsidR="00420AA9" w:rsidRPr="00407508" w:rsidRDefault="00A41921" w:rsidP="00420AA9">
      <w:pPr>
        <w:pStyle w:val="Restitle"/>
        <w:rPr>
          <w:rFonts w:ascii="Times New Roman" w:hAnsi="Times New Roman"/>
          <w:sz w:val="24"/>
          <w:szCs w:val="24"/>
        </w:rPr>
      </w:pPr>
      <w:r w:rsidRPr="00A41921">
        <w:rPr>
          <w:rFonts w:ascii="Times New Roman" w:hAnsi="Times New Roman"/>
          <w:sz w:val="24"/>
          <w:szCs w:val="24"/>
        </w:rPr>
        <w:t>Use of the six official languages of the Union on an equal footing</w:t>
      </w:r>
    </w:p>
    <w:p w14:paraId="15BF44FA" w14:textId="65F5BCE1" w:rsidR="00420AA9" w:rsidRDefault="00420AA9" w:rsidP="00617508">
      <w:pPr>
        <w:rPr>
          <w:lang w:val="en-GB"/>
        </w:rPr>
      </w:pPr>
    </w:p>
    <w:p w14:paraId="6C2103C5" w14:textId="13CA787F" w:rsidR="00A41921" w:rsidRPr="00A41921" w:rsidRDefault="00A41921" w:rsidP="00A41921">
      <w:pPr>
        <w:pStyle w:val="Normalaftertitle"/>
        <w:spacing w:before="120"/>
        <w:rPr>
          <w:rFonts w:ascii="Times New Roman" w:hAnsi="Times New Roman"/>
        </w:rPr>
      </w:pPr>
      <w:r w:rsidRPr="00A41921">
        <w:rPr>
          <w:rFonts w:ascii="Times New Roman" w:hAnsi="Times New Roman"/>
        </w:rPr>
        <w:t>The Plenipotentiary Conference of the International Telecommunication Union (</w:t>
      </w:r>
      <w:ins w:id="5" w:author="Wu Tong" w:date="2022-05-09T16:52:00Z">
        <w:r w:rsidRPr="005A1FA2">
          <w:rPr>
            <w:rFonts w:ascii="Times New Roman" w:hAnsi="Times New Roman"/>
            <w:szCs w:val="24"/>
          </w:rPr>
          <w:t>Bucharest</w:t>
        </w:r>
        <w:r w:rsidRPr="00407508">
          <w:rPr>
            <w:rFonts w:ascii="Times New Roman" w:hAnsi="Times New Roman"/>
            <w:szCs w:val="24"/>
          </w:rPr>
          <w:t>, 20</w:t>
        </w:r>
        <w:r>
          <w:rPr>
            <w:rFonts w:ascii="Times New Roman" w:hAnsi="Times New Roman"/>
            <w:szCs w:val="24"/>
          </w:rPr>
          <w:t>22</w:t>
        </w:r>
      </w:ins>
      <w:del w:id="6" w:author="Wu Tong" w:date="2022-05-09T16:52:00Z">
        <w:r w:rsidRPr="00A41921" w:rsidDel="00A41921">
          <w:rPr>
            <w:rFonts w:ascii="Times New Roman" w:hAnsi="Times New Roman"/>
          </w:rPr>
          <w:delText>Dubai, 2018</w:delText>
        </w:r>
      </w:del>
      <w:r w:rsidRPr="00A41921">
        <w:rPr>
          <w:rFonts w:ascii="Times New Roman" w:hAnsi="Times New Roman"/>
        </w:rPr>
        <w:t>),</w:t>
      </w:r>
    </w:p>
    <w:p w14:paraId="499A86E4" w14:textId="77777777" w:rsidR="00A41921" w:rsidRPr="00A41921" w:rsidRDefault="00A41921" w:rsidP="00A41921">
      <w:pPr>
        <w:pStyle w:val="Call"/>
        <w:spacing w:before="120"/>
      </w:pPr>
      <w:r w:rsidRPr="00A41921">
        <w:t>recalling</w:t>
      </w:r>
    </w:p>
    <w:p w14:paraId="4835A913" w14:textId="77777777" w:rsidR="00A41921" w:rsidRPr="00A41921" w:rsidRDefault="00A41921" w:rsidP="00A41921">
      <w:pPr>
        <w:tabs>
          <w:tab w:val="left" w:pos="567"/>
          <w:tab w:val="left" w:pos="1134"/>
          <w:tab w:val="left" w:pos="1701"/>
          <w:tab w:val="left" w:pos="2268"/>
          <w:tab w:val="left" w:pos="2835"/>
        </w:tabs>
        <w:spacing w:before="120"/>
        <w:rPr>
          <w:iCs/>
        </w:rPr>
      </w:pPr>
      <w:r w:rsidRPr="00A41921">
        <w:rPr>
          <w:i/>
        </w:rPr>
        <w:t>a)</w:t>
      </w:r>
      <w:r w:rsidRPr="00A41921">
        <w:rPr>
          <w:i/>
        </w:rPr>
        <w:tab/>
      </w:r>
      <w:r w:rsidRPr="00A41921">
        <w:t xml:space="preserve">United Nations General Assembly Resolution 67/292, on </w:t>
      </w:r>
      <w:proofErr w:type="gramStart"/>
      <w:r w:rsidRPr="00A41921">
        <w:t>multilingualism;</w:t>
      </w:r>
      <w:proofErr w:type="gramEnd"/>
    </w:p>
    <w:p w14:paraId="4DA42C59" w14:textId="77777777" w:rsidR="00A41921" w:rsidRPr="00A41921" w:rsidRDefault="00A41921" w:rsidP="00A41921">
      <w:pPr>
        <w:tabs>
          <w:tab w:val="left" w:pos="567"/>
          <w:tab w:val="left" w:pos="1134"/>
          <w:tab w:val="left" w:pos="1701"/>
          <w:tab w:val="left" w:pos="2268"/>
          <w:tab w:val="left" w:pos="2835"/>
        </w:tabs>
        <w:spacing w:before="120"/>
      </w:pPr>
      <w:r w:rsidRPr="00A41921">
        <w:rPr>
          <w:i/>
        </w:rPr>
        <w:t>b)</w:t>
      </w:r>
      <w:r w:rsidRPr="00A41921">
        <w:rPr>
          <w:i/>
        </w:rPr>
        <w:tab/>
      </w:r>
      <w:r w:rsidRPr="00A41921">
        <w:t xml:space="preserve">Resolution 66 (Rev. Dubai, 2018) of this </w:t>
      </w:r>
      <w:proofErr w:type="gramStart"/>
      <w:r w:rsidRPr="00A41921">
        <w:t>conference;</w:t>
      </w:r>
      <w:proofErr w:type="gramEnd"/>
    </w:p>
    <w:p w14:paraId="2E462222" w14:textId="77777777" w:rsidR="00A41921" w:rsidRPr="00A41921" w:rsidRDefault="00A41921" w:rsidP="00A41921">
      <w:pPr>
        <w:tabs>
          <w:tab w:val="left" w:pos="567"/>
          <w:tab w:val="left" w:pos="1134"/>
          <w:tab w:val="left" w:pos="1701"/>
          <w:tab w:val="left" w:pos="2268"/>
          <w:tab w:val="left" w:pos="2835"/>
        </w:tabs>
        <w:spacing w:before="120"/>
      </w:pPr>
      <w:r w:rsidRPr="00A41921">
        <w:rPr>
          <w:i/>
        </w:rPr>
        <w:t>c)</w:t>
      </w:r>
      <w:r w:rsidRPr="00A41921">
        <w:rPr>
          <w:i/>
        </w:rPr>
        <w:tab/>
      </w:r>
      <w:r w:rsidRPr="00A41921">
        <w:t xml:space="preserve">Resolution 165 (Rev. Dubai, 2018) of this </w:t>
      </w:r>
      <w:proofErr w:type="gramStart"/>
      <w:r w:rsidRPr="00A41921">
        <w:t>conference;</w:t>
      </w:r>
      <w:proofErr w:type="gramEnd"/>
    </w:p>
    <w:p w14:paraId="539836FC" w14:textId="77777777" w:rsidR="00A41921" w:rsidRPr="00A41921" w:rsidRDefault="00A41921" w:rsidP="00A41921">
      <w:pPr>
        <w:tabs>
          <w:tab w:val="left" w:pos="567"/>
          <w:tab w:val="left" w:pos="1134"/>
          <w:tab w:val="left" w:pos="1701"/>
          <w:tab w:val="left" w:pos="2268"/>
          <w:tab w:val="left" w:pos="2835"/>
        </w:tabs>
        <w:spacing w:before="120"/>
      </w:pPr>
      <w:r w:rsidRPr="00A41921">
        <w:rPr>
          <w:i/>
        </w:rPr>
        <w:t>d)</w:t>
      </w:r>
      <w:r w:rsidRPr="00A41921">
        <w:rPr>
          <w:i/>
        </w:rPr>
        <w:tab/>
      </w:r>
      <w:r w:rsidRPr="00A41921">
        <w:t xml:space="preserve">Resolution 168 (Rev. Guadalajara, 2010) of the Plenipotentiary </w:t>
      </w:r>
      <w:proofErr w:type="gramStart"/>
      <w:r w:rsidRPr="00A41921">
        <w:t>Conference;</w:t>
      </w:r>
      <w:proofErr w:type="gramEnd"/>
    </w:p>
    <w:p w14:paraId="11824A13" w14:textId="77777777" w:rsidR="00A41921" w:rsidRPr="00A41921" w:rsidRDefault="00A41921" w:rsidP="00A41921">
      <w:pPr>
        <w:tabs>
          <w:tab w:val="left" w:pos="567"/>
          <w:tab w:val="left" w:pos="1134"/>
          <w:tab w:val="left" w:pos="1701"/>
          <w:tab w:val="left" w:pos="2268"/>
          <w:tab w:val="left" w:pos="2835"/>
        </w:tabs>
        <w:spacing w:before="120"/>
        <w:ind w:right="-138"/>
      </w:pPr>
      <w:r w:rsidRPr="00A41921">
        <w:rPr>
          <w:i/>
        </w:rPr>
        <w:t>e)</w:t>
      </w:r>
      <w:r w:rsidRPr="00A41921">
        <w:rPr>
          <w:i/>
        </w:rPr>
        <w:tab/>
      </w:r>
      <w:r w:rsidRPr="00A41921">
        <w:t xml:space="preserve">Decision 5 (Rev. Dubai, 2018) of this </w:t>
      </w:r>
      <w:proofErr w:type="gramStart"/>
      <w:r w:rsidRPr="00A41921">
        <w:t>conference;</w:t>
      </w:r>
      <w:proofErr w:type="gramEnd"/>
    </w:p>
    <w:p w14:paraId="4E607D4A" w14:textId="77777777" w:rsidR="00A41921" w:rsidRPr="00A41921" w:rsidRDefault="00A41921" w:rsidP="00A41921">
      <w:pPr>
        <w:tabs>
          <w:tab w:val="left" w:pos="567"/>
          <w:tab w:val="left" w:pos="1134"/>
          <w:tab w:val="left" w:pos="1701"/>
          <w:tab w:val="left" w:pos="2268"/>
          <w:tab w:val="left" w:pos="2835"/>
        </w:tabs>
        <w:spacing w:before="120"/>
        <w:ind w:right="-138"/>
        <w:rPr>
          <w:i/>
        </w:rPr>
      </w:pPr>
      <w:r w:rsidRPr="00A41921">
        <w:rPr>
          <w:i/>
        </w:rPr>
        <w:t>f)</w:t>
      </w:r>
      <w:r w:rsidRPr="00A41921">
        <w:rPr>
          <w:i/>
        </w:rPr>
        <w:tab/>
      </w:r>
      <w:r w:rsidRPr="00A41921">
        <w:t>Decision 11 (Rev. Dubai, 2018) of this conference,</w:t>
      </w:r>
    </w:p>
    <w:p w14:paraId="66B3572C" w14:textId="77777777" w:rsidR="00A41921" w:rsidRPr="00A41921" w:rsidRDefault="00A41921" w:rsidP="00A41921">
      <w:pPr>
        <w:pStyle w:val="Call"/>
        <w:spacing w:before="120"/>
      </w:pPr>
      <w:r w:rsidRPr="00A41921">
        <w:t>reaffirming</w:t>
      </w:r>
    </w:p>
    <w:p w14:paraId="09242448" w14:textId="77777777" w:rsidR="00A41921" w:rsidRPr="00A41921" w:rsidRDefault="00A41921" w:rsidP="00A41921">
      <w:pPr>
        <w:tabs>
          <w:tab w:val="left" w:pos="567"/>
          <w:tab w:val="left" w:pos="1134"/>
          <w:tab w:val="left" w:pos="1701"/>
          <w:tab w:val="left" w:pos="2268"/>
          <w:tab w:val="left" w:pos="2835"/>
        </w:tabs>
        <w:spacing w:before="120"/>
      </w:pPr>
      <w:r w:rsidRPr="00A41921">
        <w:t>the fundamental principle of equal treatment of the six official languages, as enshrined in Resolution 154 (Rev. Busan, 2014) of the Plenipotentiary Conference, on the use of the six languages on an equal footing,</w:t>
      </w:r>
    </w:p>
    <w:p w14:paraId="4A9083D8" w14:textId="77777777" w:rsidR="00A41921" w:rsidRPr="00A41921" w:rsidRDefault="00A41921" w:rsidP="00A41921">
      <w:pPr>
        <w:pStyle w:val="Call"/>
        <w:spacing w:before="120"/>
      </w:pPr>
      <w:r w:rsidRPr="00A41921">
        <w:t>noting with satisfaction and appreciation</w:t>
      </w:r>
    </w:p>
    <w:p w14:paraId="251EDD52" w14:textId="17B49310" w:rsidR="00A41921" w:rsidRPr="00A41921" w:rsidRDefault="00A41921" w:rsidP="00A41921">
      <w:pPr>
        <w:tabs>
          <w:tab w:val="left" w:pos="567"/>
          <w:tab w:val="left" w:pos="1134"/>
          <w:tab w:val="left" w:pos="1701"/>
          <w:tab w:val="left" w:pos="2268"/>
          <w:tab w:val="left" w:pos="2835"/>
        </w:tabs>
        <w:spacing w:before="120"/>
      </w:pPr>
      <w:r w:rsidRPr="00A41921">
        <w:rPr>
          <w:i/>
        </w:rPr>
        <w:t>a)</w:t>
      </w:r>
      <w:r w:rsidRPr="00A41921">
        <w:tab/>
        <w:t xml:space="preserve">the progress made in the implementation of Resolution 154 (Rev. Busan, 2014) in regard to alignment of working methods and optimization of staffing levels in the six languages, linguistic unification of databases for </w:t>
      </w:r>
      <w:del w:id="7" w:author="lifang" w:date="2022-05-11T10:12:00Z">
        <w:r w:rsidRPr="00A41921" w:rsidDel="00AF5D57">
          <w:delText xml:space="preserve">definitions and </w:delText>
        </w:r>
      </w:del>
      <w:r w:rsidRPr="00A41921">
        <w:t xml:space="preserve">terminology </w:t>
      </w:r>
      <w:ins w:id="8" w:author="lifang" w:date="2022-05-11T10:12:00Z">
        <w:r w:rsidR="00AF5D57">
          <w:t xml:space="preserve">and </w:t>
        </w:r>
        <w:r w:rsidR="00AF5D57" w:rsidRPr="00A41921">
          <w:t xml:space="preserve">definitions </w:t>
        </w:r>
      </w:ins>
      <w:r w:rsidRPr="00A41921">
        <w:t xml:space="preserve">and centralizing editing </w:t>
      </w:r>
      <w:proofErr w:type="gramStart"/>
      <w:r w:rsidRPr="00A41921">
        <w:t>functions;</w:t>
      </w:r>
      <w:proofErr w:type="gramEnd"/>
    </w:p>
    <w:p w14:paraId="2C1D6330" w14:textId="77777777" w:rsidR="00A41921" w:rsidRPr="00A41921" w:rsidRDefault="00A41921" w:rsidP="00A41921">
      <w:pPr>
        <w:tabs>
          <w:tab w:val="left" w:pos="567"/>
          <w:tab w:val="left" w:pos="1134"/>
          <w:tab w:val="left" w:pos="1701"/>
          <w:tab w:val="left" w:pos="2268"/>
          <w:tab w:val="left" w:pos="2835"/>
        </w:tabs>
        <w:spacing w:before="120"/>
      </w:pPr>
      <w:r w:rsidRPr="00A41921">
        <w:rPr>
          <w:i/>
          <w:iCs/>
        </w:rPr>
        <w:t>b)</w:t>
      </w:r>
      <w:r w:rsidRPr="00A41921">
        <w:tab/>
        <w:t>ITU's active participation in the International Annual Meeting on Language Arrangements, Documentation and Publications (IAMLADP</w:t>
      </w:r>
      <w:proofErr w:type="gramStart"/>
      <w:r w:rsidRPr="00A41921">
        <w:t>);</w:t>
      </w:r>
      <w:proofErr w:type="gramEnd"/>
    </w:p>
    <w:p w14:paraId="7E72FE74" w14:textId="77777777" w:rsidR="00A41921" w:rsidRPr="00A41921" w:rsidRDefault="00A41921" w:rsidP="00A41921">
      <w:pPr>
        <w:tabs>
          <w:tab w:val="left" w:pos="567"/>
          <w:tab w:val="left" w:pos="1134"/>
          <w:tab w:val="left" w:pos="1701"/>
          <w:tab w:val="left" w:pos="2268"/>
          <w:tab w:val="left" w:pos="2835"/>
        </w:tabs>
        <w:spacing w:before="120"/>
        <w:ind w:right="-138"/>
      </w:pPr>
      <w:r w:rsidRPr="00A41921">
        <w:rPr>
          <w:i/>
          <w:iCs/>
        </w:rPr>
        <w:t>c)</w:t>
      </w:r>
      <w:r w:rsidRPr="00A41921">
        <w:tab/>
        <w:t xml:space="preserve">the development of the ITU database for telecommunication/information and communication technology (ICT) terminology and definitions in Arabic, Russian and </w:t>
      </w:r>
      <w:proofErr w:type="gramStart"/>
      <w:r w:rsidRPr="00A41921">
        <w:t>Chinese;</w:t>
      </w:r>
      <w:proofErr w:type="gramEnd"/>
    </w:p>
    <w:p w14:paraId="1C989610" w14:textId="77777777" w:rsidR="00A41921" w:rsidRPr="00A41921" w:rsidRDefault="00A41921" w:rsidP="00A41921">
      <w:pPr>
        <w:tabs>
          <w:tab w:val="left" w:pos="567"/>
          <w:tab w:val="left" w:pos="1134"/>
          <w:tab w:val="left" w:pos="1701"/>
          <w:tab w:val="left" w:pos="2268"/>
          <w:tab w:val="left" w:pos="2835"/>
        </w:tabs>
        <w:spacing w:before="120"/>
        <w:ind w:right="-138"/>
        <w:rPr>
          <w:rFonts w:eastAsia="Calibri"/>
        </w:rPr>
      </w:pPr>
      <w:r w:rsidRPr="00A41921">
        <w:rPr>
          <w:rFonts w:eastAsia="Calibri"/>
          <w:i/>
        </w:rPr>
        <w:t>d)</w:t>
      </w:r>
      <w:r w:rsidRPr="00A41921">
        <w:rPr>
          <w:rFonts w:eastAsia="Calibri"/>
        </w:rPr>
        <w:tab/>
        <w:t>the work accomplished by the joint ITU Coordination Committee for Terminology (CCT), the Coordination Committee for Vocabulary (CCV) of the ITU Radiocommunication Sector, and the Standardization Committee for Vocabulary (SCV) of the ITU Telecommunication Standardization Sector on the adoption and agreement of terms and definitions in the field of telecommunications/ICTs in all six official languages of the Union,</w:t>
      </w:r>
    </w:p>
    <w:p w14:paraId="24C1A946" w14:textId="77777777" w:rsidR="00A41921" w:rsidRPr="00A41921" w:rsidRDefault="00A41921" w:rsidP="00A41921">
      <w:pPr>
        <w:pStyle w:val="Call"/>
        <w:spacing w:before="120"/>
      </w:pPr>
      <w:r w:rsidRPr="00A41921">
        <w:t>noting further</w:t>
      </w:r>
    </w:p>
    <w:p w14:paraId="3487A484" w14:textId="77777777" w:rsidR="00A41921" w:rsidRPr="00A41921" w:rsidRDefault="00A41921" w:rsidP="00A41921">
      <w:pPr>
        <w:tabs>
          <w:tab w:val="left" w:pos="567"/>
          <w:tab w:val="left" w:pos="1134"/>
          <w:tab w:val="left" w:pos="1701"/>
          <w:tab w:val="left" w:pos="2268"/>
          <w:tab w:val="left" w:pos="2835"/>
        </w:tabs>
        <w:spacing w:before="120"/>
        <w:rPr>
          <w:iCs/>
        </w:rPr>
      </w:pPr>
      <w:r w:rsidRPr="00A41921">
        <w:rPr>
          <w:i/>
        </w:rPr>
        <w:t>a)</w:t>
      </w:r>
      <w:r w:rsidRPr="00A41921">
        <w:tab/>
        <w:t>Resolution 1372, adopted by the ITU Council at its 2016 session, on the Council Working Group on Languages (CWG-LANG</w:t>
      </w:r>
      <w:proofErr w:type="gramStart"/>
      <w:r w:rsidRPr="00A41921">
        <w:t>)</w:t>
      </w:r>
      <w:r w:rsidRPr="00A41921">
        <w:rPr>
          <w:i/>
        </w:rPr>
        <w:t>;</w:t>
      </w:r>
      <w:proofErr w:type="gramEnd"/>
    </w:p>
    <w:p w14:paraId="52BF3DBC" w14:textId="77777777" w:rsidR="00A41921" w:rsidRPr="00A41921" w:rsidRDefault="00A41921" w:rsidP="00A41921">
      <w:pPr>
        <w:tabs>
          <w:tab w:val="left" w:pos="567"/>
          <w:tab w:val="left" w:pos="1134"/>
          <w:tab w:val="left" w:pos="1701"/>
          <w:tab w:val="left" w:pos="2268"/>
          <w:tab w:val="left" w:pos="2835"/>
        </w:tabs>
        <w:spacing w:before="120"/>
      </w:pPr>
      <w:r w:rsidRPr="00A41921">
        <w:rPr>
          <w:i/>
        </w:rPr>
        <w:t>b)</w:t>
      </w:r>
      <w:r w:rsidRPr="00A41921">
        <w:tab/>
        <w:t xml:space="preserve">Resolution 1386, adopted by the Council at its 2017 session, on </w:t>
      </w:r>
      <w:proofErr w:type="gramStart"/>
      <w:r w:rsidRPr="00A41921">
        <w:t>CCT;</w:t>
      </w:r>
      <w:proofErr w:type="gramEnd"/>
    </w:p>
    <w:p w14:paraId="0DB030B6" w14:textId="77777777" w:rsidR="00A41921" w:rsidRPr="00A41921" w:rsidRDefault="00A41921" w:rsidP="00A41921">
      <w:pPr>
        <w:tabs>
          <w:tab w:val="left" w:pos="567"/>
          <w:tab w:val="left" w:pos="1134"/>
          <w:tab w:val="left" w:pos="1701"/>
          <w:tab w:val="left" w:pos="2268"/>
          <w:tab w:val="left" w:pos="2835"/>
        </w:tabs>
        <w:spacing w:before="120"/>
      </w:pPr>
      <w:r w:rsidRPr="00A41921">
        <w:rPr>
          <w:i/>
          <w:iCs/>
        </w:rPr>
        <w:t>c)</w:t>
      </w:r>
      <w:r w:rsidRPr="00A41921">
        <w:tab/>
        <w:t>the relevant resolutions of the ITU Sectors on languages,</w:t>
      </w:r>
    </w:p>
    <w:p w14:paraId="3B4980AC" w14:textId="77777777" w:rsidR="00A41921" w:rsidRPr="00A41921" w:rsidRDefault="00A41921" w:rsidP="00A41921">
      <w:pPr>
        <w:pStyle w:val="Call"/>
        <w:tabs>
          <w:tab w:val="clear" w:pos="567"/>
        </w:tabs>
        <w:spacing w:before="120"/>
      </w:pPr>
      <w:r w:rsidRPr="00A41921">
        <w:t>recognizing</w:t>
      </w:r>
    </w:p>
    <w:p w14:paraId="0DDA1610" w14:textId="77777777" w:rsidR="00A41921" w:rsidRPr="00A41921" w:rsidRDefault="00A41921" w:rsidP="00A41921">
      <w:pPr>
        <w:tabs>
          <w:tab w:val="left" w:pos="567"/>
          <w:tab w:val="left" w:pos="1134"/>
          <w:tab w:val="left" w:pos="1701"/>
          <w:tab w:val="left" w:pos="2268"/>
          <w:tab w:val="left" w:pos="2835"/>
        </w:tabs>
        <w:spacing w:before="120"/>
      </w:pPr>
      <w:r w:rsidRPr="00A41921">
        <w:rPr>
          <w:i/>
          <w:iCs/>
        </w:rPr>
        <w:t>a)</w:t>
      </w:r>
      <w:r w:rsidRPr="00A41921">
        <w:tab/>
        <w:t xml:space="preserve">that translation and interpretation are essential elements of the work of the Union that enable a common understanding among the entire ITU membership on the important issues under </w:t>
      </w:r>
      <w:proofErr w:type="gramStart"/>
      <w:r w:rsidRPr="00A41921">
        <w:t>discussion;</w:t>
      </w:r>
      <w:proofErr w:type="gramEnd"/>
    </w:p>
    <w:p w14:paraId="028D138C" w14:textId="77777777" w:rsidR="00A41921" w:rsidRPr="00A41921" w:rsidRDefault="00A41921" w:rsidP="00A41921">
      <w:pPr>
        <w:tabs>
          <w:tab w:val="left" w:pos="567"/>
          <w:tab w:val="left" w:pos="1134"/>
          <w:tab w:val="left" w:pos="1701"/>
          <w:tab w:val="left" w:pos="2268"/>
          <w:tab w:val="left" w:pos="2835"/>
        </w:tabs>
        <w:spacing w:before="120"/>
      </w:pPr>
      <w:r w:rsidRPr="00A41921">
        <w:rPr>
          <w:i/>
        </w:rPr>
        <w:lastRenderedPageBreak/>
        <w:t>b)</w:t>
      </w:r>
      <w:r w:rsidRPr="00A41921">
        <w:tab/>
        <w:t>the importance of maintaining and improving the multilingual content of services required by the universal character of United Nations system organizations, as called for in the United Nations Joint Inspection Unit report on Multilingualism in the United Nations System (Document JIU/REP/2002/11</w:t>
      </w:r>
      <w:proofErr w:type="gramStart"/>
      <w:r w:rsidRPr="00A41921">
        <w:t>);</w:t>
      </w:r>
      <w:proofErr w:type="gramEnd"/>
    </w:p>
    <w:p w14:paraId="79338A05" w14:textId="6C379D3C" w:rsidR="00A41921" w:rsidRPr="00A41921" w:rsidRDefault="00A41921" w:rsidP="00A41921">
      <w:pPr>
        <w:tabs>
          <w:tab w:val="left" w:pos="567"/>
          <w:tab w:val="left" w:pos="1134"/>
          <w:tab w:val="left" w:pos="1701"/>
          <w:tab w:val="left" w:pos="2268"/>
          <w:tab w:val="left" w:pos="2835"/>
        </w:tabs>
        <w:spacing w:before="120"/>
      </w:pPr>
      <w:r w:rsidRPr="00A41921">
        <w:rPr>
          <w:i/>
          <w:iCs/>
        </w:rPr>
        <w:t>c)</w:t>
      </w:r>
      <w:r w:rsidRPr="00A41921">
        <w:tab/>
        <w:t xml:space="preserve">the work accomplished by CWG-LANG, as well as the work by the secretariat to implement the working group's recommendations as agreed by the Council, in particular with regard to the unification of linguistic databases for </w:t>
      </w:r>
      <w:del w:id="9" w:author="lifang" w:date="2022-05-11T10:12:00Z">
        <w:r w:rsidRPr="00A41921" w:rsidDel="00AF5D57">
          <w:delText xml:space="preserve">definitions and </w:delText>
        </w:r>
      </w:del>
      <w:r w:rsidRPr="00A41921">
        <w:t xml:space="preserve">terminology </w:t>
      </w:r>
      <w:ins w:id="10" w:author="lifang" w:date="2022-05-11T10:12:00Z">
        <w:r w:rsidR="00AF5D57">
          <w:t>and definitions</w:t>
        </w:r>
        <w:r w:rsidR="00AF5D57" w:rsidRPr="00A41921">
          <w:t xml:space="preserve"> </w:t>
        </w:r>
      </w:ins>
      <w:r w:rsidRPr="00A41921">
        <w:t>and the centralization of editing functions, the integration of the terminology database for Arabic, Chinese and Russian as well as harmonizing and unifying working procedures in the six language services,</w:t>
      </w:r>
    </w:p>
    <w:p w14:paraId="4942C972" w14:textId="77777777" w:rsidR="00A41921" w:rsidRPr="00A41921" w:rsidRDefault="00A41921" w:rsidP="00D5419B">
      <w:pPr>
        <w:pStyle w:val="Call"/>
        <w:spacing w:before="120" w:after="120"/>
      </w:pPr>
      <w:r w:rsidRPr="00A41921">
        <w:t>recognizing further</w:t>
      </w:r>
    </w:p>
    <w:p w14:paraId="2236ECEA" w14:textId="77777777" w:rsidR="00A41921" w:rsidRPr="00A41921" w:rsidRDefault="00A41921" w:rsidP="00A41921">
      <w:pPr>
        <w:tabs>
          <w:tab w:val="left" w:pos="567"/>
        </w:tabs>
        <w:spacing w:before="120"/>
        <w:ind w:left="45" w:right="-138"/>
        <w:rPr>
          <w:rFonts w:eastAsiaTheme="minorHAnsi"/>
        </w:rPr>
      </w:pPr>
      <w:r w:rsidRPr="00A41921">
        <w:rPr>
          <w:i/>
          <w:iCs/>
        </w:rPr>
        <w:t>a)</w:t>
      </w:r>
      <w:r w:rsidRPr="00A41921">
        <w:rPr>
          <w:i/>
          <w:iCs/>
        </w:rPr>
        <w:tab/>
      </w:r>
      <w:r w:rsidRPr="00A41921">
        <w:t xml:space="preserve">the budget constraints facing the Union, </w:t>
      </w:r>
      <w:r w:rsidRPr="00A41921">
        <w:rPr>
          <w:rFonts w:eastAsia="Calibri"/>
        </w:rPr>
        <w:t xml:space="preserve">and the importance of ensuring that ITU's work on the use of the languages of the Union on an equal footing is considered in conjunction with the budget so as to achieve an efficient allocation of </w:t>
      </w:r>
      <w:proofErr w:type="gramStart"/>
      <w:r w:rsidRPr="00A41921">
        <w:rPr>
          <w:rFonts w:eastAsia="Calibri"/>
        </w:rPr>
        <w:t>expenses;</w:t>
      </w:r>
      <w:proofErr w:type="gramEnd"/>
    </w:p>
    <w:p w14:paraId="302B7FF6" w14:textId="77777777" w:rsidR="00A41921" w:rsidRPr="00A41921" w:rsidRDefault="00A41921" w:rsidP="00A41921">
      <w:pPr>
        <w:tabs>
          <w:tab w:val="left" w:pos="567"/>
          <w:tab w:val="left" w:pos="1134"/>
          <w:tab w:val="left" w:pos="1701"/>
          <w:tab w:val="left" w:pos="2268"/>
          <w:tab w:val="left" w:pos="2835"/>
        </w:tabs>
        <w:spacing w:before="120"/>
        <w:ind w:right="-136"/>
        <w:rPr>
          <w:rFonts w:eastAsia="Calibri"/>
        </w:rPr>
      </w:pPr>
      <w:r w:rsidRPr="00A41921">
        <w:rPr>
          <w:i/>
        </w:rPr>
        <w:t>b)</w:t>
      </w:r>
      <w:r w:rsidRPr="00A41921">
        <w:rPr>
          <w:i/>
        </w:rPr>
        <w:tab/>
      </w:r>
      <w:r w:rsidRPr="00A41921">
        <w:t xml:space="preserve">that </w:t>
      </w:r>
      <w:r w:rsidRPr="00A41921">
        <w:rPr>
          <w:rFonts w:eastAsia="Calibri"/>
        </w:rPr>
        <w:t xml:space="preserve">Decision 5 (Rev. Dubai, 2018) stipulates in </w:t>
      </w:r>
      <w:r w:rsidRPr="00A41921">
        <w:rPr>
          <w:rFonts w:eastAsia="Calibri"/>
          <w:i/>
        </w:rPr>
        <w:t xml:space="preserve">decides </w:t>
      </w:r>
      <w:r w:rsidRPr="00A41921">
        <w:rPr>
          <w:rFonts w:eastAsia="Calibri"/>
          <w:iCs/>
        </w:rPr>
        <w:t>1.2</w:t>
      </w:r>
      <w:r w:rsidRPr="00A41921">
        <w:rPr>
          <w:rFonts w:eastAsia="Calibri"/>
        </w:rPr>
        <w:t xml:space="preserve"> that expenses on interpretation, </w:t>
      </w:r>
      <w:proofErr w:type="gramStart"/>
      <w:r w:rsidRPr="00A41921">
        <w:rPr>
          <w:rFonts w:eastAsia="Calibri"/>
        </w:rPr>
        <w:t>translation</w:t>
      </w:r>
      <w:proofErr w:type="gramEnd"/>
      <w:r w:rsidRPr="00A41921">
        <w:rPr>
          <w:rFonts w:eastAsia="Calibri"/>
        </w:rPr>
        <w:t xml:space="preserve"> and text processing in respect of the official languages of the Union shall not exceed CHF 85 million for the years 2020-2023,</w:t>
      </w:r>
    </w:p>
    <w:p w14:paraId="0FD8C7A1" w14:textId="77777777" w:rsidR="00A41921" w:rsidRPr="00A41921" w:rsidRDefault="00A41921" w:rsidP="00A41921">
      <w:pPr>
        <w:pStyle w:val="Call"/>
        <w:spacing w:before="120"/>
      </w:pPr>
      <w:r w:rsidRPr="00A41921">
        <w:t>resolves</w:t>
      </w:r>
    </w:p>
    <w:p w14:paraId="0A6F1501" w14:textId="77777777" w:rsidR="00A41921" w:rsidRPr="00A41921" w:rsidRDefault="00A41921" w:rsidP="00A41921">
      <w:pPr>
        <w:tabs>
          <w:tab w:val="left" w:pos="567"/>
          <w:tab w:val="left" w:pos="1134"/>
          <w:tab w:val="left" w:pos="1701"/>
          <w:tab w:val="left" w:pos="2268"/>
          <w:tab w:val="left" w:pos="2835"/>
        </w:tabs>
        <w:spacing w:before="120"/>
      </w:pPr>
      <w:r w:rsidRPr="00A41921">
        <w:t>to continue to take all necessary measures to ensure use of the six official languages of the Union on an equal footing and to provide interpretation and the translation of ITU documentation, although some work in ITU (for example working parties, regional conferences) might not require the use of all six languages,</w:t>
      </w:r>
    </w:p>
    <w:p w14:paraId="62856C9A" w14:textId="77777777" w:rsidR="00A41921" w:rsidRPr="00A41921" w:rsidRDefault="00A41921" w:rsidP="00A41921">
      <w:pPr>
        <w:pStyle w:val="Call"/>
        <w:spacing w:before="120"/>
      </w:pPr>
      <w:r w:rsidRPr="00A41921">
        <w:t xml:space="preserve">instructs the Secretary-General, in close collaboration with the Directors of the </w:t>
      </w:r>
      <w:proofErr w:type="spellStart"/>
      <w:r w:rsidRPr="00A41921">
        <w:t>Bureaux</w:t>
      </w:r>
      <w:proofErr w:type="spellEnd"/>
    </w:p>
    <w:p w14:paraId="33A4345A" w14:textId="77777777" w:rsidR="00A41921" w:rsidRPr="00A41921" w:rsidRDefault="00A41921" w:rsidP="00A41921">
      <w:pPr>
        <w:tabs>
          <w:tab w:val="left" w:pos="567"/>
          <w:tab w:val="left" w:pos="1134"/>
          <w:tab w:val="left" w:pos="1701"/>
          <w:tab w:val="left" w:pos="2268"/>
          <w:tab w:val="left" w:pos="2835"/>
        </w:tabs>
        <w:spacing w:before="120"/>
      </w:pPr>
      <w:r w:rsidRPr="00A41921">
        <w:t>1</w:t>
      </w:r>
      <w:r w:rsidRPr="00A41921">
        <w:tab/>
        <w:t>to present annually to the Council and to CWG-LANG a report containing:</w:t>
      </w:r>
    </w:p>
    <w:p w14:paraId="3D792375" w14:textId="77777777" w:rsidR="00A41921" w:rsidRPr="00A41921" w:rsidRDefault="00A41921" w:rsidP="00A41921">
      <w:pPr>
        <w:pStyle w:val="enumlev1"/>
        <w:spacing w:before="120"/>
      </w:pPr>
      <w:r w:rsidRPr="00A41921">
        <w:t>–</w:t>
      </w:r>
      <w:r w:rsidRPr="00A41921">
        <w:tab/>
        <w:t xml:space="preserve">evolution of the budget for translation of documents to the six official languages of the Union since 2014, taking into consideration variations in the volumes of translation services provided in each </w:t>
      </w:r>
      <w:proofErr w:type="gramStart"/>
      <w:r w:rsidRPr="00A41921">
        <w:t>year;</w:t>
      </w:r>
      <w:proofErr w:type="gramEnd"/>
    </w:p>
    <w:p w14:paraId="6B521345" w14:textId="77777777" w:rsidR="00A41921" w:rsidRPr="00A41921" w:rsidRDefault="00A41921" w:rsidP="00A41921">
      <w:pPr>
        <w:pStyle w:val="enumlev1"/>
        <w:spacing w:before="120"/>
      </w:pPr>
      <w:r w:rsidRPr="00A41921">
        <w:t>–</w:t>
      </w:r>
      <w:r w:rsidRPr="00A41921">
        <w:tab/>
        <w:t xml:space="preserve">procedures adopted by other international organizations inside and outside the United Nations system and benchmark studies on their costs of </w:t>
      </w:r>
      <w:proofErr w:type="gramStart"/>
      <w:r w:rsidRPr="00A41921">
        <w:t>translation;</w:t>
      </w:r>
      <w:proofErr w:type="gramEnd"/>
    </w:p>
    <w:p w14:paraId="46BA411E" w14:textId="77777777" w:rsidR="00A41921" w:rsidRPr="00A41921" w:rsidRDefault="00A41921" w:rsidP="00A41921">
      <w:pPr>
        <w:pStyle w:val="enumlev1"/>
        <w:spacing w:before="120"/>
      </w:pPr>
      <w:r w:rsidRPr="00A41921">
        <w:t>–</w:t>
      </w:r>
      <w:r w:rsidRPr="00A41921">
        <w:tab/>
        <w:t xml:space="preserve">initiatives undertaken by the General Secretariat and the three </w:t>
      </w:r>
      <w:proofErr w:type="spellStart"/>
      <w:r w:rsidRPr="00A41921">
        <w:t>Bureaux</w:t>
      </w:r>
      <w:proofErr w:type="spellEnd"/>
      <w:r w:rsidRPr="00A41921">
        <w:t xml:space="preserve"> to increase efficiencies and cost savings in the implementation of this resolution and comparison with the evolution of the budget since </w:t>
      </w:r>
      <w:proofErr w:type="gramStart"/>
      <w:r w:rsidRPr="00A41921">
        <w:t>2010;</w:t>
      </w:r>
      <w:proofErr w:type="gramEnd"/>
    </w:p>
    <w:p w14:paraId="7260E9E5" w14:textId="77777777" w:rsidR="00A41921" w:rsidRPr="00A41921" w:rsidRDefault="00A41921" w:rsidP="00A41921">
      <w:pPr>
        <w:pStyle w:val="enumlev1"/>
        <w:spacing w:before="120"/>
      </w:pPr>
      <w:r w:rsidRPr="00A41921">
        <w:t>–</w:t>
      </w:r>
      <w:r w:rsidRPr="00A41921">
        <w:tab/>
        <w:t xml:space="preserve">alternative translation procedures feasible to be adopted by ITU, in particular the use of innovative technologies, and their advantages and </w:t>
      </w:r>
      <w:proofErr w:type="gramStart"/>
      <w:r w:rsidRPr="00A41921">
        <w:t>disadvantages;</w:t>
      </w:r>
      <w:proofErr w:type="gramEnd"/>
    </w:p>
    <w:p w14:paraId="0AF9F9C5" w14:textId="77777777" w:rsidR="00A41921" w:rsidRPr="00A41921" w:rsidRDefault="00A41921" w:rsidP="00D5419B">
      <w:pPr>
        <w:pStyle w:val="enumlev1"/>
        <w:spacing w:before="120"/>
      </w:pPr>
      <w:r w:rsidRPr="00A41921">
        <w:t>–</w:t>
      </w:r>
      <w:r w:rsidRPr="00A41921">
        <w:tab/>
        <w:t xml:space="preserve">progress made on the implementation of measures and principles for translation and interpretation adopted by the </w:t>
      </w:r>
      <w:proofErr w:type="gramStart"/>
      <w:r w:rsidRPr="00A41921">
        <w:t>Council;</w:t>
      </w:r>
      <w:proofErr w:type="gramEnd"/>
    </w:p>
    <w:p w14:paraId="32EFAC8B" w14:textId="77777777" w:rsidR="00A41921" w:rsidRPr="00A41921" w:rsidRDefault="00A41921" w:rsidP="00A41921">
      <w:pPr>
        <w:tabs>
          <w:tab w:val="left" w:pos="567"/>
          <w:tab w:val="left" w:pos="1134"/>
          <w:tab w:val="left" w:pos="1701"/>
          <w:tab w:val="left" w:pos="2268"/>
          <w:tab w:val="left" w:pos="2835"/>
        </w:tabs>
        <w:spacing w:before="120"/>
        <w:ind w:right="-138"/>
        <w:contextualSpacing/>
        <w:rPr>
          <w:rFonts w:eastAsia="Calibri"/>
        </w:rPr>
      </w:pPr>
      <w:r w:rsidRPr="00A41921">
        <w:rPr>
          <w:rFonts w:eastAsia="Calibri"/>
        </w:rPr>
        <w:t>2</w:t>
      </w:r>
      <w:r w:rsidRPr="00A41921">
        <w:rPr>
          <w:rFonts w:eastAsia="Calibri"/>
        </w:rPr>
        <w:tab/>
        <w:t xml:space="preserve">to immediately publish all contributions submitted to the ITU secretariat for any ITU event in their original language on the respective event website even before their translation into the other official languages of the </w:t>
      </w:r>
      <w:proofErr w:type="gramStart"/>
      <w:r w:rsidRPr="00A41921">
        <w:rPr>
          <w:rFonts w:eastAsia="Calibri"/>
        </w:rPr>
        <w:t>Union;</w:t>
      </w:r>
      <w:proofErr w:type="gramEnd"/>
    </w:p>
    <w:p w14:paraId="2FBB3041" w14:textId="77777777" w:rsidR="00A41921" w:rsidRPr="00A41921" w:rsidRDefault="00A41921" w:rsidP="00A41921">
      <w:pPr>
        <w:tabs>
          <w:tab w:val="left" w:pos="567"/>
          <w:tab w:val="left" w:pos="1134"/>
          <w:tab w:val="left" w:pos="1701"/>
          <w:tab w:val="left" w:pos="2268"/>
          <w:tab w:val="left" w:pos="2835"/>
        </w:tabs>
        <w:spacing w:before="120"/>
      </w:pPr>
      <w:r w:rsidRPr="00A41921">
        <w:t>3</w:t>
      </w:r>
      <w:r w:rsidRPr="00A41921">
        <w:tab/>
        <w:t xml:space="preserve">to continue work on harmonization of the ITU Sectors' websites to ensure clarity, ease of navigation and an image of One </w:t>
      </w:r>
      <w:proofErr w:type="gramStart"/>
      <w:r w:rsidRPr="00A41921">
        <w:t>ITU;</w:t>
      </w:r>
      <w:proofErr w:type="gramEnd"/>
    </w:p>
    <w:p w14:paraId="3B370CB3" w14:textId="77777777" w:rsidR="00A41921" w:rsidRPr="00A41921" w:rsidRDefault="00A41921" w:rsidP="00A41921">
      <w:pPr>
        <w:tabs>
          <w:tab w:val="left" w:pos="567"/>
          <w:tab w:val="left" w:pos="1134"/>
          <w:tab w:val="left" w:pos="1701"/>
          <w:tab w:val="left" w:pos="2268"/>
          <w:tab w:val="left" w:pos="2835"/>
        </w:tabs>
        <w:spacing w:before="120"/>
      </w:pPr>
      <w:r w:rsidRPr="00A41921">
        <w:t>4</w:t>
      </w:r>
      <w:r w:rsidRPr="00A41921">
        <w:tab/>
        <w:t xml:space="preserve">to provide timely updates of the pages of the ITU website in all six languages of the </w:t>
      </w:r>
      <w:proofErr w:type="gramStart"/>
      <w:r w:rsidRPr="00A41921">
        <w:t>Union;</w:t>
      </w:r>
      <w:proofErr w:type="gramEnd"/>
    </w:p>
    <w:p w14:paraId="49EEF5C2" w14:textId="6DC2723F" w:rsidR="00A41921" w:rsidRPr="00A41921" w:rsidRDefault="008143BD" w:rsidP="00D5419B">
      <w:pPr>
        <w:widowControl w:val="0"/>
        <w:tabs>
          <w:tab w:val="left" w:pos="567"/>
        </w:tabs>
        <w:autoSpaceDE w:val="0"/>
        <w:autoSpaceDN w:val="0"/>
        <w:adjustRightInd w:val="0"/>
        <w:spacing w:before="120"/>
        <w:rPr>
          <w:ins w:id="11" w:author="炎鑫" w:date="2022-04-13T08:50:00Z"/>
          <w:color w:val="000000"/>
          <w:lang w:eastAsia="en-US"/>
        </w:rPr>
      </w:pPr>
      <w:ins w:id="12" w:author="長屋　嘉明" w:date="2022-05-11T00:27:00Z">
        <w:r>
          <w:rPr>
            <w:color w:val="000000"/>
            <w:lang w:eastAsia="en-US"/>
          </w:rPr>
          <w:t>5</w:t>
        </w:r>
        <w:r w:rsidRPr="00A41921">
          <w:tab/>
        </w:r>
      </w:ins>
      <w:ins w:id="13" w:author="Nyan Win" w:date="2022-05-11T12:56:00Z">
        <w:r w:rsidR="00D5419B" w:rsidRPr="00D5419B">
          <w:rPr>
            <w:color w:val="000000"/>
            <w:lang w:eastAsia="en-US"/>
          </w:rPr>
          <w:t xml:space="preserve">to continue to collaborate with interested Member States and, to the extent practicable </w:t>
        </w:r>
        <w:r w:rsidR="00D5419B" w:rsidRPr="00D5419B">
          <w:rPr>
            <w:color w:val="000000"/>
            <w:lang w:eastAsia="en-US"/>
          </w:rPr>
          <w:lastRenderedPageBreak/>
          <w:t>and where necessary, to collaborate with related standards development organizations (SDOs) in partnership with the ITU to refine the translation of terminology and definitions in all six official languages,</w:t>
        </w:r>
      </w:ins>
    </w:p>
    <w:p w14:paraId="6F56FF4C" w14:textId="77777777" w:rsidR="00A41921" w:rsidRPr="00A41921" w:rsidRDefault="00A41921" w:rsidP="00A41921">
      <w:pPr>
        <w:widowControl w:val="0"/>
        <w:autoSpaceDE w:val="0"/>
        <w:autoSpaceDN w:val="0"/>
        <w:adjustRightInd w:val="0"/>
        <w:spacing w:before="120"/>
        <w:rPr>
          <w:color w:val="000000"/>
          <w:lang w:eastAsia="en-US"/>
        </w:rPr>
      </w:pPr>
    </w:p>
    <w:p w14:paraId="778CEF0E" w14:textId="77777777" w:rsidR="00A41921" w:rsidRPr="00A41921" w:rsidRDefault="00A41921" w:rsidP="00A41921">
      <w:pPr>
        <w:pStyle w:val="Call"/>
        <w:spacing w:before="120"/>
      </w:pPr>
      <w:r w:rsidRPr="00A41921">
        <w:t>instructs the ITU Council</w:t>
      </w:r>
    </w:p>
    <w:p w14:paraId="74BBF461" w14:textId="77777777" w:rsidR="00A41921" w:rsidRPr="00A41921" w:rsidRDefault="00A41921" w:rsidP="00A41921">
      <w:pPr>
        <w:tabs>
          <w:tab w:val="left" w:pos="567"/>
          <w:tab w:val="left" w:pos="1134"/>
          <w:tab w:val="left" w:pos="1701"/>
          <w:tab w:val="left" w:pos="2268"/>
          <w:tab w:val="left" w:pos="2835"/>
        </w:tabs>
        <w:spacing w:before="120"/>
      </w:pPr>
      <w:r w:rsidRPr="00A41921">
        <w:t>1</w:t>
      </w:r>
      <w:r w:rsidRPr="00A41921">
        <w:tab/>
      </w:r>
      <w:r w:rsidRPr="00A41921">
        <w:rPr>
          <w:color w:val="231F20"/>
        </w:rPr>
        <w:t xml:space="preserve">to continue to </w:t>
      </w:r>
      <w:proofErr w:type="spellStart"/>
      <w:r w:rsidRPr="00A41921">
        <w:rPr>
          <w:color w:val="231F20"/>
        </w:rPr>
        <w:t>analyse</w:t>
      </w:r>
      <w:proofErr w:type="spellEnd"/>
      <w:r w:rsidRPr="00A41921">
        <w:rPr>
          <w:color w:val="231F20"/>
        </w:rPr>
        <w:t xml:space="preserve"> the adoption by ITU of alternative translation procedures, taking into account their financial implications and leveraging the benefits of innovative technologies in order to reduce translation and typing expenses in the budget of the Union, while maintaining or improving the current quality of translation and the correct use of technical telecommunication </w:t>
      </w:r>
      <w:proofErr w:type="gramStart"/>
      <w:r w:rsidRPr="00A41921">
        <w:rPr>
          <w:color w:val="231F20"/>
        </w:rPr>
        <w:t>terminology;</w:t>
      </w:r>
      <w:proofErr w:type="gramEnd"/>
    </w:p>
    <w:p w14:paraId="699B16A9" w14:textId="77777777" w:rsidR="00A41921" w:rsidRPr="00A41921" w:rsidRDefault="00A41921" w:rsidP="00A41921">
      <w:pPr>
        <w:tabs>
          <w:tab w:val="left" w:pos="567"/>
          <w:tab w:val="left" w:pos="1134"/>
          <w:tab w:val="left" w:pos="1701"/>
          <w:tab w:val="left" w:pos="2268"/>
          <w:tab w:val="left" w:pos="2835"/>
        </w:tabs>
        <w:spacing w:before="120"/>
      </w:pPr>
      <w:r w:rsidRPr="00A41921">
        <w:t>2</w:t>
      </w:r>
      <w:r w:rsidRPr="00A41921">
        <w:tab/>
        <w:t xml:space="preserve">to </w:t>
      </w:r>
      <w:r w:rsidRPr="00A41921">
        <w:rPr>
          <w:color w:val="231F20"/>
        </w:rPr>
        <w:t xml:space="preserve">continue to </w:t>
      </w:r>
      <w:proofErr w:type="spellStart"/>
      <w:r w:rsidRPr="00A41921">
        <w:t>analyse</w:t>
      </w:r>
      <w:proofErr w:type="spellEnd"/>
      <w:r w:rsidRPr="00A41921">
        <w:t xml:space="preserve">, including through the use of appropriate indicators, application of the updated measures and principles for interpretation and translation adopted by the Council at its 2014 session, taking into consideration the financial constraints, and bearing in mind the ultimate objective of full implementation of treatment of the six official languages on an equal </w:t>
      </w:r>
      <w:proofErr w:type="gramStart"/>
      <w:r w:rsidRPr="00A41921">
        <w:t>footing;</w:t>
      </w:r>
      <w:proofErr w:type="gramEnd"/>
      <w:r w:rsidRPr="00A41921">
        <w:t xml:space="preserve"> </w:t>
      </w:r>
    </w:p>
    <w:p w14:paraId="7DC1411C" w14:textId="77777777" w:rsidR="00A41921" w:rsidRPr="00A41921" w:rsidRDefault="00A41921" w:rsidP="00A41921">
      <w:pPr>
        <w:tabs>
          <w:tab w:val="left" w:pos="567"/>
          <w:tab w:val="left" w:pos="1134"/>
          <w:tab w:val="left" w:pos="1701"/>
          <w:tab w:val="left" w:pos="2268"/>
          <w:tab w:val="left" w:pos="2835"/>
        </w:tabs>
        <w:spacing w:before="120"/>
      </w:pPr>
      <w:r w:rsidRPr="00A41921">
        <w:t>3</w:t>
      </w:r>
      <w:r w:rsidRPr="00A41921">
        <w:tab/>
        <w:t>to pursue and monitor appropriate operational measures, such as:</w:t>
      </w:r>
    </w:p>
    <w:p w14:paraId="79EBC8B4" w14:textId="77777777" w:rsidR="00A41921" w:rsidRPr="00A41921" w:rsidRDefault="00A41921" w:rsidP="00A41921">
      <w:pPr>
        <w:pStyle w:val="enumlev1"/>
        <w:spacing w:before="120"/>
      </w:pPr>
      <w:r w:rsidRPr="00A41921">
        <w:t>–</w:t>
      </w:r>
      <w:r w:rsidRPr="00A41921">
        <w:tab/>
        <w:t xml:space="preserve">to continue review of ITU documentation and publication services with a view to eliminating any duplication and to creating </w:t>
      </w:r>
      <w:proofErr w:type="gramStart"/>
      <w:r w:rsidRPr="00A41921">
        <w:t>synergies;</w:t>
      </w:r>
      <w:proofErr w:type="gramEnd"/>
    </w:p>
    <w:p w14:paraId="657F9334" w14:textId="77777777" w:rsidR="00A41921" w:rsidRPr="00A41921" w:rsidRDefault="00A41921" w:rsidP="00A41921">
      <w:pPr>
        <w:pStyle w:val="enumlev1"/>
        <w:spacing w:before="120"/>
      </w:pPr>
      <w:r w:rsidRPr="00A41921">
        <w:t>–</w:t>
      </w:r>
      <w:r w:rsidRPr="00A41921">
        <w:tab/>
        <w:t xml:space="preserve">to facilitate the timely and simultaneous delivery of high-quality and efficient language services (interpretation, documentation, publications and public-information materials) in the six languages, in support of the Union's strategic </w:t>
      </w:r>
      <w:proofErr w:type="gramStart"/>
      <w:r w:rsidRPr="00A41921">
        <w:t>goals;</w:t>
      </w:r>
      <w:proofErr w:type="gramEnd"/>
    </w:p>
    <w:p w14:paraId="6A3F2ECB" w14:textId="77777777" w:rsidR="00A41921" w:rsidRPr="00A41921" w:rsidRDefault="00A41921" w:rsidP="00A41921">
      <w:pPr>
        <w:pStyle w:val="enumlev1"/>
        <w:spacing w:before="120"/>
      </w:pPr>
      <w:r w:rsidRPr="00A41921">
        <w:t>–</w:t>
      </w:r>
      <w:r w:rsidRPr="00A41921">
        <w:tab/>
        <w:t xml:space="preserve">to support optimum levels of staffing, including core staff, temporary assistance and outsourcing, while ensuring the required high quality of interpretation and </w:t>
      </w:r>
      <w:proofErr w:type="gramStart"/>
      <w:r w:rsidRPr="00A41921">
        <w:t>translation;</w:t>
      </w:r>
      <w:proofErr w:type="gramEnd"/>
    </w:p>
    <w:p w14:paraId="14F31A15" w14:textId="77777777" w:rsidR="00A41921" w:rsidRPr="00A41921" w:rsidRDefault="00A41921" w:rsidP="00A41921">
      <w:pPr>
        <w:pStyle w:val="enumlev1"/>
        <w:spacing w:before="120"/>
      </w:pPr>
      <w:r w:rsidRPr="00A41921">
        <w:t>–</w:t>
      </w:r>
      <w:r w:rsidRPr="00A41921">
        <w:tab/>
        <w:t xml:space="preserve">to continue implementation of judicious and efficient use of ICTs in language and publications activities, taking into consideration experience gained by other international organizations and best </w:t>
      </w:r>
      <w:proofErr w:type="gramStart"/>
      <w:r w:rsidRPr="00A41921">
        <w:t>practices;</w:t>
      </w:r>
      <w:proofErr w:type="gramEnd"/>
    </w:p>
    <w:p w14:paraId="4D3C6687" w14:textId="77777777" w:rsidR="00A41921" w:rsidRPr="00A41921" w:rsidRDefault="00A41921" w:rsidP="00A41921">
      <w:pPr>
        <w:pStyle w:val="enumlev1"/>
        <w:spacing w:before="120"/>
      </w:pPr>
      <w:r w:rsidRPr="00A41921">
        <w:t>–</w:t>
      </w:r>
      <w:r w:rsidRPr="00A41921">
        <w:tab/>
        <w:t xml:space="preserve">to continue to explore and implement all possible measures to reduce the size and volume of documents (page-limits, executive summaries, material in annexes or hyperlinks), and achieve greener meetings, when justified, without affecting the quality and content of the documents to be translated or to be published, and bearing clearly in mind the need to comply with the United Nations system objective of </w:t>
      </w:r>
      <w:proofErr w:type="gramStart"/>
      <w:r w:rsidRPr="00A41921">
        <w:t>multilingualism;</w:t>
      </w:r>
      <w:proofErr w:type="gramEnd"/>
    </w:p>
    <w:p w14:paraId="21362D26" w14:textId="77777777" w:rsidR="00A41921" w:rsidRPr="00A41921" w:rsidRDefault="00A41921" w:rsidP="00A41921">
      <w:pPr>
        <w:pStyle w:val="enumlev1"/>
        <w:spacing w:before="120"/>
      </w:pPr>
      <w:r w:rsidRPr="00A41921">
        <w:t>–</w:t>
      </w:r>
      <w:r w:rsidRPr="00A41921">
        <w:tab/>
        <w:t xml:space="preserve">as a matter of priority, to take, to the extent practicable, all necessary measures for equitable use of the six languages on the ITU website in terms of multilingual content and </w:t>
      </w:r>
      <w:proofErr w:type="gramStart"/>
      <w:r w:rsidRPr="00A41921">
        <w:t>user-friendliness;</w:t>
      </w:r>
      <w:proofErr w:type="gramEnd"/>
    </w:p>
    <w:p w14:paraId="366ED80F" w14:textId="77777777" w:rsidR="00A41921" w:rsidRPr="00A41921" w:rsidRDefault="00A41921" w:rsidP="00A41921">
      <w:pPr>
        <w:tabs>
          <w:tab w:val="left" w:pos="567"/>
          <w:tab w:val="left" w:pos="1134"/>
          <w:tab w:val="left" w:pos="1701"/>
          <w:tab w:val="left" w:pos="2268"/>
          <w:tab w:val="left" w:pos="2835"/>
        </w:tabs>
        <w:spacing w:before="120"/>
      </w:pPr>
      <w:r w:rsidRPr="00A41921">
        <w:t>4</w:t>
      </w:r>
      <w:r w:rsidRPr="00A41921">
        <w:tab/>
        <w:t xml:space="preserve">to monitor the work carried out by the ITU secretariat </w:t>
      </w:r>
      <w:proofErr w:type="gramStart"/>
      <w:r w:rsidRPr="00A41921">
        <w:t>in regard to</w:t>
      </w:r>
      <w:proofErr w:type="gramEnd"/>
      <w:r w:rsidRPr="00A41921">
        <w:t>:</w:t>
      </w:r>
    </w:p>
    <w:p w14:paraId="55637557" w14:textId="71EFE87A" w:rsidR="00A41921" w:rsidRPr="00A41921" w:rsidRDefault="00A41921" w:rsidP="00A41921">
      <w:pPr>
        <w:pStyle w:val="enumlev1"/>
        <w:spacing w:before="120"/>
      </w:pPr>
      <w:r w:rsidRPr="00A41921">
        <w:t>–</w:t>
      </w:r>
      <w:r w:rsidRPr="00A41921">
        <w:tab/>
        <w:t xml:space="preserve">merging all existing databases for </w:t>
      </w:r>
      <w:del w:id="14" w:author="lifang" w:date="2022-05-11T10:13:00Z">
        <w:r w:rsidRPr="00A41921" w:rsidDel="00AF5D57">
          <w:delText>definitions and</w:delText>
        </w:r>
      </w:del>
      <w:r w:rsidRPr="00A41921">
        <w:t xml:space="preserve"> terminology </w:t>
      </w:r>
      <w:ins w:id="15" w:author="lifang" w:date="2022-05-11T10:13:00Z">
        <w:r w:rsidR="00AF5D57" w:rsidRPr="00A41921">
          <w:t xml:space="preserve">and definitions </w:t>
        </w:r>
      </w:ins>
      <w:r w:rsidRPr="00A41921">
        <w:t xml:space="preserve">into a centralized system, with proper measures for its maintenance, expansion and </w:t>
      </w:r>
      <w:proofErr w:type="gramStart"/>
      <w:r w:rsidRPr="00A41921">
        <w:t>updating;</w:t>
      </w:r>
      <w:proofErr w:type="gramEnd"/>
      <w:r w:rsidRPr="00A41921">
        <w:t xml:space="preserve"> </w:t>
      </w:r>
    </w:p>
    <w:p w14:paraId="639965CB" w14:textId="77777777" w:rsidR="00A41921" w:rsidRPr="00A41921" w:rsidRDefault="00A41921" w:rsidP="00A41921">
      <w:pPr>
        <w:pStyle w:val="enumlev1"/>
        <w:spacing w:before="120"/>
      </w:pPr>
      <w:r w:rsidRPr="00A41921">
        <w:t>–</w:t>
      </w:r>
      <w:r w:rsidRPr="00A41921">
        <w:tab/>
        <w:t xml:space="preserve">completion and maintenance of the ITU database for telecommunication/ICT terminology and definitions for all </w:t>
      </w:r>
      <w:proofErr w:type="gramStart"/>
      <w:r w:rsidRPr="00A41921">
        <w:t>languages;</w:t>
      </w:r>
      <w:proofErr w:type="gramEnd"/>
    </w:p>
    <w:p w14:paraId="0EE2F8C3" w14:textId="77777777" w:rsidR="00A41921" w:rsidRPr="00A41921" w:rsidRDefault="00A41921" w:rsidP="00A41921">
      <w:pPr>
        <w:pStyle w:val="enumlev1"/>
        <w:spacing w:before="120"/>
      </w:pPr>
      <w:r w:rsidRPr="00A41921">
        <w:t>–</w:t>
      </w:r>
      <w:r w:rsidRPr="00A41921">
        <w:tab/>
        <w:t xml:space="preserve">providing the six language service units with the necessary qualified staff and tools to meet their requirements in each </w:t>
      </w:r>
      <w:proofErr w:type="gramStart"/>
      <w:r w:rsidRPr="00A41921">
        <w:t>language;</w:t>
      </w:r>
      <w:proofErr w:type="gramEnd"/>
      <w:r w:rsidRPr="00A41921">
        <w:t xml:space="preserve"> </w:t>
      </w:r>
    </w:p>
    <w:p w14:paraId="346E066A" w14:textId="77777777" w:rsidR="00A41921" w:rsidRPr="00A41921" w:rsidRDefault="00A41921" w:rsidP="00D5419B">
      <w:pPr>
        <w:pStyle w:val="enumlev1"/>
        <w:spacing w:before="120"/>
        <w:rPr>
          <w:lang w:bidi="ar-EG"/>
        </w:rPr>
      </w:pPr>
      <w:r w:rsidRPr="00A41921">
        <w:t>–</w:t>
      </w:r>
      <w:r w:rsidRPr="00A41921">
        <w:tab/>
        <w:t>enhancing ITU's image and the effectiveness of its public-information work, making use of all six languages of the Union, in, among other things, publishing ITU News, creating ITU websites, organizing Internet broadcasting</w:t>
      </w:r>
      <w:r w:rsidRPr="00A41921">
        <w:rPr>
          <w:lang w:bidi="ar-EG"/>
        </w:rPr>
        <w:t xml:space="preserve"> and archiving of recordings, and issuing </w:t>
      </w:r>
      <w:r w:rsidRPr="00A41921">
        <w:rPr>
          <w:lang w:bidi="ar-EG"/>
        </w:rPr>
        <w:lastRenderedPageBreak/>
        <w:t xml:space="preserve">documents of a public-information nature, including announcements of ITU Telecom events, e-flashes and such </w:t>
      </w:r>
      <w:proofErr w:type="gramStart"/>
      <w:r w:rsidRPr="00A41921">
        <w:rPr>
          <w:lang w:bidi="ar-EG"/>
        </w:rPr>
        <w:t>like;</w:t>
      </w:r>
      <w:proofErr w:type="gramEnd"/>
    </w:p>
    <w:p w14:paraId="7BF8E579" w14:textId="77777777" w:rsidR="00A41921" w:rsidRPr="00A41921" w:rsidRDefault="00A41921" w:rsidP="00A41921">
      <w:pPr>
        <w:tabs>
          <w:tab w:val="left" w:pos="567"/>
          <w:tab w:val="left" w:pos="1134"/>
          <w:tab w:val="left" w:pos="1701"/>
          <w:tab w:val="left" w:pos="2268"/>
          <w:tab w:val="left" w:pos="2835"/>
        </w:tabs>
        <w:spacing w:before="120"/>
        <w:rPr>
          <w:lang w:bidi="ar-EG"/>
        </w:rPr>
      </w:pPr>
      <w:r w:rsidRPr="00A41921">
        <w:rPr>
          <w:lang w:bidi="ar-EG"/>
        </w:rPr>
        <w:t>5</w:t>
      </w:r>
      <w:r w:rsidRPr="00A41921">
        <w:rPr>
          <w:lang w:bidi="ar-EG"/>
        </w:rPr>
        <w:tab/>
        <w:t xml:space="preserve">to maintain CWG-LANG, in order to monitor progress and report to the Council on the implementation of this resolution, working in close collaboration with CCT and the Council Working Group on financial and human </w:t>
      </w:r>
      <w:proofErr w:type="gramStart"/>
      <w:r w:rsidRPr="00A41921">
        <w:rPr>
          <w:lang w:bidi="ar-EG"/>
        </w:rPr>
        <w:t>resources;</w:t>
      </w:r>
      <w:proofErr w:type="gramEnd"/>
    </w:p>
    <w:p w14:paraId="1688526A" w14:textId="77777777" w:rsidR="00A41921" w:rsidRPr="00A41921" w:rsidRDefault="00A41921" w:rsidP="00A41921">
      <w:pPr>
        <w:tabs>
          <w:tab w:val="left" w:pos="567"/>
          <w:tab w:val="left" w:pos="1134"/>
          <w:tab w:val="left" w:pos="1701"/>
          <w:tab w:val="left" w:pos="2268"/>
          <w:tab w:val="left" w:pos="2835"/>
        </w:tabs>
        <w:spacing w:before="120"/>
      </w:pPr>
      <w:r w:rsidRPr="00A41921">
        <w:rPr>
          <w:lang w:bidi="ar-EG"/>
        </w:rPr>
        <w:t>6</w:t>
      </w:r>
      <w:r w:rsidRPr="00A41921">
        <w:rPr>
          <w:lang w:bidi="ar-EG"/>
        </w:rPr>
        <w:tab/>
      </w:r>
      <w:r w:rsidRPr="00A41921">
        <w:t xml:space="preserve">to review, in collaboration with the Sector advisory groups, the types of material to be included in output documents and </w:t>
      </w:r>
      <w:proofErr w:type="gramStart"/>
      <w:r w:rsidRPr="00A41921">
        <w:t>translated;</w:t>
      </w:r>
      <w:proofErr w:type="gramEnd"/>
    </w:p>
    <w:p w14:paraId="06CE5EF0" w14:textId="77777777" w:rsidR="00A41921" w:rsidRPr="00A41921" w:rsidRDefault="00A41921" w:rsidP="00A41921">
      <w:pPr>
        <w:tabs>
          <w:tab w:val="left" w:pos="567"/>
          <w:tab w:val="left" w:pos="1134"/>
          <w:tab w:val="left" w:pos="1701"/>
          <w:tab w:val="left" w:pos="2268"/>
          <w:tab w:val="left" w:pos="2835"/>
        </w:tabs>
        <w:spacing w:before="120"/>
      </w:pPr>
      <w:r w:rsidRPr="00A41921">
        <w:t>7</w:t>
      </w:r>
      <w:r w:rsidRPr="00A41921">
        <w:tab/>
        <w:t xml:space="preserve">to continue to consider measures to reduce, without sacrificing quality, the cost and volume of documentation as a standing item, in particular for conferences and </w:t>
      </w:r>
      <w:proofErr w:type="gramStart"/>
      <w:r w:rsidRPr="00A41921">
        <w:t>assemblies;</w:t>
      </w:r>
      <w:proofErr w:type="gramEnd"/>
    </w:p>
    <w:p w14:paraId="361CDA08" w14:textId="77777777" w:rsidR="00A41921" w:rsidRPr="00A41921" w:rsidRDefault="00A41921" w:rsidP="00A41921">
      <w:pPr>
        <w:tabs>
          <w:tab w:val="left" w:pos="567"/>
          <w:tab w:val="left" w:pos="1134"/>
          <w:tab w:val="left" w:pos="1701"/>
          <w:tab w:val="left" w:pos="2268"/>
          <w:tab w:val="left" w:pos="2835"/>
        </w:tabs>
        <w:spacing w:before="120"/>
      </w:pPr>
      <w:r w:rsidRPr="00A41921">
        <w:t>8</w:t>
      </w:r>
      <w:r w:rsidRPr="00A41921">
        <w:tab/>
        <w:t>to report to the next plenipotentiary conference on the implementation of this resolution,</w:t>
      </w:r>
    </w:p>
    <w:p w14:paraId="0BE52B44" w14:textId="77777777" w:rsidR="00A41921" w:rsidRPr="00A41921" w:rsidRDefault="00A41921" w:rsidP="00A41921">
      <w:pPr>
        <w:pStyle w:val="Call"/>
        <w:spacing w:before="120"/>
      </w:pPr>
      <w:r w:rsidRPr="00A41921">
        <w:t>invites Member States and Sector Members</w:t>
      </w:r>
    </w:p>
    <w:p w14:paraId="71B998AE" w14:textId="77777777" w:rsidR="00A41921" w:rsidRPr="00A41921" w:rsidRDefault="00A41921" w:rsidP="00A41921">
      <w:pPr>
        <w:tabs>
          <w:tab w:val="left" w:pos="567"/>
          <w:tab w:val="left" w:pos="1134"/>
          <w:tab w:val="left" w:pos="1701"/>
          <w:tab w:val="left" w:pos="2268"/>
          <w:tab w:val="left" w:pos="2835"/>
        </w:tabs>
        <w:spacing w:before="120"/>
      </w:pPr>
      <w:r w:rsidRPr="00A41921">
        <w:t>1</w:t>
      </w:r>
      <w:r w:rsidRPr="00A41921">
        <w:tab/>
        <w:t xml:space="preserve">to ensure that the different language versions of documents and publications are utilized, downloaded and purchased by the corresponding language communities, for the sake of maximizing their benefit and </w:t>
      </w:r>
      <w:proofErr w:type="gramStart"/>
      <w:r w:rsidRPr="00A41921">
        <w:t>cost-effectiveness;</w:t>
      </w:r>
      <w:proofErr w:type="gramEnd"/>
    </w:p>
    <w:p w14:paraId="78234843" w14:textId="77777777" w:rsidR="00A41921" w:rsidRPr="00A41921" w:rsidRDefault="00A41921" w:rsidP="00A41921">
      <w:pPr>
        <w:tabs>
          <w:tab w:val="left" w:pos="567"/>
          <w:tab w:val="left" w:pos="1134"/>
          <w:tab w:val="left" w:pos="1701"/>
          <w:tab w:val="left" w:pos="2268"/>
          <w:tab w:val="left" w:pos="2835"/>
        </w:tabs>
        <w:spacing w:before="120"/>
      </w:pPr>
      <w:r w:rsidRPr="00A41921">
        <w:t>2</w:t>
      </w:r>
      <w:r w:rsidRPr="00A41921">
        <w:tab/>
        <w:t xml:space="preserve">to submit their contributions and inputs sufficiently early before the beginning of conferences, assemblies and meetings of the Union, respecting deadlines for the submission of contributions that require translation, and to contain their size and volume to the greatest </w:t>
      </w:r>
      <w:proofErr w:type="gramStart"/>
      <w:r w:rsidRPr="00A41921">
        <w:t>extent;</w:t>
      </w:r>
      <w:proofErr w:type="gramEnd"/>
    </w:p>
    <w:p w14:paraId="1447A64C" w14:textId="51F7F1AB" w:rsidR="003B561C" w:rsidRPr="00A41921" w:rsidRDefault="003B561C" w:rsidP="003B561C">
      <w:pPr>
        <w:tabs>
          <w:tab w:val="left" w:pos="567"/>
          <w:tab w:val="left" w:pos="1134"/>
          <w:tab w:val="left" w:pos="1701"/>
          <w:tab w:val="left" w:pos="2268"/>
          <w:tab w:val="left" w:pos="2835"/>
        </w:tabs>
        <w:spacing w:before="120"/>
        <w:rPr>
          <w:ins w:id="16" w:author="Wu Tong" w:date="2022-05-09T16:57:00Z"/>
        </w:rPr>
      </w:pPr>
      <w:ins w:id="17" w:author="Wu Tong" w:date="2022-05-09T16:57:00Z">
        <w:r w:rsidRPr="00A41921">
          <w:rPr>
            <w:color w:val="000000"/>
            <w:lang w:eastAsia="en-US"/>
          </w:rPr>
          <w:t>3</w:t>
        </w:r>
      </w:ins>
      <w:ins w:id="18" w:author="長屋　嘉明" w:date="2022-05-11T00:30:00Z">
        <w:r w:rsidR="008143BD" w:rsidRPr="00A41921">
          <w:tab/>
        </w:r>
      </w:ins>
      <w:ins w:id="19" w:author="Wu Tong" w:date="2022-05-09T16:57:00Z">
        <w:r w:rsidRPr="00A41921">
          <w:t xml:space="preserve">to </w:t>
        </w:r>
      </w:ins>
      <w:ins w:id="20" w:author="Elisha Rajbhandari" w:date="2022-08-05T16:33:00Z">
        <w:r w:rsidR="007D4535">
          <w:t xml:space="preserve">continue to </w:t>
        </w:r>
      </w:ins>
      <w:ins w:id="21" w:author="Wu Tong" w:date="2022-05-09T16:57:00Z">
        <w:r>
          <w:t>cooperate</w:t>
        </w:r>
        <w:r w:rsidRPr="00A41921">
          <w:t xml:space="preserve"> in the refinement of the </w:t>
        </w:r>
        <w:r w:rsidRPr="00A41921">
          <w:rPr>
            <w:rFonts w:eastAsia="SimSun"/>
          </w:rPr>
          <w:t>official language translation of term</w:t>
        </w:r>
      </w:ins>
      <w:ins w:id="22" w:author="lifang" w:date="2022-05-11T10:20:00Z">
        <w:r w:rsidR="00AF5D57">
          <w:rPr>
            <w:rFonts w:eastAsia="SimSun"/>
          </w:rPr>
          <w:t>inology</w:t>
        </w:r>
      </w:ins>
      <w:ins w:id="23" w:author="Wu Tong" w:date="2022-05-09T16:57:00Z">
        <w:r w:rsidRPr="00A41921">
          <w:rPr>
            <w:rFonts w:eastAsia="SimSun"/>
          </w:rPr>
          <w:t xml:space="preserve"> and definitions at the request of CCT</w:t>
        </w:r>
        <w:r w:rsidRPr="00A41921">
          <w:t>.</w:t>
        </w:r>
      </w:ins>
    </w:p>
    <w:p w14:paraId="76C385A3" w14:textId="77777777" w:rsidR="00A41921" w:rsidRPr="00E2168F" w:rsidRDefault="00A41921" w:rsidP="00A41921">
      <w:pPr>
        <w:spacing w:before="120"/>
      </w:pPr>
    </w:p>
    <w:p w14:paraId="45EAA5FE" w14:textId="77777777" w:rsidR="00A41921" w:rsidRPr="00A41921" w:rsidRDefault="00A41921" w:rsidP="00A41921">
      <w:pPr>
        <w:rPr>
          <w:lang w:val="en-GB"/>
        </w:rPr>
      </w:pPr>
    </w:p>
    <w:p w14:paraId="55EECAC7" w14:textId="77777777" w:rsidR="00A41921" w:rsidRPr="00A41921" w:rsidRDefault="00A41921" w:rsidP="00A41921">
      <w:pPr>
        <w:rPr>
          <w:lang w:val="en-GB"/>
        </w:rPr>
      </w:pPr>
    </w:p>
    <w:p w14:paraId="44E61566" w14:textId="77777777" w:rsidR="00A41921" w:rsidRPr="00A41921" w:rsidRDefault="00A41921" w:rsidP="00A41921">
      <w:pPr>
        <w:rPr>
          <w:sz w:val="30"/>
          <w:szCs w:val="30"/>
          <w:lang w:val="en-GB"/>
        </w:rPr>
      </w:pPr>
    </w:p>
    <w:p w14:paraId="49CFD37B" w14:textId="77777777" w:rsidR="00A41921" w:rsidRPr="00A41921" w:rsidRDefault="00A41921" w:rsidP="00A41921">
      <w:pPr>
        <w:rPr>
          <w:sz w:val="30"/>
          <w:szCs w:val="30"/>
          <w:lang w:val="en-GB"/>
        </w:rPr>
      </w:pPr>
    </w:p>
    <w:p w14:paraId="44F0DEF7" w14:textId="77777777" w:rsidR="00A41921" w:rsidRPr="00A41921" w:rsidRDefault="00A41921" w:rsidP="00A41921">
      <w:pPr>
        <w:rPr>
          <w:sz w:val="30"/>
          <w:szCs w:val="30"/>
          <w:lang w:val="en-GB"/>
        </w:rPr>
      </w:pPr>
    </w:p>
    <w:p w14:paraId="67A675EE" w14:textId="77777777" w:rsidR="00A41921" w:rsidRPr="00A41921" w:rsidRDefault="00A41921" w:rsidP="00A41921">
      <w:pPr>
        <w:rPr>
          <w:sz w:val="30"/>
          <w:szCs w:val="30"/>
          <w:lang w:val="en-GB"/>
        </w:rPr>
      </w:pPr>
    </w:p>
    <w:p w14:paraId="7807213F" w14:textId="12B5CCA8" w:rsidR="00A41921" w:rsidRDefault="00A41921" w:rsidP="00A41921">
      <w:pPr>
        <w:pStyle w:val="refbasdepage"/>
      </w:pPr>
      <w:r>
        <w:t>(Antalya, 2006) – (</w:t>
      </w:r>
      <w:proofErr w:type="spellStart"/>
      <w:r>
        <w:t>Rev</w:t>
      </w:r>
      <w:proofErr w:type="spellEnd"/>
      <w:r>
        <w:t>. Guadalajara, 2010)</w:t>
      </w:r>
      <w:r>
        <w:rPr>
          <w:lang w:val="es-ES"/>
        </w:rPr>
        <w:t xml:space="preserve"> – (Rev. Busan, 2014) – (Rev. </w:t>
      </w:r>
      <w:proofErr w:type="spellStart"/>
      <w:r>
        <w:rPr>
          <w:lang w:val="es-ES"/>
        </w:rPr>
        <w:t>Dubai</w:t>
      </w:r>
      <w:proofErr w:type="spellEnd"/>
      <w:r>
        <w:rPr>
          <w:lang w:val="es-ES"/>
        </w:rPr>
        <w:t>, 2018)</w:t>
      </w:r>
      <w:ins w:id="24" w:author="Wu Tong" w:date="2022-05-09T17:45:00Z">
        <w:r w:rsidR="00F41BBF" w:rsidRPr="00F41BBF">
          <w:rPr>
            <w:lang w:val="es-ES"/>
          </w:rPr>
          <w:t xml:space="preserve"> </w:t>
        </w:r>
        <w:r w:rsidR="00F41BBF">
          <w:rPr>
            <w:lang w:val="es-ES"/>
          </w:rPr>
          <w:t>–</w:t>
        </w:r>
        <w:r w:rsidR="00F41BBF" w:rsidRPr="00F41BBF">
          <w:t xml:space="preserve"> </w:t>
        </w:r>
        <w:r w:rsidR="00F41BBF" w:rsidRPr="00A41921">
          <w:t>(</w:t>
        </w:r>
        <w:proofErr w:type="spellStart"/>
        <w:r w:rsidR="00F41BBF" w:rsidRPr="005A1FA2">
          <w:t>Bucharest</w:t>
        </w:r>
        <w:proofErr w:type="spellEnd"/>
        <w:r w:rsidR="00F41BBF" w:rsidRPr="00407508">
          <w:t>, 20</w:t>
        </w:r>
        <w:r w:rsidR="00F41BBF">
          <w:t>22</w:t>
        </w:r>
        <w:r w:rsidR="00F41BBF" w:rsidRPr="00A41921">
          <w:t>)</w:t>
        </w:r>
      </w:ins>
    </w:p>
    <w:p w14:paraId="44935C68" w14:textId="77777777" w:rsidR="00A41921" w:rsidRDefault="00A41921" w:rsidP="00A41921">
      <w:pPr>
        <w:rPr>
          <w:lang w:val="en-GB"/>
        </w:rPr>
      </w:pPr>
    </w:p>
    <w:p w14:paraId="1F5C0092" w14:textId="77777777" w:rsidR="00A41921" w:rsidRPr="00F41BBF" w:rsidRDefault="00A41921" w:rsidP="00617508">
      <w:pPr>
        <w:rPr>
          <w:lang w:val="en-GB"/>
        </w:rPr>
      </w:pPr>
    </w:p>
    <w:sectPr w:rsidR="00A41921" w:rsidRPr="00F41BBF" w:rsidSect="00EA5715">
      <w:headerReference w:type="default" r:id="rId8"/>
      <w:footerReference w:type="default" r:id="rId9"/>
      <w:pgSz w:w="11906" w:h="16838" w:code="9"/>
      <w:pgMar w:top="1152" w:right="1296" w:bottom="1296"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A844E" w14:textId="77777777" w:rsidR="006D3A5E" w:rsidRDefault="006D3A5E" w:rsidP="003A0414">
      <w:r>
        <w:separator/>
      </w:r>
    </w:p>
  </w:endnote>
  <w:endnote w:type="continuationSeparator" w:id="0">
    <w:p w14:paraId="4FFA0C81" w14:textId="77777777" w:rsidR="006D3A5E" w:rsidRDefault="006D3A5E" w:rsidP="003A0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DE"/>
    <w:family w:val="roman"/>
    <w:pitch w:val="variable"/>
    <w:sig w:usb0="81000003" w:usb1="00000000" w:usb2="00000000" w:usb3="00000000" w:csb0="00010001" w:csb1="00000000"/>
  </w:font>
  <w:font w:name="BatangChe">
    <w:altName w:val="BatangChe"/>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462F3" w14:textId="4679893A" w:rsidR="003F14CA" w:rsidRPr="003A0414" w:rsidRDefault="00EA5715" w:rsidP="00B32C5A">
    <w:pPr>
      <w:pStyle w:val="Footer"/>
      <w:tabs>
        <w:tab w:val="clear" w:pos="4513"/>
        <w:tab w:val="clear" w:pos="9026"/>
        <w:tab w:val="right" w:pos="9540"/>
      </w:tabs>
      <w:rPr>
        <w:lang w:val="en-GB"/>
      </w:rPr>
    </w:pPr>
    <w:r>
      <w:rPr>
        <w:lang w:val="en-GB"/>
      </w:rPr>
      <w:t>APT PP</w:t>
    </w:r>
    <w:r w:rsidR="006B4D42">
      <w:rPr>
        <w:lang w:val="en-GB"/>
      </w:rPr>
      <w:t>22</w:t>
    </w:r>
    <w:r>
      <w:rPr>
        <w:lang w:val="en-GB"/>
      </w:rPr>
      <w:t>-</w:t>
    </w:r>
    <w:r w:rsidR="00C17FBB">
      <w:rPr>
        <w:lang w:val="en-GB"/>
      </w:rPr>
      <w:t>4</w:t>
    </w:r>
    <w:r w:rsidR="003F14CA">
      <w:rPr>
        <w:lang w:val="en-GB"/>
      </w:rPr>
      <w:t>/</w:t>
    </w:r>
    <w:r w:rsidR="00B37ECD">
      <w:rPr>
        <w:lang w:val="en-GB"/>
      </w:rPr>
      <w:t>OUT-</w:t>
    </w:r>
    <w:r w:rsidR="00714982">
      <w:rPr>
        <w:lang w:val="en-GB"/>
      </w:rPr>
      <w:t>3</w:t>
    </w:r>
    <w:r w:rsidR="00B37ECD">
      <w:rPr>
        <w:lang w:val="en-GB"/>
      </w:rPr>
      <w:t>0</w:t>
    </w:r>
    <w:r w:rsidR="003F14CA">
      <w:rPr>
        <w:lang w:val="en-GB"/>
      </w:rPr>
      <w:tab/>
    </w:r>
    <w:r w:rsidR="003F14CA" w:rsidRPr="003A0414">
      <w:rPr>
        <w:lang w:val="en-GB"/>
      </w:rPr>
      <w:t xml:space="preserve">Page </w:t>
    </w:r>
    <w:r w:rsidR="003F14CA" w:rsidRPr="003A0414">
      <w:rPr>
        <w:lang w:val="en-GB"/>
      </w:rPr>
      <w:fldChar w:fldCharType="begin"/>
    </w:r>
    <w:r w:rsidR="003F14CA" w:rsidRPr="003A0414">
      <w:rPr>
        <w:lang w:val="en-GB"/>
      </w:rPr>
      <w:instrText xml:space="preserve"> PAGE  \* Arabic  \* MERGEFORMAT </w:instrText>
    </w:r>
    <w:r w:rsidR="003F14CA" w:rsidRPr="003A0414">
      <w:rPr>
        <w:lang w:val="en-GB"/>
      </w:rPr>
      <w:fldChar w:fldCharType="separate"/>
    </w:r>
    <w:r w:rsidR="002507CE">
      <w:rPr>
        <w:noProof/>
        <w:lang w:val="en-GB"/>
      </w:rPr>
      <w:t>6</w:t>
    </w:r>
    <w:r w:rsidR="003F14CA" w:rsidRPr="003A0414">
      <w:rPr>
        <w:lang w:val="en-GB"/>
      </w:rPr>
      <w:fldChar w:fldCharType="end"/>
    </w:r>
    <w:r w:rsidR="003F14CA" w:rsidRPr="003A0414">
      <w:rPr>
        <w:lang w:val="en-GB"/>
      </w:rPr>
      <w:t xml:space="preserve"> of </w:t>
    </w:r>
    <w:r w:rsidR="003F14CA" w:rsidRPr="003A0414">
      <w:rPr>
        <w:lang w:val="en-GB"/>
      </w:rPr>
      <w:fldChar w:fldCharType="begin"/>
    </w:r>
    <w:r w:rsidR="003F14CA" w:rsidRPr="003A0414">
      <w:rPr>
        <w:lang w:val="en-GB"/>
      </w:rPr>
      <w:instrText xml:space="preserve"> NUMPAGES  \* Arabic  \* MERGEFORMAT </w:instrText>
    </w:r>
    <w:r w:rsidR="003F14CA" w:rsidRPr="003A0414">
      <w:rPr>
        <w:lang w:val="en-GB"/>
      </w:rPr>
      <w:fldChar w:fldCharType="separate"/>
    </w:r>
    <w:r w:rsidR="002507CE">
      <w:rPr>
        <w:noProof/>
        <w:lang w:val="en-GB"/>
      </w:rPr>
      <w:t>6</w:t>
    </w:r>
    <w:r w:rsidR="003F14CA" w:rsidRPr="003A0414">
      <w:rPr>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794E8" w14:textId="77777777" w:rsidR="006D3A5E" w:rsidRDefault="006D3A5E" w:rsidP="003A0414">
      <w:r>
        <w:separator/>
      </w:r>
    </w:p>
  </w:footnote>
  <w:footnote w:type="continuationSeparator" w:id="0">
    <w:p w14:paraId="461262D6" w14:textId="77777777" w:rsidR="006D3A5E" w:rsidRDefault="006D3A5E" w:rsidP="003A04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B5101" w14:textId="77777777" w:rsidR="003F14CA" w:rsidRDefault="003F14CA" w:rsidP="00800847">
    <w:pPr>
      <w:pStyle w:val="Header"/>
      <w:tabs>
        <w:tab w:val="clear" w:pos="4513"/>
        <w:tab w:val="clear" w:pos="9026"/>
      </w:tabs>
      <w:rPr>
        <w:lang w:val="en-GB"/>
      </w:rPr>
    </w:pPr>
  </w:p>
  <w:p w14:paraId="215F3F20" w14:textId="77777777" w:rsidR="003F14CA" w:rsidRPr="00800847" w:rsidRDefault="003F14CA" w:rsidP="00800847">
    <w:pPr>
      <w:pStyle w:val="Header"/>
      <w:tabs>
        <w:tab w:val="clear" w:pos="4513"/>
        <w:tab w:val="clear" w:pos="9026"/>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4D5D71"/>
    <w:multiLevelType w:val="hybridMultilevel"/>
    <w:tmpl w:val="D688A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2861231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u Tong">
    <w15:presenceInfo w15:providerId="None" w15:userId="Wu Tong"/>
  </w15:person>
  <w15:person w15:author="長屋　嘉明">
    <w15:presenceInfo w15:providerId="None" w15:userId="長屋　嘉明"/>
  </w15:person>
  <w15:person w15:author="lifang">
    <w15:presenceInfo w15:providerId="None" w15:userId="lifang"/>
  </w15:person>
  <w15:person w15:author="炎鑫">
    <w15:presenceInfo w15:providerId="None" w15:userId="炎鑫"/>
  </w15:person>
  <w15:person w15:author="Nyan Win">
    <w15:presenceInfo w15:providerId="AD" w15:userId="S::nyanwin@APT.INT::6262b9f9-beb8-461f-bb32-fb79fdfad4db"/>
  </w15:person>
  <w15:person w15:author="Elisha Rajbhandari">
    <w15:presenceInfo w15:providerId="None" w15:userId="Elisha Rajbhandar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trackRevisions/>
  <w:defaultTabStop w:val="720"/>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QxNDA1MzY2NzczNzdR0lEKTi0uzszPAykwqwUAI8RceSwAAAA="/>
  </w:docVars>
  <w:rsids>
    <w:rsidRoot w:val="00AD2F26"/>
    <w:rsid w:val="0003778A"/>
    <w:rsid w:val="00043625"/>
    <w:rsid w:val="00045A8C"/>
    <w:rsid w:val="00057925"/>
    <w:rsid w:val="000709BF"/>
    <w:rsid w:val="000853E2"/>
    <w:rsid w:val="000B0FA2"/>
    <w:rsid w:val="000E6BA1"/>
    <w:rsid w:val="00133302"/>
    <w:rsid w:val="001339FD"/>
    <w:rsid w:val="0015076C"/>
    <w:rsid w:val="00154DF3"/>
    <w:rsid w:val="00164AE7"/>
    <w:rsid w:val="001A7BA7"/>
    <w:rsid w:val="001F79D3"/>
    <w:rsid w:val="00214738"/>
    <w:rsid w:val="00225E61"/>
    <w:rsid w:val="002507CE"/>
    <w:rsid w:val="00253940"/>
    <w:rsid w:val="0026595F"/>
    <w:rsid w:val="002766FC"/>
    <w:rsid w:val="002B491E"/>
    <w:rsid w:val="002C4C6E"/>
    <w:rsid w:val="002E225B"/>
    <w:rsid w:val="002E504B"/>
    <w:rsid w:val="00361E0D"/>
    <w:rsid w:val="0036561E"/>
    <w:rsid w:val="0036782F"/>
    <w:rsid w:val="00383EDB"/>
    <w:rsid w:val="003A0414"/>
    <w:rsid w:val="003A14AD"/>
    <w:rsid w:val="003B561C"/>
    <w:rsid w:val="003B6935"/>
    <w:rsid w:val="003F14CA"/>
    <w:rsid w:val="00420AA9"/>
    <w:rsid w:val="00422505"/>
    <w:rsid w:val="00425800"/>
    <w:rsid w:val="00450452"/>
    <w:rsid w:val="004A3292"/>
    <w:rsid w:val="004F24F4"/>
    <w:rsid w:val="00534EC0"/>
    <w:rsid w:val="0055081D"/>
    <w:rsid w:val="00565069"/>
    <w:rsid w:val="00585F5C"/>
    <w:rsid w:val="00597B0F"/>
    <w:rsid w:val="005A1FA2"/>
    <w:rsid w:val="005E64C0"/>
    <w:rsid w:val="005F3200"/>
    <w:rsid w:val="00617508"/>
    <w:rsid w:val="00665596"/>
    <w:rsid w:val="00685C97"/>
    <w:rsid w:val="006A6EC5"/>
    <w:rsid w:val="006B3268"/>
    <w:rsid w:val="006B4D42"/>
    <w:rsid w:val="006D3A5E"/>
    <w:rsid w:val="00714982"/>
    <w:rsid w:val="00716AEF"/>
    <w:rsid w:val="00723B70"/>
    <w:rsid w:val="00740BE3"/>
    <w:rsid w:val="00777D8B"/>
    <w:rsid w:val="0078146D"/>
    <w:rsid w:val="007A2E4C"/>
    <w:rsid w:val="007D4535"/>
    <w:rsid w:val="00800847"/>
    <w:rsid w:val="008143BD"/>
    <w:rsid w:val="00814C55"/>
    <w:rsid w:val="008438A0"/>
    <w:rsid w:val="00847119"/>
    <w:rsid w:val="0085227C"/>
    <w:rsid w:val="00873BFA"/>
    <w:rsid w:val="008872D4"/>
    <w:rsid w:val="008958DF"/>
    <w:rsid w:val="008E2F7C"/>
    <w:rsid w:val="0090702B"/>
    <w:rsid w:val="00941632"/>
    <w:rsid w:val="00950BA4"/>
    <w:rsid w:val="00966899"/>
    <w:rsid w:val="0097130E"/>
    <w:rsid w:val="00973F19"/>
    <w:rsid w:val="0098418B"/>
    <w:rsid w:val="009A44CC"/>
    <w:rsid w:val="009B5407"/>
    <w:rsid w:val="009C071F"/>
    <w:rsid w:val="009D5C31"/>
    <w:rsid w:val="009E4E18"/>
    <w:rsid w:val="00A23720"/>
    <w:rsid w:val="00A41921"/>
    <w:rsid w:val="00A75516"/>
    <w:rsid w:val="00A776D0"/>
    <w:rsid w:val="00A85D31"/>
    <w:rsid w:val="00AD1AA3"/>
    <w:rsid w:val="00AD2F26"/>
    <w:rsid w:val="00AF5D57"/>
    <w:rsid w:val="00B017E8"/>
    <w:rsid w:val="00B04778"/>
    <w:rsid w:val="00B1556C"/>
    <w:rsid w:val="00B32C5A"/>
    <w:rsid w:val="00B37ECD"/>
    <w:rsid w:val="00B55072"/>
    <w:rsid w:val="00B614D6"/>
    <w:rsid w:val="00B82426"/>
    <w:rsid w:val="00B95A06"/>
    <w:rsid w:val="00C00A36"/>
    <w:rsid w:val="00C17FBB"/>
    <w:rsid w:val="00C55F6C"/>
    <w:rsid w:val="00C66247"/>
    <w:rsid w:val="00C86E62"/>
    <w:rsid w:val="00CA1EC5"/>
    <w:rsid w:val="00CA6990"/>
    <w:rsid w:val="00CB3877"/>
    <w:rsid w:val="00CD0E71"/>
    <w:rsid w:val="00CE0108"/>
    <w:rsid w:val="00D14A3A"/>
    <w:rsid w:val="00D14DA8"/>
    <w:rsid w:val="00D30C2B"/>
    <w:rsid w:val="00D47C05"/>
    <w:rsid w:val="00D5419B"/>
    <w:rsid w:val="00D60F9C"/>
    <w:rsid w:val="00DC4262"/>
    <w:rsid w:val="00DD1F42"/>
    <w:rsid w:val="00DE2A20"/>
    <w:rsid w:val="00DF10DB"/>
    <w:rsid w:val="00E2168F"/>
    <w:rsid w:val="00E305F3"/>
    <w:rsid w:val="00E37A12"/>
    <w:rsid w:val="00E80CEC"/>
    <w:rsid w:val="00EA2379"/>
    <w:rsid w:val="00EA5715"/>
    <w:rsid w:val="00EB7C10"/>
    <w:rsid w:val="00F01D04"/>
    <w:rsid w:val="00F1464F"/>
    <w:rsid w:val="00F14EDF"/>
    <w:rsid w:val="00F24AA0"/>
    <w:rsid w:val="00F418AA"/>
    <w:rsid w:val="00F41BBF"/>
    <w:rsid w:val="00FB29D1"/>
    <w:rsid w:val="00FD55E3"/>
    <w:rsid w:val="00FE00D2"/>
  </w:rsids>
  <m:mathPr>
    <m:mathFont m:val="Cambria Math"/>
    <m:brkBin m:val="before"/>
    <m:brkBinSub m:val="--"/>
    <m:smallFrac m:val="0"/>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6EB999D"/>
  <w15:docId w15:val="{EFBC328C-3AF7-4951-A623-A2442C87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F26"/>
    <w:rPr>
      <w:lang w:val="en-US" w:eastAsia="ja-JP"/>
    </w:rPr>
  </w:style>
  <w:style w:type="paragraph" w:styleId="Heading1">
    <w:name w:val="heading 1"/>
    <w:basedOn w:val="Normal"/>
    <w:next w:val="Normal"/>
    <w:link w:val="Heading1Char"/>
    <w:uiPriority w:val="9"/>
    <w:qFormat/>
    <w:rsid w:val="00DF10D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F10D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AD2F26"/>
    <w:pPr>
      <w:keepNext/>
      <w:widowControl w:val="0"/>
      <w:wordWrap w:val="0"/>
      <w:jc w:val="both"/>
      <w:outlineLvl w:val="7"/>
    </w:pPr>
    <w:rPr>
      <w:rFonts w:eastAsia="BatangChe"/>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AD2F26"/>
    <w:rPr>
      <w:rFonts w:eastAsia="BatangChe"/>
      <w:b/>
      <w:bCs/>
      <w:kern w:val="2"/>
      <w:sz w:val="20"/>
      <w:szCs w:val="20"/>
      <w:lang w:val="en-US" w:eastAsia="ko-KR"/>
    </w:rPr>
  </w:style>
  <w:style w:type="paragraph" w:customStyle="1" w:styleId="Note">
    <w:name w:val="Note"/>
    <w:basedOn w:val="Normal"/>
    <w:rsid w:val="00AD2F26"/>
    <w:pPr>
      <w:tabs>
        <w:tab w:val="left" w:pos="284"/>
        <w:tab w:val="left" w:pos="1134"/>
        <w:tab w:val="left" w:pos="1871"/>
        <w:tab w:val="left" w:pos="2268"/>
      </w:tabs>
      <w:spacing w:before="160"/>
      <w:jc w:val="both"/>
    </w:pPr>
    <w:rPr>
      <w:rFonts w:eastAsia="BatangChe"/>
      <w:noProof/>
      <w:sz w:val="20"/>
      <w:szCs w:val="20"/>
      <w:lang w:eastAsia="ko-KR"/>
    </w:rPr>
  </w:style>
  <w:style w:type="paragraph" w:styleId="Header">
    <w:name w:val="header"/>
    <w:basedOn w:val="Normal"/>
    <w:link w:val="HeaderChar"/>
    <w:uiPriority w:val="99"/>
    <w:unhideWhenUsed/>
    <w:rsid w:val="003A0414"/>
    <w:pPr>
      <w:tabs>
        <w:tab w:val="center" w:pos="4513"/>
        <w:tab w:val="right" w:pos="9026"/>
      </w:tabs>
    </w:pPr>
  </w:style>
  <w:style w:type="character" w:customStyle="1" w:styleId="HeaderChar">
    <w:name w:val="Header Char"/>
    <w:basedOn w:val="DefaultParagraphFont"/>
    <w:link w:val="Header"/>
    <w:uiPriority w:val="99"/>
    <w:rsid w:val="003A0414"/>
    <w:rPr>
      <w:rFonts w:eastAsia="MS Mincho"/>
      <w:lang w:val="en-US" w:eastAsia="ja-JP"/>
    </w:rPr>
  </w:style>
  <w:style w:type="paragraph" w:styleId="Footer">
    <w:name w:val="footer"/>
    <w:basedOn w:val="Normal"/>
    <w:link w:val="FooterChar"/>
    <w:uiPriority w:val="99"/>
    <w:unhideWhenUsed/>
    <w:rsid w:val="003A0414"/>
    <w:pPr>
      <w:tabs>
        <w:tab w:val="center" w:pos="4513"/>
        <w:tab w:val="right" w:pos="9026"/>
      </w:tabs>
    </w:pPr>
  </w:style>
  <w:style w:type="character" w:customStyle="1" w:styleId="FooterChar">
    <w:name w:val="Footer Char"/>
    <w:basedOn w:val="DefaultParagraphFont"/>
    <w:link w:val="Footer"/>
    <w:uiPriority w:val="99"/>
    <w:rsid w:val="003A0414"/>
    <w:rPr>
      <w:rFonts w:eastAsia="MS Mincho"/>
      <w:lang w:val="en-US" w:eastAsia="ja-JP"/>
    </w:rPr>
  </w:style>
  <w:style w:type="table" w:styleId="TableGrid">
    <w:name w:val="Table Grid"/>
    <w:basedOn w:val="TableNormal"/>
    <w:uiPriority w:val="59"/>
    <w:rsid w:val="003A0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3BFA"/>
    <w:rPr>
      <w:color w:val="0000FF" w:themeColor="hyperlink"/>
      <w:u w:val="single"/>
    </w:rPr>
  </w:style>
  <w:style w:type="character" w:styleId="PlaceholderText">
    <w:name w:val="Placeholder Text"/>
    <w:basedOn w:val="DefaultParagraphFont"/>
    <w:uiPriority w:val="99"/>
    <w:semiHidden/>
    <w:rsid w:val="00FB29D1"/>
    <w:rPr>
      <w:color w:val="808080"/>
    </w:rPr>
  </w:style>
  <w:style w:type="paragraph" w:styleId="ListParagraph">
    <w:name w:val="List Paragraph"/>
    <w:basedOn w:val="Normal"/>
    <w:uiPriority w:val="34"/>
    <w:qFormat/>
    <w:rsid w:val="00D14DA8"/>
    <w:pPr>
      <w:ind w:left="720"/>
      <w:contextualSpacing/>
    </w:pPr>
  </w:style>
  <w:style w:type="paragraph" w:customStyle="1" w:styleId="FirstFooter">
    <w:name w:val="FirstFooter"/>
    <w:basedOn w:val="Footer"/>
    <w:rsid w:val="00941632"/>
    <w:pPr>
      <w:tabs>
        <w:tab w:val="clear" w:pos="4513"/>
        <w:tab w:val="clear" w:pos="9026"/>
        <w:tab w:val="left" w:pos="794"/>
        <w:tab w:val="left" w:pos="1191"/>
        <w:tab w:val="left" w:pos="1588"/>
        <w:tab w:val="left" w:pos="1985"/>
      </w:tabs>
      <w:spacing w:before="40"/>
    </w:pPr>
    <w:rPr>
      <w:rFonts w:asciiTheme="minorHAnsi" w:eastAsia="Times New Roman" w:hAnsiTheme="minorHAnsi"/>
      <w:sz w:val="16"/>
      <w:szCs w:val="20"/>
      <w:lang w:val="en-GB" w:eastAsia="en-US"/>
    </w:rPr>
  </w:style>
  <w:style w:type="character" w:customStyle="1" w:styleId="Heading1Char">
    <w:name w:val="Heading 1 Char"/>
    <w:basedOn w:val="DefaultParagraphFont"/>
    <w:link w:val="Heading1"/>
    <w:uiPriority w:val="9"/>
    <w:rsid w:val="00DF10DB"/>
    <w:rPr>
      <w:rFonts w:asciiTheme="majorHAnsi" w:eastAsiaTheme="majorEastAsia" w:hAnsiTheme="majorHAnsi" w:cstheme="majorBidi"/>
      <w:color w:val="365F91" w:themeColor="accent1" w:themeShade="BF"/>
      <w:sz w:val="32"/>
      <w:szCs w:val="32"/>
      <w:lang w:val="en-US" w:eastAsia="ja-JP"/>
    </w:rPr>
  </w:style>
  <w:style w:type="character" w:customStyle="1" w:styleId="Heading2Char">
    <w:name w:val="Heading 2 Char"/>
    <w:basedOn w:val="DefaultParagraphFont"/>
    <w:link w:val="Heading2"/>
    <w:uiPriority w:val="9"/>
    <w:semiHidden/>
    <w:rsid w:val="00DF10DB"/>
    <w:rPr>
      <w:rFonts w:asciiTheme="majorHAnsi" w:eastAsiaTheme="majorEastAsia" w:hAnsiTheme="majorHAnsi" w:cstheme="majorBidi"/>
      <w:color w:val="365F91" w:themeColor="accent1" w:themeShade="BF"/>
      <w:sz w:val="26"/>
      <w:szCs w:val="26"/>
      <w:lang w:val="en-US" w:eastAsia="ja-JP"/>
    </w:rPr>
  </w:style>
  <w:style w:type="paragraph" w:customStyle="1" w:styleId="Normalaftertitle">
    <w:name w:val="Normal after title"/>
    <w:basedOn w:val="Normal"/>
    <w:next w:val="Normal"/>
    <w:link w:val="NormalaftertitleChar"/>
    <w:qFormat/>
    <w:rsid w:val="00420AA9"/>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eastAsia="en-US"/>
    </w:rPr>
  </w:style>
  <w:style w:type="character" w:customStyle="1" w:styleId="href">
    <w:name w:val="href"/>
    <w:basedOn w:val="DefaultParagraphFont"/>
    <w:uiPriority w:val="99"/>
    <w:rsid w:val="00420AA9"/>
    <w:rPr>
      <w:color w:val="auto"/>
    </w:rPr>
  </w:style>
  <w:style w:type="character" w:customStyle="1" w:styleId="NormalaftertitleChar">
    <w:name w:val="Normal after title Char"/>
    <w:basedOn w:val="DefaultParagraphFont"/>
    <w:link w:val="Normalaftertitle"/>
    <w:uiPriority w:val="99"/>
    <w:locked/>
    <w:rsid w:val="00420AA9"/>
    <w:rPr>
      <w:rFonts w:ascii="Calibri" w:eastAsia="Times New Roman" w:hAnsi="Calibri"/>
      <w:szCs w:val="20"/>
    </w:rPr>
  </w:style>
  <w:style w:type="paragraph" w:customStyle="1" w:styleId="Restitle">
    <w:name w:val="Res_title"/>
    <w:basedOn w:val="Normal"/>
    <w:next w:val="Normal"/>
    <w:link w:val="RestitleChar"/>
    <w:qFormat/>
    <w:rsid w:val="00420AA9"/>
    <w:pPr>
      <w:keepNext/>
      <w:keepLines/>
      <w:overflowPunct w:val="0"/>
      <w:autoSpaceDE w:val="0"/>
      <w:autoSpaceDN w:val="0"/>
      <w:adjustRightInd w:val="0"/>
      <w:spacing w:before="160" w:after="120"/>
      <w:jc w:val="center"/>
      <w:textAlignment w:val="baseline"/>
    </w:pPr>
    <w:rPr>
      <w:rFonts w:ascii="Calibri" w:eastAsia="Times New Roman" w:hAnsi="Calibri"/>
      <w:b/>
      <w:noProof/>
      <w:sz w:val="28"/>
      <w:szCs w:val="20"/>
      <w:lang w:eastAsia="en-US"/>
    </w:rPr>
  </w:style>
  <w:style w:type="paragraph" w:customStyle="1" w:styleId="ResNo">
    <w:name w:val="Res_No"/>
    <w:basedOn w:val="Normal"/>
    <w:next w:val="Restitle"/>
    <w:link w:val="ResNoChar"/>
    <w:uiPriority w:val="99"/>
    <w:rsid w:val="00420AA9"/>
    <w:pPr>
      <w:keepNext/>
      <w:keepLines/>
      <w:tabs>
        <w:tab w:val="left" w:pos="1134"/>
        <w:tab w:val="left" w:pos="1871"/>
        <w:tab w:val="left" w:pos="2268"/>
      </w:tabs>
      <w:overflowPunct w:val="0"/>
      <w:autoSpaceDE w:val="0"/>
      <w:autoSpaceDN w:val="0"/>
      <w:adjustRightInd w:val="0"/>
      <w:jc w:val="center"/>
      <w:textAlignment w:val="baseline"/>
    </w:pPr>
    <w:rPr>
      <w:rFonts w:ascii="Calibri" w:eastAsia="Times New Roman" w:hAnsi="Calibri"/>
      <w:sz w:val="28"/>
      <w:szCs w:val="20"/>
      <w:lang w:val="en-GB" w:eastAsia="en-US"/>
    </w:rPr>
  </w:style>
  <w:style w:type="character" w:customStyle="1" w:styleId="RestitleChar">
    <w:name w:val="Res_title Char"/>
    <w:basedOn w:val="DefaultParagraphFont"/>
    <w:link w:val="Restitle"/>
    <w:rsid w:val="00420AA9"/>
    <w:rPr>
      <w:rFonts w:ascii="Calibri" w:eastAsia="Times New Roman" w:hAnsi="Calibri"/>
      <w:b/>
      <w:noProof/>
      <w:sz w:val="28"/>
      <w:szCs w:val="20"/>
      <w:lang w:val="en-US"/>
    </w:rPr>
  </w:style>
  <w:style w:type="character" w:customStyle="1" w:styleId="ResNoChar">
    <w:name w:val="Res_No Char"/>
    <w:basedOn w:val="DefaultParagraphFont"/>
    <w:link w:val="ResNo"/>
    <w:uiPriority w:val="99"/>
    <w:rsid w:val="00420AA9"/>
    <w:rPr>
      <w:rFonts w:ascii="Calibri" w:eastAsia="Times New Roman" w:hAnsi="Calibri"/>
      <w:sz w:val="28"/>
      <w:szCs w:val="20"/>
    </w:rPr>
  </w:style>
  <w:style w:type="paragraph" w:customStyle="1" w:styleId="Call">
    <w:name w:val="Call"/>
    <w:basedOn w:val="Normal"/>
    <w:next w:val="Normal"/>
    <w:qFormat/>
    <w:rsid w:val="00A41921"/>
    <w:pPr>
      <w:keepNext/>
      <w:keepLines/>
      <w:tabs>
        <w:tab w:val="left" w:pos="567"/>
      </w:tabs>
      <w:spacing w:before="160"/>
      <w:ind w:left="567"/>
    </w:pPr>
    <w:rPr>
      <w:i/>
    </w:rPr>
  </w:style>
  <w:style w:type="paragraph" w:customStyle="1" w:styleId="enumlev1">
    <w:name w:val="enumlev1"/>
    <w:basedOn w:val="Normal"/>
    <w:qFormat/>
    <w:rsid w:val="00A41921"/>
    <w:pPr>
      <w:tabs>
        <w:tab w:val="left" w:pos="567"/>
        <w:tab w:val="left" w:pos="1134"/>
        <w:tab w:val="left" w:pos="1701"/>
        <w:tab w:val="left" w:pos="2268"/>
        <w:tab w:val="left" w:pos="2835"/>
      </w:tabs>
      <w:spacing w:before="86"/>
      <w:ind w:left="567" w:hanging="567"/>
    </w:pPr>
  </w:style>
  <w:style w:type="paragraph" w:customStyle="1" w:styleId="refbasdepage">
    <w:name w:val="ref_basdepage"/>
    <w:basedOn w:val="Normal"/>
    <w:qFormat/>
    <w:rsid w:val="00A41921"/>
    <w:pPr>
      <w:pBdr>
        <w:top w:val="single" w:sz="4" w:space="1" w:color="auto"/>
        <w:bottom w:val="single" w:sz="4" w:space="1" w:color="auto"/>
      </w:pBdr>
      <w:tabs>
        <w:tab w:val="left" w:pos="1134"/>
        <w:tab w:val="left" w:pos="1871"/>
        <w:tab w:val="left" w:pos="2268"/>
      </w:tabs>
      <w:spacing w:before="480"/>
    </w:pPr>
    <w:rPr>
      <w:i/>
      <w:iCs/>
      <w:lang w:val="fr-FR"/>
    </w:rPr>
  </w:style>
  <w:style w:type="paragraph" w:styleId="BalloonText">
    <w:name w:val="Balloon Text"/>
    <w:basedOn w:val="Normal"/>
    <w:link w:val="BalloonTextChar"/>
    <w:uiPriority w:val="99"/>
    <w:semiHidden/>
    <w:unhideWhenUsed/>
    <w:rsid w:val="003B561C"/>
    <w:rPr>
      <w:sz w:val="18"/>
      <w:szCs w:val="18"/>
    </w:rPr>
  </w:style>
  <w:style w:type="character" w:customStyle="1" w:styleId="BalloonTextChar">
    <w:name w:val="Balloon Text Char"/>
    <w:basedOn w:val="DefaultParagraphFont"/>
    <w:link w:val="BalloonText"/>
    <w:uiPriority w:val="99"/>
    <w:semiHidden/>
    <w:rsid w:val="003B561C"/>
    <w:rPr>
      <w:sz w:val="18"/>
      <w:szCs w:val="18"/>
      <w:lang w:val="en-US" w:eastAsia="ja-JP"/>
    </w:rPr>
  </w:style>
  <w:style w:type="paragraph" w:styleId="Revision">
    <w:name w:val="Revision"/>
    <w:hidden/>
    <w:uiPriority w:val="99"/>
    <w:semiHidden/>
    <w:rsid w:val="00A23720"/>
    <w:rPr>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1968</Words>
  <Characters>11223</Characters>
  <Application>Microsoft Office Word</Application>
  <DocSecurity>0</DocSecurity>
  <Lines>93</Lines>
  <Paragraphs>26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Hewlett-Packard</Company>
  <LinksUpToDate>false</LinksUpToDate>
  <CharactersWithSpaces>13165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Elisha Rajbhandari</cp:lastModifiedBy>
  <cp:revision>8</cp:revision>
  <dcterms:created xsi:type="dcterms:W3CDTF">2022-08-05T10:45:00Z</dcterms:created>
  <dcterms:modified xsi:type="dcterms:W3CDTF">2022-08-07T13:47:00Z</dcterms:modified>
</cp:coreProperties>
</file>