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990"/>
        <w:gridCol w:w="2790"/>
      </w:tblGrid>
      <w:tr w:rsidR="003578AB" w:rsidRPr="00891D0B" w:rsidTr="00357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 w:val="restart"/>
          </w:tcPr>
          <w:p w:rsidR="003578AB" w:rsidRPr="00891D0B" w:rsidRDefault="008051C6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38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9F5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990" w:type="dxa"/>
          </w:tcPr>
          <w:p w:rsidR="00DA7595" w:rsidRPr="00AA33D2" w:rsidRDefault="00AA33D2" w:rsidP="006C7574">
            <w:pPr>
              <w:spacing w:line="0" w:lineRule="atLeast"/>
            </w:pPr>
            <w:r w:rsidRPr="00AA33D2">
              <w:rPr>
                <w:b/>
              </w:rPr>
              <w:t>1</w:t>
            </w:r>
            <w:r w:rsidRPr="00AA33D2">
              <w:rPr>
                <w:b/>
                <w:vertAlign w:val="superscript"/>
              </w:rPr>
              <w:t>st</w:t>
            </w:r>
            <w:r w:rsidRPr="00AA33D2">
              <w:rPr>
                <w:b/>
              </w:rPr>
              <w:t xml:space="preserve"> Meeting of SATRC Working Group on Spectrum in SAP-IV</w:t>
            </w:r>
          </w:p>
        </w:tc>
        <w:tc>
          <w:tcPr>
            <w:tcW w:w="279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DA7595" w:rsidRPr="004D7A60" w:rsidRDefault="009F5AB3" w:rsidP="00AA41DB">
            <w:pPr>
              <w:rPr>
                <w:b/>
                <w:bCs/>
              </w:rPr>
            </w:pPr>
            <w:r>
              <w:rPr>
                <w:b/>
                <w:bCs/>
              </w:rPr>
              <w:t>SAPIV/</w:t>
            </w:r>
            <w:r w:rsidR="00AA33D2">
              <w:rPr>
                <w:b/>
                <w:bCs/>
              </w:rPr>
              <w:t>WG</w:t>
            </w:r>
            <w:r w:rsidR="0072279B">
              <w:rPr>
                <w:b/>
                <w:bCs/>
              </w:rPr>
              <w:t>S</w:t>
            </w:r>
            <w:r>
              <w:rPr>
                <w:b/>
                <w:bCs/>
              </w:rPr>
              <w:t>01</w:t>
            </w:r>
            <w:r w:rsidR="00AA33D2">
              <w:rPr>
                <w:b/>
                <w:bCs/>
              </w:rPr>
              <w:t>/</w:t>
            </w:r>
            <w:r w:rsidR="008051C6">
              <w:rPr>
                <w:b/>
                <w:bCs/>
              </w:rPr>
              <w:t>INP-04</w:t>
            </w:r>
          </w:p>
        </w:tc>
      </w:tr>
      <w:tr w:rsidR="003578AB" w:rsidRPr="00891D0B" w:rsidTr="009F5AB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5990" w:type="dxa"/>
          </w:tcPr>
          <w:p w:rsidR="003578AB" w:rsidRPr="00891D0B" w:rsidRDefault="006C7574" w:rsidP="00AA33D2">
            <w:r>
              <w:t>1</w:t>
            </w:r>
            <w:r w:rsidR="00AA33D2">
              <w:t>0 – 11</w:t>
            </w:r>
            <w:r>
              <w:t xml:space="preserve"> </w:t>
            </w:r>
            <w:r w:rsidR="00AA33D2">
              <w:t>Octo</w:t>
            </w:r>
            <w:r>
              <w:t>ber</w:t>
            </w:r>
            <w:r w:rsidR="003578AB">
              <w:t xml:space="preserve"> 2012</w:t>
            </w:r>
            <w:r w:rsidR="003578AB" w:rsidRPr="00891D0B">
              <w:t xml:space="preserve">, </w:t>
            </w:r>
            <w:r w:rsidR="00AA33D2">
              <w:t>Dhaka</w:t>
            </w:r>
            <w:r w:rsidR="003578AB">
              <w:t xml:space="preserve">, </w:t>
            </w:r>
            <w:r w:rsidR="0072279B">
              <w:t>Ba</w:t>
            </w:r>
            <w:r w:rsidR="00AA33D2">
              <w:t>ngladesh</w:t>
            </w:r>
          </w:p>
        </w:tc>
        <w:tc>
          <w:tcPr>
            <w:tcW w:w="2790" w:type="dxa"/>
          </w:tcPr>
          <w:p w:rsidR="003578AB" w:rsidRPr="00D86151" w:rsidRDefault="006C7574" w:rsidP="00AA33D2">
            <w:pPr>
              <w:pStyle w:val="Heading1"/>
              <w:jc w:val="left"/>
            </w:pPr>
            <w:r>
              <w:rPr>
                <w:bCs w:val="0"/>
                <w:u w:val="none"/>
              </w:rPr>
              <w:t>1</w:t>
            </w:r>
            <w:r w:rsidR="00AA33D2">
              <w:rPr>
                <w:bCs w:val="0"/>
                <w:u w:val="none"/>
              </w:rPr>
              <w:t>0</w:t>
            </w:r>
            <w:r w:rsidR="003578AB">
              <w:rPr>
                <w:bCs w:val="0"/>
                <w:u w:val="none"/>
              </w:rPr>
              <w:t xml:space="preserve"> </w:t>
            </w:r>
            <w:r w:rsidR="00AA33D2">
              <w:rPr>
                <w:bCs w:val="0"/>
                <w:u w:val="none"/>
              </w:rPr>
              <w:t>October</w:t>
            </w:r>
            <w:r w:rsidR="003578AB" w:rsidRPr="004D7A60">
              <w:rPr>
                <w:bCs w:val="0"/>
                <w:u w:val="none"/>
              </w:rPr>
              <w:t xml:space="preserve"> 20</w:t>
            </w:r>
            <w:r w:rsidR="003578AB">
              <w:rPr>
                <w:bCs w:val="0"/>
                <w:u w:val="none"/>
              </w:rPr>
              <w:t>12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AA33D2" w:rsidRPr="00AA33D2" w:rsidRDefault="008051C6" w:rsidP="00AA33D2">
      <w:pPr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>Chairman, WG Spectrum</w:t>
      </w: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8051C6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List of the rapporteur for the work items</w:t>
      </w:r>
    </w:p>
    <w:p w:rsidR="00DB0A68" w:rsidRDefault="00DB0A68" w:rsidP="00C357AD">
      <w:pPr>
        <w:jc w:val="center"/>
      </w:pPr>
    </w:p>
    <w:p w:rsidR="008051C6" w:rsidRPr="008051C6" w:rsidRDefault="008051C6" w:rsidP="008051C6">
      <w:pPr>
        <w:jc w:val="both"/>
        <w:rPr>
          <w:rFonts w:ascii="Angsana New" w:hAnsi="Angsana New" w:cs="Angsana New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029"/>
        <w:gridCol w:w="3496"/>
      </w:tblGrid>
      <w:tr w:rsidR="008051C6" w:rsidRPr="008051C6" w:rsidTr="008051C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6" w:rsidRPr="008051C6" w:rsidRDefault="008051C6">
            <w:pPr>
              <w:jc w:val="both"/>
              <w:rPr>
                <w:rFonts w:eastAsia="Calibri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>
            <w:pPr>
              <w:jc w:val="center"/>
              <w:rPr>
                <w:rFonts w:eastAsia="Calibri"/>
                <w:b/>
                <w:bCs/>
              </w:rPr>
            </w:pPr>
            <w:r w:rsidRPr="008051C6">
              <w:rPr>
                <w:b/>
                <w:bCs/>
              </w:rPr>
              <w:t>Work Item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>
            <w:pPr>
              <w:jc w:val="center"/>
              <w:rPr>
                <w:rFonts w:eastAsia="Calibri"/>
                <w:b/>
                <w:bCs/>
              </w:rPr>
            </w:pPr>
            <w:r w:rsidRPr="008051C6">
              <w:rPr>
                <w:b/>
                <w:bCs/>
                <w:color w:val="000000"/>
              </w:rPr>
              <w:t>Rapporteur</w:t>
            </w:r>
          </w:p>
        </w:tc>
      </w:tr>
      <w:tr w:rsidR="008051C6" w:rsidRPr="008051C6" w:rsidTr="008051C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>
            <w:pPr>
              <w:jc w:val="center"/>
              <w:rPr>
                <w:rFonts w:eastAsia="Calibri"/>
                <w:b/>
                <w:bCs/>
              </w:rPr>
            </w:pPr>
            <w:r w:rsidRPr="008051C6">
              <w:rPr>
                <w:b/>
                <w:bCs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6" w:rsidRPr="008051C6" w:rsidRDefault="008051C6">
            <w:pPr>
              <w:rPr>
                <w:rFonts w:eastAsia="Calibri"/>
              </w:rPr>
            </w:pPr>
            <w:r w:rsidRPr="008051C6">
              <w:t xml:space="preserve">Harmonized Use of the 700 MHz Digital Dividend Band in SATRC Countries </w:t>
            </w:r>
          </w:p>
          <w:p w:rsidR="008051C6" w:rsidRPr="008051C6" w:rsidRDefault="008051C6">
            <w:pPr>
              <w:jc w:val="both"/>
              <w:rPr>
                <w:rFonts w:eastAsia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6" w:rsidRPr="008051C6" w:rsidRDefault="008051C6">
            <w:pPr>
              <w:jc w:val="both"/>
              <w:rPr>
                <w:rFonts w:eastAsia="Calibri"/>
                <w:b/>
                <w:bCs/>
              </w:rPr>
            </w:pPr>
            <w:r w:rsidRPr="008051C6">
              <w:rPr>
                <w:b/>
                <w:bCs/>
              </w:rPr>
              <w:t>Mr. Raja Ikram Ul Haq</w:t>
            </w:r>
            <w:r>
              <w:rPr>
                <w:b/>
                <w:bCs/>
              </w:rPr>
              <w:t xml:space="preserve"> (PTA)</w:t>
            </w:r>
          </w:p>
          <w:p w:rsidR="008051C6" w:rsidRPr="008051C6" w:rsidRDefault="008051C6">
            <w:pPr>
              <w:rPr>
                <w:rFonts w:eastAsia="Calibri"/>
              </w:rPr>
            </w:pPr>
          </w:p>
        </w:tc>
      </w:tr>
      <w:tr w:rsidR="008051C6" w:rsidRPr="008051C6" w:rsidTr="008051C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>
            <w:pPr>
              <w:jc w:val="center"/>
              <w:rPr>
                <w:rFonts w:eastAsia="Calibri"/>
                <w:b/>
                <w:bCs/>
              </w:rPr>
            </w:pPr>
            <w:r w:rsidRPr="008051C6">
              <w:rPr>
                <w:b/>
                <w:bCs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6" w:rsidRPr="008051C6" w:rsidRDefault="008051C6">
            <w:pPr>
              <w:rPr>
                <w:rFonts w:eastAsia="Calibri"/>
              </w:rPr>
            </w:pPr>
            <w:r w:rsidRPr="008051C6">
              <w:t>Study of Regional Requirements and Availability of Spectrum for Mobile Broadband</w:t>
            </w:r>
          </w:p>
          <w:p w:rsidR="008051C6" w:rsidRPr="008051C6" w:rsidRDefault="008051C6">
            <w:pPr>
              <w:jc w:val="both"/>
              <w:rPr>
                <w:rFonts w:eastAsia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6" w:rsidRPr="008051C6" w:rsidRDefault="008051C6">
            <w:pPr>
              <w:jc w:val="both"/>
              <w:rPr>
                <w:rFonts w:eastAsia="Calibri"/>
                <w:b/>
                <w:bCs/>
              </w:rPr>
            </w:pPr>
            <w:r w:rsidRPr="008051C6">
              <w:rPr>
                <w:b/>
                <w:bCs/>
              </w:rPr>
              <w:t xml:space="preserve">Mr. Min Prasad </w:t>
            </w:r>
            <w:proofErr w:type="spellStart"/>
            <w:r w:rsidRPr="008051C6">
              <w:rPr>
                <w:b/>
                <w:bCs/>
              </w:rPr>
              <w:t>Aryal</w:t>
            </w:r>
            <w:proofErr w:type="spellEnd"/>
            <w:r>
              <w:rPr>
                <w:b/>
                <w:bCs/>
              </w:rPr>
              <w:t xml:space="preserve"> (NTA)</w:t>
            </w:r>
          </w:p>
          <w:p w:rsidR="008051C6" w:rsidRPr="008051C6" w:rsidRDefault="008051C6">
            <w:pPr>
              <w:jc w:val="both"/>
              <w:rPr>
                <w:rFonts w:eastAsia="Calibri"/>
              </w:rPr>
            </w:pPr>
          </w:p>
        </w:tc>
      </w:tr>
      <w:tr w:rsidR="008051C6" w:rsidRPr="008051C6" w:rsidTr="008051C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>
            <w:pPr>
              <w:jc w:val="center"/>
              <w:rPr>
                <w:rFonts w:eastAsia="Calibri"/>
                <w:b/>
                <w:bCs/>
              </w:rPr>
            </w:pPr>
            <w:r w:rsidRPr="008051C6">
              <w:rPr>
                <w:b/>
                <w:bCs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6" w:rsidRPr="008051C6" w:rsidRDefault="008051C6">
            <w:pPr>
              <w:rPr>
                <w:rFonts w:eastAsia="Calibri"/>
              </w:rPr>
            </w:pPr>
            <w:r w:rsidRPr="008051C6">
              <w:t>Cross Border Coordination (Carry forward from Action Plan Phase III)</w:t>
            </w:r>
          </w:p>
          <w:p w:rsidR="008051C6" w:rsidRPr="008051C6" w:rsidRDefault="008051C6">
            <w:pPr>
              <w:jc w:val="both"/>
              <w:rPr>
                <w:rFonts w:eastAsia="Calibr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 w:rsidP="008051C6">
            <w:pPr>
              <w:rPr>
                <w:rFonts w:eastAsia="Calibri"/>
              </w:rPr>
            </w:pPr>
            <w:r w:rsidRPr="008051C6">
              <w:rPr>
                <w:b/>
                <w:bCs/>
              </w:rPr>
              <w:t xml:space="preserve">Dr. Mina Dashti (on behalf of Ms. </w:t>
            </w:r>
            <w:proofErr w:type="spellStart"/>
            <w:r w:rsidRPr="008051C6">
              <w:rPr>
                <w:b/>
                <w:bCs/>
              </w:rPr>
              <w:t>Espandar</w:t>
            </w:r>
            <w:proofErr w:type="spellEnd"/>
            <w:r w:rsidRPr="008051C6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(CRA)</w:t>
            </w:r>
          </w:p>
        </w:tc>
      </w:tr>
      <w:tr w:rsidR="008051C6" w:rsidRPr="008051C6" w:rsidTr="008051C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>
            <w:pPr>
              <w:jc w:val="center"/>
              <w:rPr>
                <w:rFonts w:eastAsia="Calibri"/>
                <w:b/>
                <w:bCs/>
              </w:rPr>
            </w:pPr>
            <w:r w:rsidRPr="008051C6">
              <w:rPr>
                <w:b/>
                <w:bCs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>
            <w:pPr>
              <w:rPr>
                <w:rFonts w:eastAsia="Calibri"/>
              </w:rPr>
            </w:pPr>
            <w:r w:rsidRPr="008051C6">
              <w:t>Suitability of Market Based Methods of Spectrum in SATRC Countries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 w:rsidP="008051C6">
            <w:pPr>
              <w:rPr>
                <w:rFonts w:eastAsia="Calibri"/>
              </w:rPr>
            </w:pPr>
            <w:r w:rsidRPr="008051C6">
              <w:rPr>
                <w:b/>
                <w:bCs/>
              </w:rPr>
              <w:t xml:space="preserve">Mr. </w:t>
            </w:r>
            <w:proofErr w:type="spellStart"/>
            <w:r w:rsidRPr="008051C6">
              <w:rPr>
                <w:b/>
                <w:bCs/>
              </w:rPr>
              <w:t>Jaipal</w:t>
            </w:r>
            <w:proofErr w:type="spellEnd"/>
            <w:r w:rsidRPr="008051C6">
              <w:rPr>
                <w:b/>
                <w:bCs/>
              </w:rPr>
              <w:t xml:space="preserve"> Singh </w:t>
            </w:r>
            <w:proofErr w:type="spellStart"/>
            <w:r w:rsidRPr="008051C6">
              <w:rPr>
                <w:b/>
                <w:bCs/>
              </w:rPr>
              <w:t>Tomar</w:t>
            </w:r>
            <w:proofErr w:type="spellEnd"/>
            <w:r>
              <w:rPr>
                <w:b/>
                <w:bCs/>
              </w:rPr>
              <w:t xml:space="preserve"> (TRAI)</w:t>
            </w:r>
          </w:p>
        </w:tc>
      </w:tr>
      <w:tr w:rsidR="008051C6" w:rsidRPr="008051C6" w:rsidTr="008051C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>
            <w:pPr>
              <w:jc w:val="center"/>
              <w:rPr>
                <w:rFonts w:eastAsia="Calibri"/>
                <w:b/>
                <w:bCs/>
              </w:rPr>
            </w:pPr>
            <w:r w:rsidRPr="008051C6">
              <w:rPr>
                <w:b/>
                <w:bCs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>
            <w:pPr>
              <w:jc w:val="both"/>
              <w:rPr>
                <w:rFonts w:eastAsia="Calibri"/>
              </w:rPr>
            </w:pPr>
            <w:r w:rsidRPr="008051C6">
              <w:t>Sharing Information on the Use of Frequency in SATRC Countries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C6" w:rsidRPr="008051C6" w:rsidRDefault="008051C6" w:rsidP="008051C6">
            <w:pPr>
              <w:rPr>
                <w:rFonts w:eastAsia="Calibri"/>
              </w:rPr>
            </w:pPr>
            <w:r w:rsidRPr="008051C6">
              <w:rPr>
                <w:b/>
                <w:bCs/>
              </w:rPr>
              <w:t>Mr.</w:t>
            </w:r>
            <w:r>
              <w:rPr>
                <w:b/>
                <w:bCs/>
              </w:rPr>
              <w:t xml:space="preserve"> Forhadul</w:t>
            </w:r>
            <w:r w:rsidRPr="008051C6">
              <w:rPr>
                <w:b/>
                <w:bCs/>
              </w:rPr>
              <w:t xml:space="preserve"> Parvez</w:t>
            </w:r>
            <w:r>
              <w:rPr>
                <w:b/>
                <w:bCs/>
              </w:rPr>
              <w:t xml:space="preserve"> (APT Secretariat)</w:t>
            </w:r>
          </w:p>
        </w:tc>
      </w:tr>
    </w:tbl>
    <w:p w:rsidR="008051C6" w:rsidRPr="008051C6" w:rsidRDefault="008051C6" w:rsidP="008051C6">
      <w:pPr>
        <w:rPr>
          <w:rFonts w:ascii="Angsana New" w:eastAsia="Calibri" w:hAnsi="Angsana New" w:cs="Angsana New"/>
          <w:color w:val="000000"/>
        </w:rPr>
      </w:pPr>
    </w:p>
    <w:p w:rsidR="002C7EA9" w:rsidRDefault="002C7EA9" w:rsidP="00C357AD">
      <w:pPr>
        <w:jc w:val="both"/>
        <w:rPr>
          <w:b/>
        </w:rPr>
      </w:pPr>
    </w:p>
    <w:p w:rsidR="00C357AD" w:rsidRDefault="00C357AD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  <w:bookmarkStart w:id="0" w:name="_GoBack"/>
      <w:bookmarkEnd w:id="0"/>
    </w:p>
    <w:sectPr w:rsidR="00DA7595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28" w:rsidRDefault="00667128">
      <w:r>
        <w:separator/>
      </w:r>
    </w:p>
  </w:endnote>
  <w:endnote w:type="continuationSeparator" w:id="0">
    <w:p w:rsidR="00667128" w:rsidRDefault="0066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219E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E219E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blPrEx>
        <w:tblCellMar>
          <w:top w:w="0" w:type="dxa"/>
          <w:bottom w:w="0" w:type="dxa"/>
        </w:tblCellMar>
      </w:tblPrEx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 w:hint="eastAsia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hint="eastAsia"/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28" w:rsidRDefault="00667128">
      <w:r>
        <w:separator/>
      </w:r>
    </w:p>
  </w:footnote>
  <w:footnote w:type="continuationSeparator" w:id="0">
    <w:p w:rsidR="00667128" w:rsidRDefault="0066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AA41DB">
      <w:rPr>
        <w:lang w:eastAsia="ko-KR"/>
      </w:rPr>
      <w:t>WG</w:t>
    </w:r>
    <w:r>
      <w:rPr>
        <w:rFonts w:hint="eastAsia"/>
        <w:lang w:eastAsia="ko-KR"/>
      </w:rPr>
      <w:t>-</w:t>
    </w:r>
    <w:r w:rsidR="0088109B">
      <w:rPr>
        <w:lang w:eastAsia="ko-KR"/>
      </w:rPr>
      <w:t>13</w:t>
    </w:r>
    <w:r w:rsidR="003578AB">
      <w:rPr>
        <w:rFonts w:hint="eastAsia"/>
        <w:lang w:eastAsia="ko-KR"/>
      </w:rPr>
      <w:t>/</w:t>
    </w:r>
    <w:r w:rsidR="003578AB">
      <w:rPr>
        <w:lang w:eastAsia="ko-KR"/>
      </w:rPr>
      <w:t>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6"/>
    <w:rsid w:val="000011E8"/>
    <w:rsid w:val="0003595B"/>
    <w:rsid w:val="000A4256"/>
    <w:rsid w:val="000F5540"/>
    <w:rsid w:val="0019344E"/>
    <w:rsid w:val="00196568"/>
    <w:rsid w:val="001B18C2"/>
    <w:rsid w:val="001D5D7E"/>
    <w:rsid w:val="00254A1B"/>
    <w:rsid w:val="00262EAB"/>
    <w:rsid w:val="0028454D"/>
    <w:rsid w:val="002926D4"/>
    <w:rsid w:val="002C07DA"/>
    <w:rsid w:val="002C7EA9"/>
    <w:rsid w:val="002F2C66"/>
    <w:rsid w:val="00353BCB"/>
    <w:rsid w:val="003578AB"/>
    <w:rsid w:val="003A232C"/>
    <w:rsid w:val="003B6263"/>
    <w:rsid w:val="003C64A7"/>
    <w:rsid w:val="003D3FDA"/>
    <w:rsid w:val="003D4768"/>
    <w:rsid w:val="003F1F54"/>
    <w:rsid w:val="003F2317"/>
    <w:rsid w:val="00420822"/>
    <w:rsid w:val="0045458F"/>
    <w:rsid w:val="00486F61"/>
    <w:rsid w:val="00530E8C"/>
    <w:rsid w:val="00587875"/>
    <w:rsid w:val="005C7E76"/>
    <w:rsid w:val="00607E2B"/>
    <w:rsid w:val="00614171"/>
    <w:rsid w:val="00627E64"/>
    <w:rsid w:val="0063062B"/>
    <w:rsid w:val="00667128"/>
    <w:rsid w:val="00667229"/>
    <w:rsid w:val="00682BE5"/>
    <w:rsid w:val="006C7574"/>
    <w:rsid w:val="0072279B"/>
    <w:rsid w:val="0074190C"/>
    <w:rsid w:val="00762576"/>
    <w:rsid w:val="008051C6"/>
    <w:rsid w:val="0080570B"/>
    <w:rsid w:val="008148E1"/>
    <w:rsid w:val="00865017"/>
    <w:rsid w:val="0088109B"/>
    <w:rsid w:val="008D0E09"/>
    <w:rsid w:val="0097693B"/>
    <w:rsid w:val="009A4A6D"/>
    <w:rsid w:val="009C3A88"/>
    <w:rsid w:val="009F5AB3"/>
    <w:rsid w:val="00A438A8"/>
    <w:rsid w:val="00A44BFA"/>
    <w:rsid w:val="00A548EF"/>
    <w:rsid w:val="00A948CF"/>
    <w:rsid w:val="00AA33D2"/>
    <w:rsid w:val="00AA41DB"/>
    <w:rsid w:val="00AA474C"/>
    <w:rsid w:val="00AD7E5F"/>
    <w:rsid w:val="00AE219E"/>
    <w:rsid w:val="00AE6456"/>
    <w:rsid w:val="00B25D6A"/>
    <w:rsid w:val="00B30C81"/>
    <w:rsid w:val="00BB4D83"/>
    <w:rsid w:val="00BF663E"/>
    <w:rsid w:val="00C15633"/>
    <w:rsid w:val="00C357AD"/>
    <w:rsid w:val="00CD5431"/>
    <w:rsid w:val="00CD75B4"/>
    <w:rsid w:val="00CE74EB"/>
    <w:rsid w:val="00CF2491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674D3"/>
    <w:rsid w:val="00EC1A88"/>
    <w:rsid w:val="00F80501"/>
    <w:rsid w:val="00F84067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SATRC\Action%20Plan%20Phase%20IV\WG%20Spectrum\Meeting%2001\Documents\SATR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SATRC Document Template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2</cp:revision>
  <cp:lastPrinted>2004-07-28T02:14:00Z</cp:lastPrinted>
  <dcterms:created xsi:type="dcterms:W3CDTF">2012-10-08T04:44:00Z</dcterms:created>
  <dcterms:modified xsi:type="dcterms:W3CDTF">2012-10-08T04:48:00Z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