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439CA536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DC30D" w14:textId="77777777" w:rsidR="00295D9B" w:rsidRPr="00891D0B" w:rsidRDefault="00CD34C7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14820B7" wp14:editId="771BF201">
                  <wp:extent cx="762000" cy="673100"/>
                  <wp:effectExtent l="0" t="0" r="0" b="1270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182082F8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D353E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57005A7F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7A0F11D2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AD1BF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7104" w14:textId="776BBC8C" w:rsidR="00295D9B" w:rsidRPr="00891D0B" w:rsidRDefault="00295D9B" w:rsidP="00A64D33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128A" w14:textId="1C684A30" w:rsidR="00295D9B" w:rsidRPr="00C15799" w:rsidRDefault="00295D9B" w:rsidP="006A4000">
            <w:pPr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295D9B" w:rsidRPr="00891D0B" w14:paraId="5D3B7B3E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B8F64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28AA99" w14:textId="7B2D35AD"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57D0E" w14:textId="67F2E1BC" w:rsidR="00295D9B" w:rsidRPr="00712451" w:rsidRDefault="00295D9B" w:rsidP="00390F78">
            <w:pPr>
              <w:rPr>
                <w:b/>
              </w:rPr>
            </w:pPr>
          </w:p>
        </w:tc>
      </w:tr>
    </w:tbl>
    <w:p w14:paraId="4DF3EEC9" w14:textId="5EFB11BF" w:rsidR="00DA7595" w:rsidRDefault="00A64D33" w:rsidP="00DA7595">
      <w:pPr>
        <w:rPr>
          <w:lang w:eastAsia="ko-KR"/>
        </w:rPr>
      </w:pPr>
      <w:r>
        <w:rPr>
          <w:lang w:eastAsia="ko-KR"/>
        </w:rPr>
        <w:t>Source: APG15-3/OUT-17</w:t>
      </w:r>
    </w:p>
    <w:p w14:paraId="221C7920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2A8231AD" w14:textId="2BFCB6F8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0F0422">
        <w:rPr>
          <w:b/>
          <w:bCs/>
          <w:caps/>
          <w:sz w:val="28"/>
          <w:szCs w:val="28"/>
        </w:rPr>
        <w:t>1.10</w:t>
      </w:r>
    </w:p>
    <w:p w14:paraId="5FB895DC" w14:textId="77777777" w:rsidR="00DB0A68" w:rsidRDefault="00DB0A68" w:rsidP="00C357AD">
      <w:pPr>
        <w:jc w:val="center"/>
      </w:pPr>
    </w:p>
    <w:p w14:paraId="4759F4DC" w14:textId="77777777" w:rsidR="00C357AD" w:rsidRDefault="00C357AD" w:rsidP="00C357AD">
      <w:pPr>
        <w:jc w:val="center"/>
        <w:rPr>
          <w:b/>
        </w:rPr>
      </w:pPr>
    </w:p>
    <w:p w14:paraId="611370E4" w14:textId="77777777" w:rsidR="00C357AD" w:rsidRDefault="00C357AD" w:rsidP="00C357AD">
      <w:pPr>
        <w:jc w:val="both"/>
        <w:rPr>
          <w:b/>
        </w:rPr>
      </w:pPr>
    </w:p>
    <w:p w14:paraId="17A91717" w14:textId="22C95E4A" w:rsidR="000F0422" w:rsidRPr="00DC1D7C" w:rsidRDefault="000F0422" w:rsidP="00DC1D7C">
      <w:pPr>
        <w:jc w:val="both"/>
        <w:rPr>
          <w:lang w:eastAsia="zh-CN"/>
        </w:rPr>
      </w:pPr>
      <w:r>
        <w:rPr>
          <w:b/>
        </w:rPr>
        <w:t xml:space="preserve">Agenda Item 1.10: </w:t>
      </w:r>
      <w:r w:rsidRPr="00F97837">
        <w:rPr>
          <w:rFonts w:eastAsia="SimSun"/>
          <w:i/>
        </w:rPr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AD1768">
        <w:rPr>
          <w:rFonts w:eastAsia="SimSun"/>
          <w:b/>
          <w:bCs/>
          <w:i/>
        </w:rPr>
        <w:t>234 [COM6/16] (WRC</w:t>
      </w:r>
      <w:r w:rsidRPr="00AD1768">
        <w:rPr>
          <w:rFonts w:eastAsia="SimSun"/>
          <w:b/>
          <w:bCs/>
          <w:i/>
        </w:rPr>
        <w:noBreakHyphen/>
        <w:t>12)</w:t>
      </w:r>
    </w:p>
    <w:p w14:paraId="31CB5D8B" w14:textId="77777777" w:rsidR="00DC1D7C" w:rsidRPr="00FB2508" w:rsidRDefault="00DC1D7C" w:rsidP="00DC1D7C">
      <w:pPr>
        <w:spacing w:before="240"/>
        <w:rPr>
          <w:bCs/>
        </w:rPr>
      </w:pPr>
      <w:r w:rsidRPr="00FB2508">
        <w:rPr>
          <w:iCs/>
        </w:rPr>
        <w:t xml:space="preserve">Resolution </w:t>
      </w:r>
      <w:r w:rsidRPr="00FB2508">
        <w:rPr>
          <w:b/>
          <w:iCs/>
        </w:rPr>
        <w:t>234 (WRC-12)</w:t>
      </w:r>
      <w:r w:rsidRPr="00D5513A">
        <w:rPr>
          <w:bCs/>
          <w:iCs/>
        </w:rPr>
        <w:t>:</w:t>
      </w:r>
      <w:r w:rsidRPr="00FB2508">
        <w:rPr>
          <w:iCs/>
        </w:rPr>
        <w:t xml:space="preserve"> </w:t>
      </w:r>
      <w:r w:rsidRPr="00DC28DF">
        <w:rPr>
          <w:bCs/>
          <w:i/>
          <w:iCs/>
        </w:rPr>
        <w:t>Additional primary allocations to the mobile-satellite service within the bands from 22 GHz to 26 GHz</w:t>
      </w:r>
    </w:p>
    <w:p w14:paraId="68A238E9" w14:textId="77777777" w:rsidR="000A5418" w:rsidRDefault="000A5418" w:rsidP="00C357AD">
      <w:pPr>
        <w:jc w:val="both"/>
        <w:rPr>
          <w:rFonts w:eastAsia="SimSun"/>
          <w:lang w:eastAsia="zh-CN"/>
        </w:rPr>
      </w:pPr>
    </w:p>
    <w:p w14:paraId="08E16CF7" w14:textId="77777777" w:rsidR="00DC1D7C" w:rsidRPr="00DC1D7C" w:rsidRDefault="00DC1D7C" w:rsidP="00C357AD">
      <w:pPr>
        <w:jc w:val="both"/>
        <w:rPr>
          <w:rFonts w:eastAsia="SimSun"/>
          <w:lang w:eastAsia="zh-CN"/>
        </w:rPr>
      </w:pPr>
    </w:p>
    <w:p w14:paraId="6B152FB2" w14:textId="6C84EF3F"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14:paraId="26D3B35B" w14:textId="77777777" w:rsidR="006A02CF" w:rsidRDefault="006A02CF" w:rsidP="00C357AD">
      <w:pPr>
        <w:jc w:val="both"/>
        <w:rPr>
          <w:b/>
        </w:rPr>
      </w:pPr>
    </w:p>
    <w:p w14:paraId="2E404D28" w14:textId="15B6D1C3" w:rsidR="00241CF7" w:rsidRDefault="0047769A" w:rsidP="000F0422">
      <w:pPr>
        <w:jc w:val="both"/>
      </w:pPr>
      <w:r>
        <w:t xml:space="preserve">APT Members expressed their concerns regarding studies of potential allocation for MSS. </w:t>
      </w:r>
      <w:r w:rsidR="000F0422">
        <w:t xml:space="preserve">The </w:t>
      </w:r>
      <w:r w:rsidR="00CA49A8">
        <w:rPr>
          <w:rFonts w:eastAsia="SimSun" w:hint="eastAsia"/>
          <w:lang w:eastAsia="zh-CN"/>
        </w:rPr>
        <w:t>Members</w:t>
      </w:r>
      <w:r w:rsidR="000F0422">
        <w:t xml:space="preserve"> are of the view</w:t>
      </w:r>
      <w:r w:rsidR="000F0422" w:rsidRPr="009A57E5">
        <w:t xml:space="preserve"> that the frequency requirements for the 22-26</w:t>
      </w:r>
      <w:r w:rsidR="000F0422">
        <w:t xml:space="preserve"> </w:t>
      </w:r>
      <w:r w:rsidR="000F0422" w:rsidRPr="009A57E5">
        <w:t xml:space="preserve">GHz band </w:t>
      </w:r>
      <w:r w:rsidR="000F0422">
        <w:t>should be clearly identified for</w:t>
      </w:r>
      <w:r w:rsidR="000F0422" w:rsidRPr="009A57E5">
        <w:t xml:space="preserve"> the potential</w:t>
      </w:r>
      <w:r w:rsidR="000F0422">
        <w:t xml:space="preserve"> MSS</w:t>
      </w:r>
      <w:r w:rsidR="000F0422" w:rsidRPr="009A57E5">
        <w:t xml:space="preserve"> allocation taking into account current allocations for MSS </w:t>
      </w:r>
      <w:r w:rsidR="000F0422">
        <w:t>above 19 GHz</w:t>
      </w:r>
      <w:r w:rsidR="000F0422" w:rsidRPr="009A57E5">
        <w:t xml:space="preserve">. </w:t>
      </w:r>
    </w:p>
    <w:p w14:paraId="245AC1EA" w14:textId="77777777" w:rsidR="00241CF7" w:rsidRDefault="00241CF7" w:rsidP="000F0422">
      <w:pPr>
        <w:jc w:val="both"/>
      </w:pPr>
    </w:p>
    <w:p w14:paraId="48CDE9CD" w14:textId="43A7BC55" w:rsidR="00241CF7" w:rsidRDefault="00CA49A8" w:rsidP="000F0422">
      <w:pPr>
        <w:jc w:val="both"/>
      </w:pPr>
      <w:r>
        <w:rPr>
          <w:rFonts w:eastAsia="SimSun" w:hint="eastAsia"/>
          <w:lang w:eastAsia="zh-CN"/>
        </w:rPr>
        <w:t>Considering the potential</w:t>
      </w:r>
      <w:r w:rsidR="00241CF7">
        <w:t xml:space="preserve"> impact of interference from </w:t>
      </w:r>
      <w:r w:rsidR="00417DE6">
        <w:t xml:space="preserve">possible allocation for </w:t>
      </w:r>
      <w:r w:rsidR="00241CF7">
        <w:t>MSS</w:t>
      </w:r>
      <w:r w:rsidR="0063003C">
        <w:t xml:space="preserve"> </w:t>
      </w:r>
      <w:r w:rsidR="00417DE6">
        <w:t>in the</w:t>
      </w:r>
      <w:r w:rsidR="0063003C">
        <w:t xml:space="preserve"> frequenc</w:t>
      </w:r>
      <w:r w:rsidR="00417DE6">
        <w:t>y band</w:t>
      </w:r>
      <w:r w:rsidR="0063003C">
        <w:t xml:space="preserve"> 22-26 GHz</w:t>
      </w:r>
      <w:r>
        <w:rPr>
          <w:rFonts w:eastAsia="SimSun" w:hint="eastAsia"/>
          <w:lang w:eastAsia="zh-CN"/>
        </w:rPr>
        <w:t xml:space="preserve">, </w:t>
      </w:r>
      <w:r w:rsidR="0063003C">
        <w:t>APT M</w:t>
      </w:r>
      <w:r w:rsidR="00241CF7">
        <w:t>embers have</w:t>
      </w:r>
      <w:r w:rsidR="00417DE6">
        <w:t xml:space="preserve"> a view that sharing studies</w:t>
      </w:r>
      <w:r w:rsidR="00241CF7">
        <w:t xml:space="preserve"> should be conducted taking into account protection </w:t>
      </w:r>
      <w:r w:rsidR="00AD69ED">
        <w:t>to</w:t>
      </w:r>
      <w:r w:rsidR="00241CF7">
        <w:t xml:space="preserve"> incumbent services</w:t>
      </w:r>
      <w:r w:rsidR="00BC3F2D">
        <w:t xml:space="preserve"> including Fixed Service</w:t>
      </w:r>
      <w:r w:rsidR="00241CF7">
        <w:t>.</w:t>
      </w:r>
    </w:p>
    <w:p w14:paraId="2615D2AF" w14:textId="77777777" w:rsidR="00241CF7" w:rsidRDefault="00241CF7" w:rsidP="000F0422">
      <w:pPr>
        <w:jc w:val="both"/>
      </w:pPr>
    </w:p>
    <w:p w14:paraId="33700470" w14:textId="14F0E69E" w:rsidR="000F0422" w:rsidRDefault="000F0422" w:rsidP="000F0422">
      <w:pPr>
        <w:jc w:val="both"/>
      </w:pPr>
      <w:r w:rsidRPr="009A57E5">
        <w:t xml:space="preserve">The requirements and </w:t>
      </w:r>
      <w:r>
        <w:t>additional allocations</w:t>
      </w:r>
      <w:r w:rsidRPr="009A57E5">
        <w:t xml:space="preserve"> should </w:t>
      </w:r>
      <w:r w:rsidR="00CA49A8">
        <w:rPr>
          <w:rFonts w:eastAsia="SimSun" w:hint="eastAsia"/>
          <w:lang w:eastAsia="zh-CN"/>
        </w:rPr>
        <w:t>take into account the result of studies yet to be completed by the ITU-R.</w:t>
      </w:r>
    </w:p>
    <w:p w14:paraId="5C79F827" w14:textId="77777777" w:rsidR="006A02CF" w:rsidRPr="00D35342" w:rsidRDefault="006A02CF" w:rsidP="00C357AD">
      <w:pPr>
        <w:jc w:val="both"/>
        <w:rPr>
          <w:rFonts w:eastAsia="SimSun"/>
          <w:b/>
          <w:lang w:eastAsia="zh-CN"/>
        </w:rPr>
      </w:pPr>
    </w:p>
    <w:p w14:paraId="4BB1EF42" w14:textId="77777777" w:rsidR="00D36655" w:rsidRDefault="00D36655" w:rsidP="008A57D4"/>
    <w:p w14:paraId="04349BC2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34E6C" w14:textId="77777777" w:rsidR="00850609" w:rsidRDefault="00850609">
      <w:r>
        <w:separator/>
      </w:r>
    </w:p>
  </w:endnote>
  <w:endnote w:type="continuationSeparator" w:id="0">
    <w:p w14:paraId="69FD32BF" w14:textId="77777777" w:rsidR="00850609" w:rsidRDefault="008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23D0" w14:textId="77777777" w:rsidR="00AD69ED" w:rsidRDefault="00AD69ED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ACB03" w14:textId="77777777" w:rsidR="00AD69ED" w:rsidRDefault="00AD69ED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ED2A" w14:textId="77777777" w:rsidR="00AD69ED" w:rsidRDefault="00AD69ED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A64D33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A64D33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D69ED" w14:paraId="68CFE723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D223D26" w14:textId="2759002B" w:rsidR="00AD69ED" w:rsidRPr="007B00DD" w:rsidRDefault="00AD69ED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624FA32B" w14:textId="10DDC847" w:rsidR="00AD69ED" w:rsidRPr="007B00DD" w:rsidRDefault="00AD69ED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24338DB4" w14:textId="4A2BE42F" w:rsidR="00AD69ED" w:rsidRPr="007B00DD" w:rsidRDefault="00AD69ED" w:rsidP="00762576">
          <w:pPr>
            <w:rPr>
              <w:b/>
              <w:lang w:eastAsia="ja-JP"/>
            </w:rPr>
          </w:pPr>
        </w:p>
      </w:tc>
    </w:tr>
  </w:tbl>
  <w:p w14:paraId="0AE32520" w14:textId="77777777" w:rsidR="00AD69ED" w:rsidRDefault="00AD6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95E71" w14:textId="77777777" w:rsidR="00850609" w:rsidRDefault="00850609">
      <w:r>
        <w:separator/>
      </w:r>
    </w:p>
  </w:footnote>
  <w:footnote w:type="continuationSeparator" w:id="0">
    <w:p w14:paraId="0BC7174A" w14:textId="77777777" w:rsidR="00850609" w:rsidRDefault="0085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A79A" w14:textId="64425511" w:rsidR="00AD69ED" w:rsidRDefault="00AD69ED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4D111A">
      <w:rPr>
        <w:lang w:eastAsia="ko-KR"/>
      </w:rPr>
      <w:t>PG15-3</w:t>
    </w:r>
    <w:r>
      <w:rPr>
        <w:rFonts w:hint="eastAsia"/>
        <w:lang w:eastAsia="ko-KR"/>
      </w:rPr>
      <w:t>/</w:t>
    </w:r>
    <w:r w:rsidR="00A2128F">
      <w:rPr>
        <w:lang w:eastAsia="ko-KR"/>
      </w:rPr>
      <w:t>OUT-17</w:t>
    </w:r>
  </w:p>
  <w:p w14:paraId="30E787B4" w14:textId="77777777" w:rsidR="00AD69ED" w:rsidRDefault="00AD69ED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165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AB6769B"/>
    <w:multiLevelType w:val="hybridMultilevel"/>
    <w:tmpl w:val="E9B45B80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A5418"/>
    <w:rsid w:val="000F0422"/>
    <w:rsid w:val="000F517C"/>
    <w:rsid w:val="000F5540"/>
    <w:rsid w:val="001539DD"/>
    <w:rsid w:val="00196568"/>
    <w:rsid w:val="001A2CF1"/>
    <w:rsid w:val="001A2F16"/>
    <w:rsid w:val="001B18C2"/>
    <w:rsid w:val="001C3F4C"/>
    <w:rsid w:val="001C610F"/>
    <w:rsid w:val="001D5D7E"/>
    <w:rsid w:val="001F6AD9"/>
    <w:rsid w:val="00241CF7"/>
    <w:rsid w:val="00254A1B"/>
    <w:rsid w:val="00257BDB"/>
    <w:rsid w:val="0026263B"/>
    <w:rsid w:val="0028454D"/>
    <w:rsid w:val="00290ABD"/>
    <w:rsid w:val="00291C9E"/>
    <w:rsid w:val="002926D4"/>
    <w:rsid w:val="00295D9B"/>
    <w:rsid w:val="002A14B9"/>
    <w:rsid w:val="002C07DA"/>
    <w:rsid w:val="002C7EA9"/>
    <w:rsid w:val="002D7375"/>
    <w:rsid w:val="00342F20"/>
    <w:rsid w:val="003809C7"/>
    <w:rsid w:val="00390F78"/>
    <w:rsid w:val="003B6263"/>
    <w:rsid w:val="003C64A7"/>
    <w:rsid w:val="003D3FDA"/>
    <w:rsid w:val="00414C8C"/>
    <w:rsid w:val="00417DE6"/>
    <w:rsid w:val="00420822"/>
    <w:rsid w:val="0045458F"/>
    <w:rsid w:val="004633B4"/>
    <w:rsid w:val="00473941"/>
    <w:rsid w:val="0047769A"/>
    <w:rsid w:val="004B3553"/>
    <w:rsid w:val="004D111A"/>
    <w:rsid w:val="00530E8C"/>
    <w:rsid w:val="00532D8B"/>
    <w:rsid w:val="00545933"/>
    <w:rsid w:val="00557544"/>
    <w:rsid w:val="00572E9C"/>
    <w:rsid w:val="00587875"/>
    <w:rsid w:val="005D23EF"/>
    <w:rsid w:val="00607E2B"/>
    <w:rsid w:val="00623CE1"/>
    <w:rsid w:val="0063003C"/>
    <w:rsid w:val="0063062B"/>
    <w:rsid w:val="00667229"/>
    <w:rsid w:val="0067135E"/>
    <w:rsid w:val="00682BE5"/>
    <w:rsid w:val="00690FED"/>
    <w:rsid w:val="006939A5"/>
    <w:rsid w:val="006A02CF"/>
    <w:rsid w:val="006A4000"/>
    <w:rsid w:val="00712451"/>
    <w:rsid w:val="00732F08"/>
    <w:rsid w:val="0074190C"/>
    <w:rsid w:val="00762576"/>
    <w:rsid w:val="00791060"/>
    <w:rsid w:val="007A507E"/>
    <w:rsid w:val="007B00DD"/>
    <w:rsid w:val="007B5626"/>
    <w:rsid w:val="0080570B"/>
    <w:rsid w:val="008148E1"/>
    <w:rsid w:val="008319BF"/>
    <w:rsid w:val="00850609"/>
    <w:rsid w:val="008A57D4"/>
    <w:rsid w:val="008C5C9B"/>
    <w:rsid w:val="008D0E09"/>
    <w:rsid w:val="00937324"/>
    <w:rsid w:val="0097693B"/>
    <w:rsid w:val="00993355"/>
    <w:rsid w:val="00995B4C"/>
    <w:rsid w:val="009A4A6D"/>
    <w:rsid w:val="00A13265"/>
    <w:rsid w:val="00A2128F"/>
    <w:rsid w:val="00A363E4"/>
    <w:rsid w:val="00A53011"/>
    <w:rsid w:val="00A643D6"/>
    <w:rsid w:val="00A64D33"/>
    <w:rsid w:val="00A71136"/>
    <w:rsid w:val="00A846FC"/>
    <w:rsid w:val="00AA474C"/>
    <w:rsid w:val="00AB1C1F"/>
    <w:rsid w:val="00AB4C6A"/>
    <w:rsid w:val="00AD69ED"/>
    <w:rsid w:val="00AD7E5F"/>
    <w:rsid w:val="00B01AA1"/>
    <w:rsid w:val="00B14F42"/>
    <w:rsid w:val="00B30C81"/>
    <w:rsid w:val="00B4793B"/>
    <w:rsid w:val="00BA5C00"/>
    <w:rsid w:val="00BC3F2D"/>
    <w:rsid w:val="00C15633"/>
    <w:rsid w:val="00C15799"/>
    <w:rsid w:val="00C357AD"/>
    <w:rsid w:val="00C6069C"/>
    <w:rsid w:val="00CA46FE"/>
    <w:rsid w:val="00CA49A8"/>
    <w:rsid w:val="00CD34C7"/>
    <w:rsid w:val="00CD5431"/>
    <w:rsid w:val="00CF150F"/>
    <w:rsid w:val="00CF2491"/>
    <w:rsid w:val="00D1252E"/>
    <w:rsid w:val="00D13B41"/>
    <w:rsid w:val="00D35342"/>
    <w:rsid w:val="00D36655"/>
    <w:rsid w:val="00D4264A"/>
    <w:rsid w:val="00D57772"/>
    <w:rsid w:val="00D75A4D"/>
    <w:rsid w:val="00D8478B"/>
    <w:rsid w:val="00D86151"/>
    <w:rsid w:val="00DA7595"/>
    <w:rsid w:val="00DB0A68"/>
    <w:rsid w:val="00DC1D7C"/>
    <w:rsid w:val="00DC43A3"/>
    <w:rsid w:val="00DD7C09"/>
    <w:rsid w:val="00E0124F"/>
    <w:rsid w:val="00E674D3"/>
    <w:rsid w:val="00E70FD0"/>
    <w:rsid w:val="00EB0A98"/>
    <w:rsid w:val="00F629DE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13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0F0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422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0F04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0F0422"/>
    <w:rPr>
      <w:rFonts w:eastAsia="SimSun"/>
      <w:lang w:val="en-GB"/>
    </w:rPr>
  </w:style>
  <w:style w:type="character" w:styleId="Hyperlink">
    <w:name w:val="Hyperlink"/>
    <w:basedOn w:val="DefaultParagraphFont"/>
    <w:rsid w:val="000F04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BDB"/>
    <w:pPr>
      <w:ind w:leftChars="400" w:left="840"/>
    </w:pPr>
  </w:style>
  <w:style w:type="paragraph" w:customStyle="1" w:styleId="Headingb">
    <w:name w:val="Heading_b"/>
    <w:basedOn w:val="Normal"/>
    <w:next w:val="Normal"/>
    <w:link w:val="HeadingbChar"/>
    <w:rsid w:val="00CA49A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Theme="minorEastAsia" w:hAnsi="Times"/>
      <w:b/>
      <w:szCs w:val="20"/>
      <w:lang w:val="en-GB"/>
    </w:rPr>
  </w:style>
  <w:style w:type="character" w:customStyle="1" w:styleId="HeadingbChar">
    <w:name w:val="Heading_b Char"/>
    <w:link w:val="Headingb"/>
    <w:locked/>
    <w:rsid w:val="00CA49A8"/>
    <w:rPr>
      <w:rFonts w:ascii="Times" w:eastAsiaTheme="minorEastAsia" w:hAnsi="Times"/>
      <w:b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0F0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422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0F04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0F0422"/>
    <w:rPr>
      <w:rFonts w:eastAsia="SimSun"/>
      <w:lang w:val="en-GB"/>
    </w:rPr>
  </w:style>
  <w:style w:type="character" w:styleId="Hyperlink">
    <w:name w:val="Hyperlink"/>
    <w:basedOn w:val="DefaultParagraphFont"/>
    <w:rsid w:val="000F04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BDB"/>
    <w:pPr>
      <w:ind w:leftChars="400" w:left="840"/>
    </w:pPr>
  </w:style>
  <w:style w:type="paragraph" w:customStyle="1" w:styleId="Headingb">
    <w:name w:val="Heading_b"/>
    <w:basedOn w:val="Normal"/>
    <w:next w:val="Normal"/>
    <w:link w:val="HeadingbChar"/>
    <w:rsid w:val="00CA49A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Theme="minorEastAsia" w:hAnsi="Times"/>
      <w:b/>
      <w:szCs w:val="20"/>
      <w:lang w:val="en-GB"/>
    </w:rPr>
  </w:style>
  <w:style w:type="character" w:customStyle="1" w:styleId="HeadingbChar">
    <w:name w:val="Heading_b Char"/>
    <w:link w:val="Headingb"/>
    <w:locked/>
    <w:rsid w:val="00CA49A8"/>
    <w:rPr>
      <w:rFonts w:ascii="Times" w:eastAsiaTheme="minorEastAsia" w:hAnsi="Times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2014-11-12T04:54:00Z</dcterms:created>
  <dcterms:modified xsi:type="dcterms:W3CDTF">2014-11-12T04:55:00Z</dcterms:modified>
</cp:coreProperties>
</file>