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36EBF"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872AD8">
            <w:pPr>
              <w:spacing w:line="0" w:lineRule="atLeast"/>
            </w:pPr>
            <w:r>
              <w:rPr>
                <w:b/>
              </w:rPr>
              <w:t>The APT Conference Prepar</w:t>
            </w:r>
            <w:r w:rsidR="00D05805">
              <w:rPr>
                <w:b/>
              </w:rPr>
              <w:t xml:space="preserve">atory  Group for WRC-15 </w:t>
            </w:r>
          </w:p>
        </w:tc>
        <w:tc>
          <w:tcPr>
            <w:tcW w:w="2340" w:type="dxa"/>
            <w:gridSpan w:val="2"/>
            <w:tcBorders>
              <w:top w:val="nil"/>
              <w:left w:val="nil"/>
              <w:bottom w:val="nil"/>
              <w:right w:val="nil"/>
            </w:tcBorders>
          </w:tcPr>
          <w:p w:rsidR="00295D9B" w:rsidRPr="00C15799" w:rsidRDefault="00295D9B" w:rsidP="003209E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D05805"/>
        </w:tc>
        <w:tc>
          <w:tcPr>
            <w:tcW w:w="2340" w:type="dxa"/>
            <w:gridSpan w:val="2"/>
            <w:tcBorders>
              <w:top w:val="nil"/>
              <w:left w:val="nil"/>
              <w:bottom w:val="single" w:sz="12" w:space="0" w:color="auto"/>
              <w:right w:val="nil"/>
            </w:tcBorders>
          </w:tcPr>
          <w:p w:rsidR="00295D9B" w:rsidRPr="00712451" w:rsidRDefault="00295D9B" w:rsidP="003209E0">
            <w:pPr>
              <w:rPr>
                <w:b/>
              </w:rPr>
            </w:pPr>
          </w:p>
        </w:tc>
      </w:tr>
    </w:tbl>
    <w:p w:rsidR="00DA7595" w:rsidRDefault="00872AD8" w:rsidP="00DA7595">
      <w:pPr>
        <w:rPr>
          <w:lang w:eastAsia="ko-KR"/>
        </w:rPr>
      </w:pPr>
      <w:r>
        <w:rPr>
          <w:lang w:eastAsia="ko-KR"/>
        </w:rPr>
        <w:t>Source: APG15-4/OUT-10</w:t>
      </w:r>
    </w:p>
    <w:p w:rsidR="00D13B41" w:rsidRDefault="00D13B41" w:rsidP="00DA7595">
      <w:pPr>
        <w:jc w:val="center"/>
        <w:rPr>
          <w:b/>
          <w:sz w:val="28"/>
          <w:szCs w:val="28"/>
          <w:lang w:eastAsia="ko-KR"/>
        </w:rPr>
      </w:pPr>
    </w:p>
    <w:p w:rsidR="00C357AD" w:rsidRPr="00740FA3" w:rsidRDefault="00D1252E" w:rsidP="0063062B">
      <w:pPr>
        <w:jc w:val="center"/>
        <w:rPr>
          <w:rFonts w:eastAsiaTheme="minorEastAsia"/>
          <w:b/>
          <w:bCs/>
          <w:caps/>
          <w:sz w:val="28"/>
          <w:szCs w:val="28"/>
          <w:lang w:eastAsia="ko-KR"/>
        </w:rPr>
      </w:pPr>
      <w:r>
        <w:rPr>
          <w:b/>
          <w:bCs/>
          <w:caps/>
          <w:sz w:val="28"/>
          <w:szCs w:val="28"/>
        </w:rPr>
        <w:t>preliminary v</w:t>
      </w:r>
      <w:r w:rsidR="00017D59">
        <w:rPr>
          <w:b/>
          <w:bCs/>
          <w:caps/>
          <w:sz w:val="28"/>
          <w:szCs w:val="28"/>
        </w:rPr>
        <w:t>iews on WRC-15</w:t>
      </w:r>
      <w:r w:rsidR="007A507E">
        <w:rPr>
          <w:b/>
          <w:bCs/>
          <w:caps/>
          <w:sz w:val="28"/>
          <w:szCs w:val="28"/>
        </w:rPr>
        <w:t xml:space="preserve"> agenda item </w:t>
      </w:r>
      <w:r w:rsidR="00740FA3">
        <w:rPr>
          <w:rFonts w:eastAsiaTheme="minorEastAsia" w:hint="eastAsia"/>
          <w:b/>
          <w:bCs/>
          <w:caps/>
          <w:sz w:val="28"/>
          <w:szCs w:val="28"/>
          <w:lang w:eastAsia="ko-KR"/>
        </w:rPr>
        <w:t>1</w:t>
      </w:r>
      <w:r w:rsidR="007A507E">
        <w:rPr>
          <w:b/>
          <w:bCs/>
          <w:caps/>
          <w:sz w:val="28"/>
          <w:szCs w:val="28"/>
        </w:rPr>
        <w:t>.</w:t>
      </w:r>
      <w:r w:rsidR="00740FA3">
        <w:rPr>
          <w:rFonts w:eastAsiaTheme="minorEastAsia" w:hint="eastAsia"/>
          <w:b/>
          <w:bCs/>
          <w:caps/>
          <w:sz w:val="28"/>
          <w:szCs w:val="28"/>
          <w:lang w:eastAsia="ko-KR"/>
        </w:rPr>
        <w:t>4</w:t>
      </w:r>
      <w:r w:rsidR="00872AD8">
        <w:rPr>
          <w:rFonts w:eastAsiaTheme="minorEastAsia"/>
          <w:b/>
          <w:bCs/>
          <w:caps/>
          <w:sz w:val="28"/>
          <w:szCs w:val="28"/>
          <w:lang w:eastAsia="ko-KR"/>
        </w:rPr>
        <w:t xml:space="preserve"> developed by apg15-4</w:t>
      </w:r>
    </w:p>
    <w:p w:rsidR="00C357AD" w:rsidRPr="00A30D7E" w:rsidRDefault="00C357AD" w:rsidP="00A30D7E">
      <w:pPr>
        <w:rPr>
          <w:rFonts w:eastAsiaTheme="minorEastAsia"/>
          <w:b/>
          <w:lang w:eastAsia="ko-KR"/>
        </w:rPr>
      </w:pPr>
    </w:p>
    <w:p w:rsidR="00C357AD" w:rsidRDefault="00C357AD" w:rsidP="00C357AD">
      <w:pPr>
        <w:jc w:val="both"/>
        <w:rPr>
          <w:b/>
        </w:rPr>
      </w:pPr>
    </w:p>
    <w:p w:rsidR="008319BF" w:rsidRDefault="000A5418" w:rsidP="00C357AD">
      <w:pPr>
        <w:jc w:val="both"/>
      </w:pPr>
      <w:r>
        <w:rPr>
          <w:b/>
        </w:rPr>
        <w:t xml:space="preserve">Agenda Item </w:t>
      </w:r>
      <w:r w:rsidR="00740FA3">
        <w:rPr>
          <w:rFonts w:eastAsiaTheme="minorEastAsia" w:hint="eastAsia"/>
          <w:b/>
          <w:lang w:eastAsia="ko-KR"/>
        </w:rPr>
        <w:t>1</w:t>
      </w:r>
      <w:r>
        <w:rPr>
          <w:b/>
        </w:rPr>
        <w:t>.</w:t>
      </w:r>
      <w:r w:rsidR="00740FA3">
        <w:rPr>
          <w:rFonts w:eastAsiaTheme="minorEastAsia" w:hint="eastAsia"/>
          <w:b/>
          <w:lang w:eastAsia="ko-KR"/>
        </w:rPr>
        <w:t>4</w:t>
      </w:r>
      <w:r>
        <w:rPr>
          <w:b/>
        </w:rPr>
        <w:t xml:space="preserve">: </w:t>
      </w:r>
    </w:p>
    <w:p w:rsidR="00740FA3" w:rsidRDefault="00740FA3" w:rsidP="00740FA3">
      <w:pPr>
        <w:jc w:val="both"/>
        <w:rPr>
          <w:rFonts w:eastAsiaTheme="minorEastAsia"/>
          <w:i/>
          <w:lang w:eastAsia="ko-KR"/>
        </w:rPr>
      </w:pPr>
      <w:r w:rsidRPr="009F0E5C">
        <w:rPr>
          <w:i/>
        </w:rPr>
        <w:t xml:space="preserve">to consider possible new allocation to the amateur service on a secondary basis within the band 5 250-5 450 kHz in accordance with Resolution </w:t>
      </w:r>
      <w:r w:rsidRPr="004D2F2A">
        <w:rPr>
          <w:b/>
          <w:i/>
        </w:rPr>
        <w:t>649 (WRC-12)</w:t>
      </w:r>
      <w:r w:rsidRPr="009F0E5C">
        <w:rPr>
          <w:i/>
        </w:rPr>
        <w:t>;</w:t>
      </w:r>
    </w:p>
    <w:p w:rsidR="006C373C" w:rsidRPr="006C373C" w:rsidRDefault="006C373C" w:rsidP="00740FA3">
      <w:pPr>
        <w:jc w:val="both"/>
        <w:rPr>
          <w:rFonts w:eastAsiaTheme="minorEastAsia"/>
          <w:lang w:eastAsia="ko-KR"/>
        </w:rPr>
      </w:pPr>
    </w:p>
    <w:p w:rsidR="006C373C" w:rsidRDefault="006C373C" w:rsidP="006C373C">
      <w:pPr>
        <w:rPr>
          <w:i/>
          <w:iCs/>
        </w:rPr>
      </w:pPr>
      <w:r>
        <w:t xml:space="preserve">Resolution </w:t>
      </w:r>
      <w:r>
        <w:rPr>
          <w:rFonts w:ascii="Times New Roman Bold" w:hAnsi="Times New Roman Bold" w:cs="Times New Roman Bold"/>
          <w:b/>
          <w:bCs/>
        </w:rPr>
        <w:t>649</w:t>
      </w:r>
      <w:r>
        <w:rPr>
          <w:b/>
          <w:bCs/>
        </w:rPr>
        <w:t xml:space="preserve"> (WRC</w:t>
      </w:r>
      <w:r>
        <w:rPr>
          <w:b/>
          <w:bCs/>
        </w:rPr>
        <w:noBreakHyphen/>
        <w:t>12)</w:t>
      </w:r>
      <w:r>
        <w:t xml:space="preserve">: </w:t>
      </w:r>
      <w:r>
        <w:rPr>
          <w:i/>
          <w:iCs/>
        </w:rPr>
        <w:t>Possible allocation to the amateur service on a secondary basis at around 5 300 kHz</w:t>
      </w:r>
    </w:p>
    <w:p w:rsidR="000A5418" w:rsidRDefault="00017D59" w:rsidP="00017D59">
      <w:pPr>
        <w:tabs>
          <w:tab w:val="left" w:pos="5655"/>
        </w:tabs>
        <w:jc w:val="both"/>
      </w:pPr>
      <w:r>
        <w:tab/>
      </w:r>
    </w:p>
    <w:p w:rsidR="000A5418" w:rsidRDefault="000A5418" w:rsidP="00C357AD">
      <w:pPr>
        <w:jc w:val="both"/>
      </w:pPr>
    </w:p>
    <w:p w:rsidR="006A02CF" w:rsidRDefault="006A02CF" w:rsidP="00C357AD">
      <w:pPr>
        <w:jc w:val="both"/>
        <w:rPr>
          <w:b/>
        </w:rPr>
      </w:pPr>
      <w:r>
        <w:rPr>
          <w:b/>
        </w:rPr>
        <w:t>APT Preliminary Views:</w:t>
      </w:r>
    </w:p>
    <w:p w:rsidR="00740FA3" w:rsidRDefault="00740FA3" w:rsidP="00684977">
      <w:pPr>
        <w:spacing w:beforeLines="50" w:before="120" w:afterLines="50" w:after="120"/>
        <w:jc w:val="both"/>
      </w:pPr>
      <w:r>
        <w:t>APT Members are of the</w:t>
      </w:r>
      <w:r w:rsidRPr="00AD1741">
        <w:t xml:space="preserve"> view</w:t>
      </w:r>
      <w:r>
        <w:t xml:space="preserve"> that:</w:t>
      </w:r>
    </w:p>
    <w:p w:rsidR="00740FA3" w:rsidRDefault="00740FA3" w:rsidP="00740FA3">
      <w:pPr>
        <w:pStyle w:val="enumlev1"/>
        <w:jc w:val="both"/>
      </w:pPr>
      <w:r>
        <w:t>–</w:t>
      </w:r>
      <w:r w:rsidRPr="00CE5C71">
        <w:tab/>
      </w:r>
      <w:r w:rsidRPr="0000196D">
        <w:t>that the protection of the services to which the band is currently allocated and their future development should be ensured, through appropriate technical, operational and regulatory measures, where required. No constraints and adverse impact should also be imposed upon existing services and their future development in the frequency band 5 250-5 450 kHz.</w:t>
      </w:r>
    </w:p>
    <w:p w:rsidR="00740FA3" w:rsidRDefault="00740FA3" w:rsidP="00740FA3">
      <w:pPr>
        <w:pStyle w:val="enumlev1"/>
        <w:jc w:val="both"/>
      </w:pPr>
      <w:r>
        <w:t>–</w:t>
      </w:r>
      <w:r w:rsidRPr="00CE5C71">
        <w:tab/>
      </w:r>
      <w:r>
        <w:t xml:space="preserve">the frequency band 5 250 – 5 275 kHz should be excluded from any method to satisfy the agenda item; </w:t>
      </w:r>
    </w:p>
    <w:p w:rsidR="006A02CF" w:rsidRPr="00740FA3" w:rsidRDefault="00740FA3" w:rsidP="00740FA3">
      <w:pPr>
        <w:pStyle w:val="enumlev1"/>
        <w:jc w:val="both"/>
        <w:rPr>
          <w:rFonts w:eastAsiaTheme="minorEastAsia"/>
          <w:lang w:eastAsia="ko-KR"/>
        </w:rPr>
      </w:pPr>
      <w:r>
        <w:t>–</w:t>
      </w:r>
      <w:r w:rsidRPr="00CE5C71">
        <w:tab/>
      </w:r>
      <w:r>
        <w:rPr>
          <w:rFonts w:hint="eastAsia"/>
          <w:lang w:eastAsia="zh-CN"/>
        </w:rPr>
        <w:t>s</w:t>
      </w:r>
      <w:r w:rsidRPr="00C75380">
        <w:t>haring may only be feasible with some technical and operational limits</w:t>
      </w:r>
      <w:r>
        <w:rPr>
          <w:rFonts w:hint="eastAsia"/>
          <w:lang w:eastAsia="zh-CN"/>
        </w:rPr>
        <w:t xml:space="preserve"> </w:t>
      </w:r>
      <w:r w:rsidRPr="004C1BB8">
        <w:t>on the</w:t>
      </w:r>
      <w:r>
        <w:rPr>
          <w:rFonts w:hint="eastAsia"/>
          <w:lang w:eastAsia="zh-CN"/>
        </w:rPr>
        <w:t xml:space="preserve"> </w:t>
      </w:r>
      <w:r w:rsidRPr="004C1BB8">
        <w:t xml:space="preserve">amateur </w:t>
      </w:r>
      <w:r w:rsidRPr="00607E25">
        <w:t>service</w:t>
      </w:r>
      <w:r>
        <w:rPr>
          <w:rFonts w:hint="eastAsia"/>
          <w:lang w:eastAsia="zh-CN"/>
        </w:rPr>
        <w:t>.</w:t>
      </w:r>
    </w:p>
    <w:p w:rsidR="006A02CF" w:rsidRPr="00740FA3" w:rsidRDefault="006A02CF" w:rsidP="00C357AD">
      <w:pPr>
        <w:jc w:val="both"/>
        <w:rPr>
          <w:rFonts w:eastAsiaTheme="minorEastAsia"/>
          <w:b/>
          <w:lang w:eastAsia="ko-KR"/>
        </w:rPr>
      </w:pPr>
    </w:p>
    <w:p w:rsidR="00D36655" w:rsidRDefault="006A02CF" w:rsidP="00C357AD">
      <w:pPr>
        <w:jc w:val="both"/>
        <w:rPr>
          <w:b/>
        </w:rPr>
      </w:pPr>
      <w:r>
        <w:rPr>
          <w:b/>
        </w:rPr>
        <w:t>Other Views:</w:t>
      </w:r>
    </w:p>
    <w:p w:rsidR="00740FA3" w:rsidRPr="00651109" w:rsidRDefault="00740FA3" w:rsidP="00684977">
      <w:pPr>
        <w:spacing w:beforeLines="50" w:before="120" w:afterLines="50" w:after="120"/>
        <w:jc w:val="both"/>
        <w:rPr>
          <w:rFonts w:ascii="Calibri" w:hAnsi="Calibri"/>
          <w:lang w:val="vi-VN"/>
        </w:rPr>
      </w:pPr>
      <w:r>
        <w:t>Some APT Members</w:t>
      </w:r>
      <w:r>
        <w:rPr>
          <w:lang w:eastAsia="zh-CN"/>
        </w:rPr>
        <w:t xml:space="preserve"> are of the view that:</w:t>
      </w:r>
    </w:p>
    <w:p w:rsidR="00740FA3" w:rsidRDefault="00740FA3" w:rsidP="00740FA3">
      <w:pPr>
        <w:tabs>
          <w:tab w:val="left" w:pos="600"/>
        </w:tabs>
        <w:spacing w:after="120"/>
        <w:ind w:left="600" w:hanging="600"/>
        <w:jc w:val="both"/>
        <w:rPr>
          <w:lang w:val="en-GB"/>
        </w:rPr>
      </w:pPr>
      <w:r w:rsidRPr="00B034B4">
        <w:rPr>
          <w:lang w:val="en-GB"/>
        </w:rPr>
        <w:t>–</w:t>
      </w:r>
      <w:r w:rsidRPr="00B034B4">
        <w:rPr>
          <w:lang w:val="en-GB"/>
        </w:rPr>
        <w:tab/>
        <w:t xml:space="preserve">a secondary allocation to the amateur service could be made in </w:t>
      </w:r>
      <w:r>
        <w:rPr>
          <w:lang w:val="en-GB"/>
        </w:rPr>
        <w:t xml:space="preserve">some parts of </w:t>
      </w:r>
      <w:r w:rsidRPr="00B034B4">
        <w:rPr>
          <w:lang w:val="en-GB"/>
        </w:rPr>
        <w:t>the frequency band 5 275–5 450 kHz</w:t>
      </w:r>
      <w:r>
        <w:rPr>
          <w:lang w:val="en-GB"/>
        </w:rPr>
        <w:t>;</w:t>
      </w:r>
    </w:p>
    <w:p w:rsidR="00740FA3" w:rsidRPr="00B034B4" w:rsidRDefault="00740FA3" w:rsidP="00740FA3">
      <w:pPr>
        <w:tabs>
          <w:tab w:val="left" w:pos="600"/>
        </w:tabs>
        <w:spacing w:after="120"/>
        <w:ind w:left="600" w:hanging="600"/>
        <w:jc w:val="both"/>
        <w:rPr>
          <w:lang w:val="en-GB"/>
        </w:rPr>
      </w:pPr>
      <w:r w:rsidRPr="00B034B4">
        <w:rPr>
          <w:lang w:val="en-GB"/>
        </w:rPr>
        <w:t>–</w:t>
      </w:r>
      <w:r w:rsidRPr="00B034B4">
        <w:rPr>
          <w:lang w:val="en-GB"/>
        </w:rPr>
        <w:tab/>
      </w:r>
      <w:r>
        <w:rPr>
          <w:lang w:val="en-GB"/>
        </w:rPr>
        <w:t xml:space="preserve">to ensure protection </w:t>
      </w:r>
      <w:r>
        <w:rPr>
          <w:rFonts w:eastAsiaTheme="minorEastAsia" w:hint="eastAsia"/>
          <w:lang w:val="en-GB" w:eastAsia="ko-KR"/>
        </w:rPr>
        <w:t>of</w:t>
      </w:r>
      <w:r>
        <w:rPr>
          <w:lang w:val="en-GB"/>
        </w:rPr>
        <w:t xml:space="preserve"> existing primary services, </w:t>
      </w:r>
      <w:r>
        <w:rPr>
          <w:rFonts w:eastAsiaTheme="minorEastAsia" w:hint="eastAsia"/>
          <w:lang w:val="en-GB" w:eastAsia="ko-KR"/>
        </w:rPr>
        <w:t xml:space="preserve">certain </w:t>
      </w:r>
      <w:r w:rsidRPr="008A516D">
        <w:rPr>
          <w:lang w:val="en-GB"/>
        </w:rPr>
        <w:t xml:space="preserve">operational constraints on the amateur stations </w:t>
      </w:r>
      <w:r>
        <w:rPr>
          <w:lang w:val="en-GB"/>
        </w:rPr>
        <w:t xml:space="preserve">should be considered, such as </w:t>
      </w:r>
      <w:r>
        <w:rPr>
          <w:rFonts w:eastAsiaTheme="minorEastAsia" w:hint="eastAsia"/>
          <w:lang w:val="en-GB" w:eastAsia="ko-KR"/>
        </w:rPr>
        <w:t xml:space="preserve">e.g., </w:t>
      </w:r>
      <w:r>
        <w:rPr>
          <w:lang w:val="en-GB"/>
        </w:rPr>
        <w:t xml:space="preserve">amateur stations shall not exceed certain maximum </w:t>
      </w:r>
      <w:r w:rsidRPr="008A516D">
        <w:rPr>
          <w:lang w:val="en-GB"/>
        </w:rPr>
        <w:t xml:space="preserve">equivalent isotropically radiated power (e.i.r.p.) </w:t>
      </w:r>
      <w:r>
        <w:rPr>
          <w:lang w:val="en-GB"/>
        </w:rPr>
        <w:t>and shall not initiate transmissions before confirming the expected operating channels in the frequency band 5 275-5 450 kHz is not occupied by existing primary services</w:t>
      </w:r>
      <w:r w:rsidRPr="00B034B4">
        <w:rPr>
          <w:lang w:val="en-GB"/>
        </w:rPr>
        <w:t>.</w:t>
      </w:r>
    </w:p>
    <w:p w:rsidR="00D36655" w:rsidRPr="00740FA3" w:rsidRDefault="00740FA3" w:rsidP="00740FA3">
      <w:pPr>
        <w:tabs>
          <w:tab w:val="left" w:pos="600"/>
        </w:tabs>
        <w:spacing w:after="120"/>
        <w:ind w:left="600" w:hanging="600"/>
        <w:jc w:val="both"/>
        <w:rPr>
          <w:rFonts w:eastAsiaTheme="minorEastAsia"/>
          <w:lang w:val="en-GB" w:eastAsia="ko-KR"/>
        </w:rPr>
      </w:pPr>
      <w:r>
        <w:rPr>
          <w:lang w:val="en-GB"/>
        </w:rPr>
        <w:t xml:space="preserve">Some </w:t>
      </w:r>
      <w:r>
        <w:t>APT Members</w:t>
      </w:r>
      <w:r>
        <w:rPr>
          <w:lang w:val="en-GB"/>
        </w:rPr>
        <w:t xml:space="preserve"> prefer method B.</w:t>
      </w:r>
    </w:p>
    <w:p w:rsidR="00D36655" w:rsidRDefault="00D36655" w:rsidP="00C357AD">
      <w:pPr>
        <w:jc w:val="both"/>
        <w:rPr>
          <w:b/>
        </w:rPr>
      </w:pPr>
    </w:p>
    <w:p w:rsidR="006A02CF" w:rsidRPr="000A5418" w:rsidRDefault="00D36655" w:rsidP="00C357AD">
      <w:pPr>
        <w:jc w:val="both"/>
        <w:rPr>
          <w:b/>
        </w:rPr>
      </w:pPr>
      <w:r>
        <w:rPr>
          <w:b/>
        </w:rPr>
        <w:t>Issues for Consideration at APG</w:t>
      </w:r>
      <w:r w:rsidR="007B00DD">
        <w:rPr>
          <w:b/>
        </w:rPr>
        <w:t>1</w:t>
      </w:r>
      <w:r w:rsidR="00D05805">
        <w:rPr>
          <w:b/>
        </w:rPr>
        <w:t>5-5</w:t>
      </w:r>
      <w:r>
        <w:rPr>
          <w:b/>
        </w:rPr>
        <w:t xml:space="preserve"> Meeting:</w:t>
      </w:r>
      <w:r w:rsidR="006A02CF">
        <w:rPr>
          <w:b/>
        </w:rPr>
        <w:t xml:space="preserve">  </w:t>
      </w:r>
    </w:p>
    <w:p w:rsidR="00740FA3" w:rsidRDefault="00740FA3" w:rsidP="00684977">
      <w:pPr>
        <w:spacing w:beforeLines="50" w:before="120" w:afterLines="50" w:after="120"/>
        <w:jc w:val="both"/>
      </w:pPr>
      <w:r w:rsidRPr="00236C60">
        <w:t xml:space="preserve">It is recognized that more </w:t>
      </w:r>
      <w:r>
        <w:t>studies are</w:t>
      </w:r>
      <w:r w:rsidRPr="00236C60">
        <w:t xml:space="preserve"> required to determine the </w:t>
      </w:r>
      <w:r>
        <w:t xml:space="preserve">best method </w:t>
      </w:r>
      <w:r w:rsidRPr="00236C60">
        <w:t>and to ensure that appropriate protection is given to the existing services.</w:t>
      </w:r>
    </w:p>
    <w:p w:rsidR="00740FA3" w:rsidRPr="00236C60" w:rsidRDefault="00740FA3" w:rsidP="00684977">
      <w:pPr>
        <w:spacing w:beforeLines="50" w:before="120" w:afterLines="50" w:after="120"/>
        <w:jc w:val="both"/>
      </w:pPr>
      <w:r>
        <w:t>APT members are encouraged to consider measures to protect incumbent services to make secondary allocation to amateur service.</w:t>
      </w:r>
    </w:p>
    <w:p w:rsidR="00740FA3" w:rsidRDefault="00740FA3" w:rsidP="00684977">
      <w:pPr>
        <w:spacing w:beforeLines="50" w:before="120"/>
        <w:jc w:val="both"/>
      </w:pPr>
      <w:r w:rsidRPr="00236C60">
        <w:lastRenderedPageBreak/>
        <w:t>A</w:t>
      </w:r>
      <w:r>
        <w:rPr>
          <w:rFonts w:eastAsia="SimSun" w:hint="eastAsia"/>
          <w:lang w:eastAsia="zh-CN"/>
        </w:rPr>
        <w:t xml:space="preserve">PT </w:t>
      </w:r>
      <w:r>
        <w:rPr>
          <w:rFonts w:eastAsia="SimSun"/>
          <w:lang w:eastAsia="zh-CN"/>
        </w:rPr>
        <w:t>M</w:t>
      </w:r>
      <w:r w:rsidRPr="00236C60">
        <w:rPr>
          <w:rFonts w:eastAsia="SimSun" w:hint="eastAsia"/>
          <w:lang w:eastAsia="zh-CN"/>
        </w:rPr>
        <w:t>embers</w:t>
      </w:r>
      <w:r w:rsidRPr="00236C60">
        <w:t xml:space="preserve"> are invited to </w:t>
      </w:r>
      <w:r>
        <w:t xml:space="preserve">submit </w:t>
      </w:r>
      <w:r w:rsidRPr="00236C60">
        <w:t xml:space="preserve">their contributions for </w:t>
      </w:r>
      <w:r w:rsidRPr="00236C60">
        <w:rPr>
          <w:rFonts w:eastAsia="SimSun" w:hint="eastAsia"/>
          <w:lang w:eastAsia="zh-CN"/>
        </w:rPr>
        <w:t xml:space="preserve">further </w:t>
      </w:r>
      <w:r w:rsidRPr="00236C60">
        <w:t>c</w:t>
      </w:r>
      <w:r w:rsidRPr="00FE5231">
        <w:t xml:space="preserve">onsideration </w:t>
      </w:r>
      <w:r w:rsidRPr="002941D6">
        <w:rPr>
          <w:rFonts w:eastAsia="SimSun" w:hint="eastAsia"/>
          <w:lang w:eastAsia="zh-CN"/>
        </w:rPr>
        <w:t>in</w:t>
      </w:r>
      <w:r w:rsidRPr="00FE5231">
        <w:rPr>
          <w:rFonts w:eastAsia="SimSun"/>
          <w:lang w:eastAsia="zh-CN"/>
        </w:rPr>
        <w:t xml:space="preserve"> APG15</w:t>
      </w:r>
      <w:r w:rsidRPr="00E14272">
        <w:rPr>
          <w:rFonts w:eastAsia="SimSun"/>
          <w:lang w:eastAsia="zh-CN"/>
        </w:rPr>
        <w:t>-5</w:t>
      </w:r>
      <w:r w:rsidRPr="00FE5231">
        <w:rPr>
          <w:rFonts w:eastAsia="SimSun"/>
          <w:lang w:eastAsia="zh-CN"/>
        </w:rPr>
        <w:t xml:space="preserve"> meeting</w:t>
      </w:r>
      <w:r w:rsidRPr="00FE5231">
        <w:t>.</w:t>
      </w:r>
    </w:p>
    <w:p w:rsidR="00BA72FF" w:rsidRDefault="00BA72FF" w:rsidP="00C357AD">
      <w:pPr>
        <w:jc w:val="both"/>
      </w:pPr>
    </w:p>
    <w:p w:rsidR="00BA72FF" w:rsidRDefault="00BA72FF" w:rsidP="009A4A6D">
      <w:pPr>
        <w:jc w:val="center"/>
      </w:pPr>
      <w:r>
        <w:t>__________</w:t>
      </w:r>
    </w:p>
    <w:p w:rsidR="00BA72FF" w:rsidRDefault="00BA72FF" w:rsidP="009A4A6D">
      <w:pPr>
        <w:jc w:val="center"/>
      </w:pPr>
    </w:p>
    <w:p w:rsidR="00BA72FF" w:rsidRPr="009A4A6D" w:rsidRDefault="00BA72FF" w:rsidP="009A4A6D">
      <w:pPr>
        <w:jc w:val="center"/>
        <w:rPr>
          <w:snapToGrid w:val="0"/>
        </w:rPr>
      </w:pPr>
      <w:bookmarkStart w:id="0" w:name="_GoBack"/>
      <w:bookmarkEnd w:id="0"/>
    </w:p>
    <w:sectPr w:rsidR="00BA72FF" w:rsidRPr="009A4A6D" w:rsidSect="00DB0A68">
      <w:headerReference w:type="default" r:id="rId9"/>
      <w:footerReference w:type="even" r:id="rId10"/>
      <w:footerReference w:type="default" r:id="rId11"/>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94" w:rsidRDefault="008F3194">
      <w:r>
        <w:separator/>
      </w:r>
    </w:p>
  </w:endnote>
  <w:endnote w:type="continuationSeparator" w:id="0">
    <w:p w:rsidR="008F3194" w:rsidRDefault="008F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Che">
    <w:altName w:val="Times New Roman"/>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0704CA"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0704CA" w:rsidRPr="002C7EA9">
      <w:rPr>
        <w:rStyle w:val="PageNumber"/>
      </w:rPr>
      <w:fldChar w:fldCharType="begin"/>
    </w:r>
    <w:r w:rsidRPr="002C7EA9">
      <w:rPr>
        <w:rStyle w:val="PageNumber"/>
      </w:rPr>
      <w:instrText xml:space="preserve"> PAGE </w:instrText>
    </w:r>
    <w:r w:rsidR="000704CA" w:rsidRPr="002C7EA9">
      <w:rPr>
        <w:rStyle w:val="PageNumber"/>
      </w:rPr>
      <w:fldChar w:fldCharType="separate"/>
    </w:r>
    <w:r w:rsidR="00872AD8">
      <w:rPr>
        <w:rStyle w:val="PageNumber"/>
        <w:noProof/>
      </w:rPr>
      <w:t>2</w:t>
    </w:r>
    <w:r w:rsidR="000704CA" w:rsidRPr="002C7EA9">
      <w:rPr>
        <w:rStyle w:val="PageNumber"/>
      </w:rPr>
      <w:fldChar w:fldCharType="end"/>
    </w:r>
    <w:r w:rsidRPr="002C7EA9">
      <w:rPr>
        <w:rStyle w:val="PageNumber"/>
      </w:rPr>
      <w:t xml:space="preserve"> of </w:t>
    </w:r>
    <w:r w:rsidR="000704CA" w:rsidRPr="002C7EA9">
      <w:rPr>
        <w:rStyle w:val="PageNumber"/>
      </w:rPr>
      <w:fldChar w:fldCharType="begin"/>
    </w:r>
    <w:r w:rsidRPr="002C7EA9">
      <w:rPr>
        <w:rStyle w:val="PageNumber"/>
      </w:rPr>
      <w:instrText xml:space="preserve"> NUMPAGES </w:instrText>
    </w:r>
    <w:r w:rsidR="000704CA" w:rsidRPr="002C7EA9">
      <w:rPr>
        <w:rStyle w:val="PageNumber"/>
      </w:rPr>
      <w:fldChar w:fldCharType="separate"/>
    </w:r>
    <w:r w:rsidR="00872AD8">
      <w:rPr>
        <w:rStyle w:val="PageNumber"/>
        <w:noProof/>
      </w:rPr>
      <w:t>2</w:t>
    </w:r>
    <w:r w:rsidR="000704CA"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94" w:rsidRDefault="008F3194">
      <w:r>
        <w:separator/>
      </w:r>
    </w:p>
  </w:footnote>
  <w:footnote w:type="continuationSeparator" w:id="0">
    <w:p w:rsidR="008F3194" w:rsidRDefault="008F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872AD8">
      <w:rPr>
        <w:lang w:eastAsia="ko-KR"/>
      </w:rPr>
      <w:t>APG PV AI1.4</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7D59"/>
    <w:rsid w:val="0002529D"/>
    <w:rsid w:val="0003595B"/>
    <w:rsid w:val="00036EBF"/>
    <w:rsid w:val="00044A11"/>
    <w:rsid w:val="000704CA"/>
    <w:rsid w:val="000713CF"/>
    <w:rsid w:val="000756AE"/>
    <w:rsid w:val="000806D7"/>
    <w:rsid w:val="000A5418"/>
    <w:rsid w:val="000F517C"/>
    <w:rsid w:val="000F5540"/>
    <w:rsid w:val="0011547B"/>
    <w:rsid w:val="001539DD"/>
    <w:rsid w:val="00196568"/>
    <w:rsid w:val="001A2167"/>
    <w:rsid w:val="001A2CF1"/>
    <w:rsid w:val="001A2F16"/>
    <w:rsid w:val="001B18C2"/>
    <w:rsid w:val="001D5D7E"/>
    <w:rsid w:val="00254A1B"/>
    <w:rsid w:val="0028454D"/>
    <w:rsid w:val="00291C9E"/>
    <w:rsid w:val="002926D4"/>
    <w:rsid w:val="00295D9B"/>
    <w:rsid w:val="002A14B9"/>
    <w:rsid w:val="002C07DA"/>
    <w:rsid w:val="002C36D3"/>
    <w:rsid w:val="002C7EA9"/>
    <w:rsid w:val="003209E0"/>
    <w:rsid w:val="00342F20"/>
    <w:rsid w:val="003809C7"/>
    <w:rsid w:val="003935AC"/>
    <w:rsid w:val="003B6263"/>
    <w:rsid w:val="003C64A7"/>
    <w:rsid w:val="003D3FDA"/>
    <w:rsid w:val="00420822"/>
    <w:rsid w:val="0045458F"/>
    <w:rsid w:val="004633B4"/>
    <w:rsid w:val="00473941"/>
    <w:rsid w:val="004B3553"/>
    <w:rsid w:val="004D2F2A"/>
    <w:rsid w:val="00530E8C"/>
    <w:rsid w:val="00532D8B"/>
    <w:rsid w:val="00545933"/>
    <w:rsid w:val="00557544"/>
    <w:rsid w:val="00572E9C"/>
    <w:rsid w:val="00587875"/>
    <w:rsid w:val="005D23EF"/>
    <w:rsid w:val="00607E2B"/>
    <w:rsid w:val="00623CE1"/>
    <w:rsid w:val="0063062B"/>
    <w:rsid w:val="00667229"/>
    <w:rsid w:val="00682BE5"/>
    <w:rsid w:val="00684977"/>
    <w:rsid w:val="00690FED"/>
    <w:rsid w:val="006939A5"/>
    <w:rsid w:val="006A02CF"/>
    <w:rsid w:val="006A4000"/>
    <w:rsid w:val="006C373C"/>
    <w:rsid w:val="00712451"/>
    <w:rsid w:val="00732F08"/>
    <w:rsid w:val="00740FA3"/>
    <w:rsid w:val="0074190C"/>
    <w:rsid w:val="00762576"/>
    <w:rsid w:val="00791060"/>
    <w:rsid w:val="007A4069"/>
    <w:rsid w:val="007A507E"/>
    <w:rsid w:val="007B00DD"/>
    <w:rsid w:val="007B5626"/>
    <w:rsid w:val="0080570B"/>
    <w:rsid w:val="008148E1"/>
    <w:rsid w:val="008319BF"/>
    <w:rsid w:val="00872AD8"/>
    <w:rsid w:val="008D0E09"/>
    <w:rsid w:val="008F3194"/>
    <w:rsid w:val="0097693B"/>
    <w:rsid w:val="00993355"/>
    <w:rsid w:val="009A4A6D"/>
    <w:rsid w:val="009D186F"/>
    <w:rsid w:val="00A13265"/>
    <w:rsid w:val="00A30D7E"/>
    <w:rsid w:val="00A643D6"/>
    <w:rsid w:val="00A71136"/>
    <w:rsid w:val="00AA474C"/>
    <w:rsid w:val="00AB4C6A"/>
    <w:rsid w:val="00AD7E5F"/>
    <w:rsid w:val="00B01AA1"/>
    <w:rsid w:val="00B30C81"/>
    <w:rsid w:val="00B4793B"/>
    <w:rsid w:val="00BA72FF"/>
    <w:rsid w:val="00BB2DD9"/>
    <w:rsid w:val="00C15633"/>
    <w:rsid w:val="00C15799"/>
    <w:rsid w:val="00C357AD"/>
    <w:rsid w:val="00C6069C"/>
    <w:rsid w:val="00CB0CC2"/>
    <w:rsid w:val="00CD5431"/>
    <w:rsid w:val="00CF2491"/>
    <w:rsid w:val="00D05805"/>
    <w:rsid w:val="00D1252E"/>
    <w:rsid w:val="00D13B41"/>
    <w:rsid w:val="00D36655"/>
    <w:rsid w:val="00D57772"/>
    <w:rsid w:val="00D75A4D"/>
    <w:rsid w:val="00D8478B"/>
    <w:rsid w:val="00D86151"/>
    <w:rsid w:val="00DA13F6"/>
    <w:rsid w:val="00DA7595"/>
    <w:rsid w:val="00DB0A68"/>
    <w:rsid w:val="00DB288A"/>
    <w:rsid w:val="00DB6C75"/>
    <w:rsid w:val="00DC43A3"/>
    <w:rsid w:val="00DD7C09"/>
    <w:rsid w:val="00E0124F"/>
    <w:rsid w:val="00E020F7"/>
    <w:rsid w:val="00E674D3"/>
    <w:rsid w:val="00E70FD0"/>
    <w:rsid w:val="00E84D4E"/>
    <w:rsid w:val="00F84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F6967-14DD-4DCC-A2C6-33B58127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enumlev1">
    <w:name w:val="enumlev1"/>
    <w:basedOn w:val="Normal"/>
    <w:link w:val="enumlev1Char"/>
    <w:rsid w:val="00740FA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740FA3"/>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2015-02-13T07:32:00Z</dcterms:created>
  <dcterms:modified xsi:type="dcterms:W3CDTF">2015-04-08T07:24:00Z</dcterms:modified>
</cp:coreProperties>
</file>