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40" w:type="dxa"/>
        <w:tblInd w:w="-261" w:type="dxa"/>
        <w:tblBorders>
          <w:bottom w:val="single" w:sz="4" w:space="0" w:color="auto"/>
        </w:tblBorders>
        <w:tblLayout w:type="fixed"/>
        <w:tblCellMar>
          <w:left w:w="99" w:type="dxa"/>
          <w:right w:w="99" w:type="dxa"/>
        </w:tblCellMar>
        <w:tblLook w:val="0000" w:firstRow="0" w:lastRow="0" w:firstColumn="0" w:lastColumn="0" w:noHBand="0" w:noVBand="0"/>
      </w:tblPr>
      <w:tblGrid>
        <w:gridCol w:w="1530"/>
        <w:gridCol w:w="4660"/>
        <w:gridCol w:w="1550"/>
        <w:gridCol w:w="2340"/>
        <w:gridCol w:w="770"/>
        <w:gridCol w:w="1661"/>
        <w:gridCol w:w="2229"/>
      </w:tblGrid>
      <w:tr w:rsidR="0061666B" w:rsidRPr="00891D0B" w14:paraId="0FF8EBA6" w14:textId="77777777" w:rsidTr="0061666B">
        <w:trPr>
          <w:cantSplit/>
        </w:trPr>
        <w:tc>
          <w:tcPr>
            <w:tcW w:w="1530" w:type="dxa"/>
            <w:vMerge w:val="restart"/>
            <w:tcBorders>
              <w:top w:val="nil"/>
              <w:left w:val="nil"/>
              <w:bottom w:val="nil"/>
              <w:right w:val="nil"/>
            </w:tcBorders>
          </w:tcPr>
          <w:p w14:paraId="55DF7DCA" w14:textId="77777777" w:rsidR="0061666B" w:rsidRPr="00891D0B" w:rsidRDefault="0061666B" w:rsidP="006A4000">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AE362EA" wp14:editId="40566BBF">
                  <wp:extent cx="763270" cy="668020"/>
                  <wp:effectExtent l="0" t="0" r="0" b="0"/>
                  <wp:docPr id="1" name="Picture 1" descr="small AP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APTlogogre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270" cy="668020"/>
                          </a:xfrm>
                          <a:prstGeom prst="rect">
                            <a:avLst/>
                          </a:prstGeom>
                          <a:noFill/>
                          <a:ln>
                            <a:noFill/>
                          </a:ln>
                        </pic:spPr>
                      </pic:pic>
                    </a:graphicData>
                  </a:graphic>
                </wp:inline>
              </w:drawing>
            </w:r>
          </w:p>
        </w:tc>
        <w:tc>
          <w:tcPr>
            <w:tcW w:w="4660" w:type="dxa"/>
            <w:tcBorders>
              <w:top w:val="nil"/>
              <w:left w:val="nil"/>
              <w:bottom w:val="nil"/>
              <w:right w:val="nil"/>
            </w:tcBorders>
          </w:tcPr>
          <w:p w14:paraId="6E023A3F" w14:textId="5BD31C0A" w:rsidR="0061666B" w:rsidRPr="00891D0B" w:rsidRDefault="0061666B" w:rsidP="006A4000">
            <w:pPr>
              <w:rPr>
                <w:sz w:val="22"/>
                <w:szCs w:val="22"/>
              </w:rPr>
            </w:pPr>
            <w:r w:rsidRPr="00096326">
              <w:t>ASIA-PACIFIC TELECOMMUNITY</w:t>
            </w:r>
          </w:p>
        </w:tc>
        <w:tc>
          <w:tcPr>
            <w:tcW w:w="4660" w:type="dxa"/>
            <w:gridSpan w:val="3"/>
            <w:tcBorders>
              <w:top w:val="nil"/>
              <w:left w:val="nil"/>
              <w:bottom w:val="nil"/>
              <w:right w:val="nil"/>
            </w:tcBorders>
          </w:tcPr>
          <w:p w14:paraId="79E987EB" w14:textId="12411B1F" w:rsidR="0061666B" w:rsidRPr="0061666B" w:rsidRDefault="0061666B" w:rsidP="0061666B">
            <w:pPr>
              <w:ind w:left="1584"/>
              <w:rPr>
                <w:b/>
                <w:bCs/>
                <w:lang w:val="fr-FR"/>
              </w:rPr>
            </w:pPr>
            <w:r w:rsidRPr="00C15799">
              <w:rPr>
                <w:b/>
                <w:lang w:val="fr-FR"/>
              </w:rPr>
              <w:t>Document</w:t>
            </w:r>
            <w:r>
              <w:rPr>
                <w:b/>
                <w:lang w:val="fr-FR"/>
              </w:rPr>
              <w:t>:</w:t>
            </w:r>
          </w:p>
        </w:tc>
        <w:tc>
          <w:tcPr>
            <w:tcW w:w="1661" w:type="dxa"/>
            <w:tcBorders>
              <w:top w:val="nil"/>
              <w:left w:val="nil"/>
              <w:bottom w:val="nil"/>
              <w:right w:val="nil"/>
            </w:tcBorders>
          </w:tcPr>
          <w:p w14:paraId="0F1044E6" w14:textId="77777777" w:rsidR="0061666B" w:rsidRPr="00891D0B" w:rsidRDefault="0061666B" w:rsidP="006A4000"/>
        </w:tc>
        <w:tc>
          <w:tcPr>
            <w:tcW w:w="2229" w:type="dxa"/>
            <w:tcBorders>
              <w:top w:val="nil"/>
              <w:left w:val="nil"/>
              <w:bottom w:val="nil"/>
            </w:tcBorders>
          </w:tcPr>
          <w:p w14:paraId="7E2FEF36" w14:textId="77777777" w:rsidR="0061666B" w:rsidRPr="00891D0B" w:rsidRDefault="0061666B" w:rsidP="006A4000">
            <w:pPr>
              <w:pStyle w:val="Heading8"/>
              <w:rPr>
                <w:sz w:val="24"/>
                <w:szCs w:val="24"/>
              </w:rPr>
            </w:pPr>
          </w:p>
        </w:tc>
      </w:tr>
      <w:tr w:rsidR="0061666B" w:rsidRPr="00C15799" w14:paraId="09A22022" w14:textId="77777777" w:rsidTr="0061666B">
        <w:trPr>
          <w:gridAfter w:val="3"/>
          <w:wAfter w:w="4660" w:type="dxa"/>
          <w:cantSplit/>
        </w:trPr>
        <w:tc>
          <w:tcPr>
            <w:tcW w:w="1530" w:type="dxa"/>
            <w:vMerge/>
            <w:tcBorders>
              <w:top w:val="nil"/>
              <w:left w:val="nil"/>
              <w:bottom w:val="nil"/>
              <w:right w:val="nil"/>
            </w:tcBorders>
          </w:tcPr>
          <w:p w14:paraId="5B74EAB0" w14:textId="77777777" w:rsidR="0061666B" w:rsidRPr="00891D0B" w:rsidRDefault="0061666B" w:rsidP="006A4000"/>
        </w:tc>
        <w:tc>
          <w:tcPr>
            <w:tcW w:w="6210" w:type="dxa"/>
            <w:gridSpan w:val="2"/>
            <w:tcBorders>
              <w:top w:val="nil"/>
              <w:left w:val="nil"/>
              <w:bottom w:val="nil"/>
              <w:right w:val="nil"/>
            </w:tcBorders>
          </w:tcPr>
          <w:p w14:paraId="1135BF0A" w14:textId="4CE786F8" w:rsidR="0061666B" w:rsidRDefault="0061666B" w:rsidP="006A4000">
            <w:pPr>
              <w:spacing w:line="0" w:lineRule="atLeast"/>
              <w:rPr>
                <w:b/>
              </w:rPr>
            </w:pPr>
            <w:r>
              <w:rPr>
                <w:b/>
              </w:rPr>
              <w:t>The 2nd Meeting of the APT Conference Preparatory  Group for WRC-19 (APG19-2)</w:t>
            </w:r>
          </w:p>
        </w:tc>
        <w:tc>
          <w:tcPr>
            <w:tcW w:w="2340" w:type="dxa"/>
            <w:tcBorders>
              <w:top w:val="nil"/>
              <w:left w:val="nil"/>
              <w:bottom w:val="nil"/>
              <w:right w:val="nil"/>
            </w:tcBorders>
          </w:tcPr>
          <w:p w14:paraId="13C8639C" w14:textId="10363CEB" w:rsidR="0061666B" w:rsidRPr="00C15799" w:rsidRDefault="0061666B" w:rsidP="00986E7C">
            <w:pPr>
              <w:rPr>
                <w:b/>
                <w:bCs/>
                <w:lang w:val="fr-FR"/>
              </w:rPr>
            </w:pPr>
            <w:r>
              <w:rPr>
                <w:b/>
                <w:bCs/>
                <w:lang w:val="fr-FR"/>
              </w:rPr>
              <w:t>APG1</w:t>
            </w:r>
            <w:r w:rsidR="00345E51">
              <w:rPr>
                <w:b/>
                <w:bCs/>
                <w:lang w:val="fr-FR"/>
              </w:rPr>
              <w:t>9</w:t>
            </w:r>
            <w:r>
              <w:rPr>
                <w:b/>
                <w:bCs/>
                <w:lang w:val="fr-FR"/>
              </w:rPr>
              <w:t>-2/</w:t>
            </w:r>
            <w:r w:rsidR="00986E7C">
              <w:rPr>
                <w:b/>
                <w:bCs/>
                <w:lang w:val="fr-FR"/>
              </w:rPr>
              <w:t>OUT</w:t>
            </w:r>
            <w:r>
              <w:rPr>
                <w:b/>
                <w:bCs/>
                <w:lang w:val="fr-FR"/>
              </w:rPr>
              <w:t>-</w:t>
            </w:r>
            <w:r w:rsidR="00F43124">
              <w:rPr>
                <w:b/>
                <w:bCs/>
                <w:lang w:val="fr-FR"/>
              </w:rPr>
              <w:t>27</w:t>
            </w:r>
          </w:p>
        </w:tc>
      </w:tr>
      <w:tr w:rsidR="0061666B" w:rsidRPr="00891D0B" w14:paraId="32095921" w14:textId="77777777" w:rsidTr="0061666B">
        <w:trPr>
          <w:gridAfter w:val="3"/>
          <w:wAfter w:w="4660" w:type="dxa"/>
          <w:cantSplit/>
          <w:trHeight w:val="219"/>
        </w:trPr>
        <w:tc>
          <w:tcPr>
            <w:tcW w:w="1530" w:type="dxa"/>
            <w:vMerge/>
            <w:tcBorders>
              <w:top w:val="nil"/>
              <w:left w:val="nil"/>
              <w:bottom w:val="single" w:sz="12" w:space="0" w:color="auto"/>
              <w:right w:val="nil"/>
            </w:tcBorders>
          </w:tcPr>
          <w:p w14:paraId="2BB769C5" w14:textId="77777777" w:rsidR="0061666B" w:rsidRPr="00C15799" w:rsidRDefault="0061666B" w:rsidP="006A4000">
            <w:pPr>
              <w:rPr>
                <w:lang w:val="fr-FR"/>
              </w:rPr>
            </w:pPr>
          </w:p>
        </w:tc>
        <w:tc>
          <w:tcPr>
            <w:tcW w:w="6210" w:type="dxa"/>
            <w:gridSpan w:val="2"/>
            <w:tcBorders>
              <w:top w:val="nil"/>
              <w:left w:val="nil"/>
              <w:bottom w:val="single" w:sz="12" w:space="0" w:color="auto"/>
              <w:right w:val="nil"/>
            </w:tcBorders>
          </w:tcPr>
          <w:p w14:paraId="3ED60CC4" w14:textId="6931C20A" w:rsidR="0061666B" w:rsidRDefault="0061666B" w:rsidP="006A4000">
            <w:r>
              <w:t>17 – 21 July 2017</w:t>
            </w:r>
            <w:r w:rsidRPr="00891D0B">
              <w:t xml:space="preserve">, </w:t>
            </w:r>
            <w:r>
              <w:t>Bali, Republic of Indonesia</w:t>
            </w:r>
          </w:p>
        </w:tc>
        <w:tc>
          <w:tcPr>
            <w:tcW w:w="2340" w:type="dxa"/>
            <w:tcBorders>
              <w:top w:val="nil"/>
              <w:left w:val="nil"/>
              <w:bottom w:val="single" w:sz="12" w:space="0" w:color="auto"/>
              <w:right w:val="nil"/>
            </w:tcBorders>
          </w:tcPr>
          <w:p w14:paraId="520F5A55" w14:textId="2FB16565" w:rsidR="0061666B" w:rsidRPr="00712451" w:rsidRDefault="00986E7C" w:rsidP="00F63900">
            <w:pPr>
              <w:rPr>
                <w:b/>
              </w:rPr>
            </w:pPr>
            <w:r>
              <w:rPr>
                <w:b/>
              </w:rPr>
              <w:t>21</w:t>
            </w:r>
            <w:r w:rsidR="0061666B">
              <w:rPr>
                <w:b/>
              </w:rPr>
              <w:t xml:space="preserve"> July 2017</w:t>
            </w:r>
          </w:p>
        </w:tc>
      </w:tr>
    </w:tbl>
    <w:p w14:paraId="2BAD1032" w14:textId="77777777" w:rsidR="00DA7595" w:rsidRDefault="00DA7595" w:rsidP="00DA7595">
      <w:pPr>
        <w:rPr>
          <w:lang w:eastAsia="ko-KR"/>
        </w:rPr>
      </w:pPr>
    </w:p>
    <w:p w14:paraId="29531366" w14:textId="77777777" w:rsidR="00D13B41" w:rsidRPr="008219DD" w:rsidRDefault="00D13B41" w:rsidP="00DA7595">
      <w:pPr>
        <w:jc w:val="center"/>
        <w:rPr>
          <w:sz w:val="28"/>
          <w:szCs w:val="28"/>
          <w:lang w:eastAsia="ko-KR"/>
        </w:rPr>
      </w:pPr>
    </w:p>
    <w:p w14:paraId="3203DBA3" w14:textId="5C8808F4" w:rsidR="00986E7C" w:rsidRPr="008219DD" w:rsidRDefault="00F43124" w:rsidP="008219DD">
      <w:pPr>
        <w:spacing w:after="120"/>
        <w:jc w:val="center"/>
        <w:rPr>
          <w:bCs/>
          <w:caps/>
        </w:rPr>
      </w:pPr>
      <w:r w:rsidRPr="008219DD">
        <w:rPr>
          <w:bCs/>
        </w:rPr>
        <w:t>Working Party 2</w:t>
      </w:r>
    </w:p>
    <w:p w14:paraId="02C0A21C" w14:textId="03A48933" w:rsidR="00986E7C" w:rsidRDefault="00D1252E" w:rsidP="008219DD">
      <w:pPr>
        <w:spacing w:after="120"/>
        <w:jc w:val="center"/>
        <w:rPr>
          <w:b/>
          <w:bCs/>
          <w:caps/>
        </w:rPr>
      </w:pPr>
      <w:r w:rsidRPr="004B5880">
        <w:rPr>
          <w:b/>
          <w:bCs/>
          <w:caps/>
        </w:rPr>
        <w:t>preliminary v</w:t>
      </w:r>
      <w:r w:rsidR="001C610F" w:rsidRPr="004B5880">
        <w:rPr>
          <w:b/>
          <w:bCs/>
          <w:caps/>
        </w:rPr>
        <w:t>iews on WRC-1</w:t>
      </w:r>
      <w:r w:rsidR="00974576" w:rsidRPr="004B5880">
        <w:rPr>
          <w:b/>
          <w:bCs/>
          <w:caps/>
        </w:rPr>
        <w:t>9</w:t>
      </w:r>
      <w:r w:rsidR="007A507E" w:rsidRPr="004B5880">
        <w:rPr>
          <w:b/>
          <w:bCs/>
          <w:caps/>
        </w:rPr>
        <w:t xml:space="preserve"> agenda item </w:t>
      </w:r>
      <w:r w:rsidR="001E3485" w:rsidRPr="004B5880">
        <w:rPr>
          <w:b/>
          <w:bCs/>
          <w:caps/>
        </w:rPr>
        <w:t xml:space="preserve">9.1 </w:t>
      </w:r>
      <w:r w:rsidR="00986E7C">
        <w:rPr>
          <w:b/>
          <w:bCs/>
          <w:caps/>
        </w:rPr>
        <w:t>(Issue 9.1.8)</w:t>
      </w:r>
    </w:p>
    <w:p w14:paraId="2AB89D4B" w14:textId="77777777" w:rsidR="00986E7C" w:rsidRDefault="00986E7C" w:rsidP="00986E7C">
      <w:pPr>
        <w:jc w:val="center"/>
        <w:rPr>
          <w:b/>
          <w:bCs/>
          <w:caps/>
        </w:rPr>
      </w:pPr>
    </w:p>
    <w:p w14:paraId="2945F646" w14:textId="3C673A4C" w:rsidR="00C357AD" w:rsidRDefault="00986E7C" w:rsidP="00986E7C">
      <w:pPr>
        <w:jc w:val="center"/>
        <w:rPr>
          <w:b/>
        </w:rPr>
      </w:pPr>
      <w:r w:rsidRPr="004B5880">
        <w:rPr>
          <w:b/>
          <w:bCs/>
          <w:caps/>
        </w:rPr>
        <w:t xml:space="preserve"> </w:t>
      </w:r>
    </w:p>
    <w:p w14:paraId="7C05B15E" w14:textId="5F345537" w:rsidR="008319BF" w:rsidRDefault="00EF7BC1" w:rsidP="00C357AD">
      <w:pPr>
        <w:jc w:val="both"/>
      </w:pPr>
      <w:r>
        <w:rPr>
          <w:b/>
        </w:rPr>
        <w:t xml:space="preserve">Agenda Item </w:t>
      </w:r>
      <w:r>
        <w:rPr>
          <w:rFonts w:hint="eastAsia"/>
          <w:b/>
          <w:lang w:eastAsia="ko-KR"/>
        </w:rPr>
        <w:t>9</w:t>
      </w:r>
      <w:r>
        <w:rPr>
          <w:b/>
        </w:rPr>
        <w:t>.1</w:t>
      </w:r>
      <w:r>
        <w:rPr>
          <w:rFonts w:hint="eastAsia"/>
          <w:b/>
          <w:lang w:eastAsia="ko-KR"/>
        </w:rPr>
        <w:t xml:space="preserve"> </w:t>
      </w:r>
      <w:r w:rsidR="00C04FA3">
        <w:rPr>
          <w:b/>
        </w:rPr>
        <w:t>Issue</w:t>
      </w:r>
      <w:r w:rsidR="000A5418" w:rsidRPr="00A858A8">
        <w:rPr>
          <w:b/>
        </w:rPr>
        <w:t xml:space="preserve"> </w:t>
      </w:r>
      <w:r w:rsidR="0061666B" w:rsidRPr="00A858A8">
        <w:rPr>
          <w:rFonts w:eastAsia="MS Mincho"/>
          <w:b/>
          <w:lang w:eastAsia="ja-JP"/>
        </w:rPr>
        <w:t>9.1</w:t>
      </w:r>
      <w:r w:rsidR="00CB4ACB" w:rsidRPr="00A858A8">
        <w:rPr>
          <w:rFonts w:eastAsia="MS Mincho"/>
          <w:b/>
          <w:lang w:eastAsia="ja-JP"/>
        </w:rPr>
        <w:t>.</w:t>
      </w:r>
      <w:r w:rsidR="0061666B" w:rsidRPr="00A858A8">
        <w:rPr>
          <w:rFonts w:eastAsia="MS Mincho"/>
          <w:b/>
          <w:lang w:eastAsia="ja-JP"/>
        </w:rPr>
        <w:t>8</w:t>
      </w:r>
      <w:r w:rsidR="000A5418" w:rsidRPr="00A858A8">
        <w:rPr>
          <w:b/>
        </w:rPr>
        <w:t>:</w:t>
      </w:r>
      <w:r w:rsidR="003B3446">
        <w:rPr>
          <w:b/>
        </w:rPr>
        <w:t xml:space="preserve"> </w:t>
      </w:r>
    </w:p>
    <w:p w14:paraId="6790BE56" w14:textId="4C3D0C5E" w:rsidR="009B046A" w:rsidRPr="00C91556" w:rsidRDefault="00386262" w:rsidP="00386262">
      <w:pPr>
        <w:jc w:val="both"/>
        <w:rPr>
          <w:i/>
          <w:iCs/>
          <w:lang w:val="id-ID"/>
        </w:rPr>
      </w:pPr>
      <w:r w:rsidRPr="00386262">
        <w:rPr>
          <w:i/>
          <w:iCs/>
          <w:lang w:val="id-ID"/>
        </w:rPr>
        <w:t>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Radiocommunication Sector (ITU-R) scope of work</w:t>
      </w:r>
      <w:r w:rsidR="009B046A" w:rsidRPr="00C113B6">
        <w:rPr>
          <w:i/>
        </w:rPr>
        <w:t xml:space="preserve">, in accordance with </w:t>
      </w:r>
      <w:r w:rsidR="009B046A" w:rsidRPr="0085248E">
        <w:rPr>
          <w:i/>
        </w:rPr>
        <w:t>Resolution</w:t>
      </w:r>
      <w:r w:rsidR="009B046A" w:rsidRPr="009B046A">
        <w:rPr>
          <w:i/>
          <w:iCs/>
        </w:rPr>
        <w:t xml:space="preserve"> </w:t>
      </w:r>
      <w:r w:rsidR="009B046A" w:rsidRPr="009B046A">
        <w:rPr>
          <w:b/>
          <w:i/>
          <w:iCs/>
        </w:rPr>
        <w:t>958 (WRC-15)</w:t>
      </w:r>
    </w:p>
    <w:p w14:paraId="304C2326" w14:textId="77777777" w:rsidR="000A5418" w:rsidRDefault="000A5418" w:rsidP="00C357AD">
      <w:pPr>
        <w:jc w:val="both"/>
      </w:pPr>
    </w:p>
    <w:p w14:paraId="2AE96369" w14:textId="02613550" w:rsidR="0084338C" w:rsidRPr="00721EF5" w:rsidRDefault="000A5418" w:rsidP="00721EF5">
      <w:pPr>
        <w:spacing w:after="120"/>
        <w:jc w:val="both"/>
        <w:rPr>
          <w:b/>
          <w:lang w:eastAsia="ko-KR"/>
        </w:rPr>
      </w:pPr>
      <w:r w:rsidRPr="00A30FA5">
        <w:rPr>
          <w:rFonts w:hint="eastAsia"/>
          <w:b/>
          <w:lang w:eastAsia="ko-KR"/>
        </w:rPr>
        <w:t xml:space="preserve">1. </w:t>
      </w:r>
      <w:r w:rsidR="006A02CF">
        <w:rPr>
          <w:b/>
          <w:lang w:eastAsia="ko-KR"/>
        </w:rPr>
        <w:t>Background:</w:t>
      </w:r>
    </w:p>
    <w:p w14:paraId="0BD26498" w14:textId="419AEA32" w:rsidR="0084338C" w:rsidRPr="00F60C50" w:rsidRDefault="0084338C" w:rsidP="0084338C">
      <w:pPr>
        <w:spacing w:afterLines="60" w:after="144"/>
        <w:jc w:val="both"/>
        <w:rPr>
          <w:color w:val="00FF00"/>
          <w:lang w:eastAsia="ko-KR"/>
        </w:rPr>
      </w:pPr>
      <w:r w:rsidRPr="00BA6E4B">
        <w:rPr>
          <w:rFonts w:hint="eastAsia"/>
          <w:lang w:eastAsia="ko-KR"/>
        </w:rPr>
        <w:t xml:space="preserve">Resolution </w:t>
      </w:r>
      <w:r w:rsidRPr="00BA6E4B">
        <w:rPr>
          <w:rFonts w:hint="eastAsia"/>
          <w:b/>
          <w:lang w:eastAsia="ko-KR"/>
        </w:rPr>
        <w:t>958 (WRC-15)</w:t>
      </w:r>
      <w:r w:rsidRPr="00BA6E4B">
        <w:rPr>
          <w:rFonts w:hint="eastAsia"/>
          <w:lang w:eastAsia="ko-KR"/>
        </w:rPr>
        <w:t xml:space="preserve"> calls for </w:t>
      </w:r>
      <w:r w:rsidRPr="00BA6E4B">
        <w:rPr>
          <w:lang w:eastAsia="ko-KR"/>
        </w:rPr>
        <w:t>ITU-R to study technical and operational aspects of radio networks and systems, as well as spectrum needed, including</w:t>
      </w:r>
      <w:r w:rsidRPr="00BA6E4B">
        <w:rPr>
          <w:rFonts w:hint="eastAsia"/>
          <w:lang w:eastAsia="ko-KR"/>
        </w:rPr>
        <w:t xml:space="preserve"> </w:t>
      </w:r>
      <w:r w:rsidRPr="00BA6E4B">
        <w:rPr>
          <w:lang w:eastAsia="ko-KR"/>
        </w:rPr>
        <w:t>possible harmonized use of spectrum for narrowband and broadband machine-type communication (MTC)</w:t>
      </w:r>
      <w:r w:rsidR="00986E7C">
        <w:rPr>
          <w:lang w:eastAsia="ko-KR"/>
        </w:rPr>
        <w:t xml:space="preserve"> </w:t>
      </w:r>
      <w:proofErr w:type="spellStart"/>
      <w:r w:rsidRPr="00BA6E4B">
        <w:rPr>
          <w:lang w:eastAsia="ko-KR"/>
        </w:rPr>
        <w:t>frastructure</w:t>
      </w:r>
      <w:proofErr w:type="spellEnd"/>
      <w:r w:rsidRPr="00BA6E4B">
        <w:rPr>
          <w:lang w:eastAsia="ko-KR"/>
        </w:rPr>
        <w:t xml:space="preserve"> in order to develop Recommendations, Reports and/or Handbooks, as appropriate</w:t>
      </w:r>
      <w:r w:rsidRPr="00BA6E4B">
        <w:rPr>
          <w:rFonts w:hint="eastAsia"/>
          <w:lang w:eastAsia="ko-KR"/>
        </w:rPr>
        <w:t xml:space="preserve">. </w:t>
      </w:r>
      <w:r w:rsidRPr="00BA6E4B">
        <w:rPr>
          <w:rFonts w:hint="eastAsia"/>
          <w:lang w:eastAsia="zh-CN"/>
        </w:rPr>
        <w:t>ITU-R Working Party 5D (WP 5D)</w:t>
      </w:r>
      <w:r w:rsidRPr="00BA6E4B">
        <w:rPr>
          <w:rFonts w:hint="eastAsia"/>
          <w:lang w:eastAsia="ko-KR"/>
        </w:rPr>
        <w:t>,</w:t>
      </w:r>
      <w:r w:rsidRPr="00BA6E4B">
        <w:rPr>
          <w:rFonts w:hint="eastAsia"/>
          <w:lang w:eastAsia="zh-CN"/>
        </w:rPr>
        <w:t xml:space="preserve"> </w:t>
      </w:r>
      <w:r w:rsidRPr="00BA6E4B">
        <w:rPr>
          <w:rFonts w:hint="eastAsia"/>
          <w:lang w:eastAsia="ko-KR"/>
        </w:rPr>
        <w:t xml:space="preserve">which </w:t>
      </w:r>
      <w:r w:rsidRPr="00BA6E4B">
        <w:rPr>
          <w:lang w:eastAsia="zh-CN"/>
        </w:rPr>
        <w:t xml:space="preserve">is responsible group </w:t>
      </w:r>
      <w:r w:rsidRPr="00BA6E4B">
        <w:rPr>
          <w:rFonts w:hint="eastAsia"/>
          <w:lang w:eastAsia="zh-CN"/>
        </w:rPr>
        <w:t>on</w:t>
      </w:r>
      <w:r w:rsidRPr="00BA6E4B">
        <w:rPr>
          <w:lang w:eastAsia="zh-CN"/>
        </w:rPr>
        <w:t xml:space="preserve"> Agenda Item </w:t>
      </w:r>
      <w:r w:rsidRPr="00BA6E4B">
        <w:rPr>
          <w:rFonts w:hint="eastAsia"/>
          <w:lang w:eastAsia="zh-CN"/>
        </w:rPr>
        <w:t>9.1 (Issue 9.1.8)</w:t>
      </w:r>
      <w:r w:rsidRPr="00BA6E4B">
        <w:rPr>
          <w:rFonts w:hint="eastAsia"/>
          <w:lang w:eastAsia="ko-KR"/>
        </w:rPr>
        <w:t xml:space="preserve">, is </w:t>
      </w:r>
      <w:r w:rsidRPr="00BA6E4B">
        <w:rPr>
          <w:rFonts w:hint="eastAsia"/>
          <w:lang w:eastAsia="zh-CN"/>
        </w:rPr>
        <w:t>developing w</w:t>
      </w:r>
      <w:r w:rsidRPr="00BA6E4B">
        <w:rPr>
          <w:lang w:eastAsia="zh-CN"/>
        </w:rPr>
        <w:t>orking document towards a preliminary draft new Report ITU-R M</w:t>
      </w:r>
      <w:proofErr w:type="gramStart"/>
      <w:r w:rsidRPr="00BA6E4B">
        <w:rPr>
          <w:lang w:eastAsia="zh-CN"/>
        </w:rPr>
        <w:t>.[</w:t>
      </w:r>
      <w:proofErr w:type="gramEnd"/>
      <w:r w:rsidRPr="00BA6E4B">
        <w:rPr>
          <w:lang w:eastAsia="zh-CN"/>
        </w:rPr>
        <w:t>IMT. MTC]</w:t>
      </w:r>
      <w:r w:rsidRPr="00BA6E4B">
        <w:rPr>
          <w:rFonts w:hint="eastAsia"/>
          <w:lang w:eastAsia="ko-KR"/>
        </w:rPr>
        <w:t xml:space="preserve"> and the draft CPM texts</w:t>
      </w:r>
      <w:r w:rsidRPr="00AB69E7">
        <w:rPr>
          <w:rFonts w:hint="eastAsia"/>
          <w:lang w:eastAsia="ko-KR"/>
        </w:rPr>
        <w:t xml:space="preserve">. </w:t>
      </w:r>
      <w:r w:rsidR="004334C5" w:rsidRPr="00AB69E7">
        <w:rPr>
          <w:lang w:eastAsia="ko-KR"/>
        </w:rPr>
        <w:t>C</w:t>
      </w:r>
      <w:r w:rsidRPr="00AB69E7">
        <w:rPr>
          <w:lang w:eastAsia="ko-KR"/>
        </w:rPr>
        <w:t>urrent progress</w:t>
      </w:r>
      <w:r w:rsidR="004334C5" w:rsidRPr="00AB69E7">
        <w:rPr>
          <w:rFonts w:hint="eastAsia"/>
          <w:lang w:eastAsia="ko-KR"/>
        </w:rPr>
        <w:t xml:space="preserve"> on</w:t>
      </w:r>
      <w:r w:rsidRPr="00AB69E7">
        <w:rPr>
          <w:lang w:eastAsia="ko-KR"/>
        </w:rPr>
        <w:t xml:space="preserve"> </w:t>
      </w:r>
      <w:r w:rsidR="004334C5" w:rsidRPr="00AB69E7">
        <w:rPr>
          <w:lang w:eastAsia="ko-KR"/>
        </w:rPr>
        <w:t xml:space="preserve">the </w:t>
      </w:r>
      <w:r w:rsidRPr="00AB69E7">
        <w:rPr>
          <w:lang w:eastAsia="ko-KR"/>
        </w:rPr>
        <w:t xml:space="preserve">working document states that </w:t>
      </w:r>
      <w:r w:rsidRPr="00AB69E7">
        <w:rPr>
          <w:lang w:eastAsia="zh-CN"/>
        </w:rPr>
        <w:t xml:space="preserve">the identification of spectrum for mobile communications (voice and data) </w:t>
      </w:r>
      <w:r w:rsidR="004334C5" w:rsidRPr="00AB69E7">
        <w:rPr>
          <w:lang w:eastAsia="zh-CN"/>
        </w:rPr>
        <w:t xml:space="preserve">for narrowband and broadband IMT machine type communications </w:t>
      </w:r>
      <w:r w:rsidRPr="00AB69E7">
        <w:rPr>
          <w:lang w:eastAsia="zh-CN"/>
        </w:rPr>
        <w:t>already guarantees</w:t>
      </w:r>
      <w:r w:rsidRPr="0004742D">
        <w:rPr>
          <w:lang w:eastAsia="zh-CN"/>
        </w:rPr>
        <w:t xml:space="preserve"> quality of service (</w:t>
      </w:r>
      <w:proofErr w:type="spellStart"/>
      <w:r w:rsidRPr="0004742D">
        <w:rPr>
          <w:lang w:eastAsia="zh-CN"/>
        </w:rPr>
        <w:t>QoS</w:t>
      </w:r>
      <w:proofErr w:type="spellEnd"/>
      <w:r w:rsidRPr="0004742D">
        <w:rPr>
          <w:lang w:eastAsia="zh-CN"/>
        </w:rPr>
        <w:t>).</w:t>
      </w:r>
      <w:r>
        <w:rPr>
          <w:lang w:eastAsia="zh-CN"/>
        </w:rPr>
        <w:t xml:space="preserve"> </w:t>
      </w:r>
      <w:r w:rsidRPr="0004742D">
        <w:rPr>
          <w:lang w:eastAsia="zh-CN"/>
        </w:rPr>
        <w:t xml:space="preserve">MTC applications and devices can </w:t>
      </w:r>
      <w:proofErr w:type="gramStart"/>
      <w:r w:rsidRPr="0004742D">
        <w:rPr>
          <w:lang w:eastAsia="zh-CN"/>
        </w:rPr>
        <w:t>be</w:t>
      </w:r>
      <w:proofErr w:type="gramEnd"/>
      <w:r w:rsidRPr="0004742D">
        <w:rPr>
          <w:lang w:eastAsia="zh-CN"/>
        </w:rPr>
        <w:t xml:space="preserve"> used effectively with all the benefits of the existent mobile broadband bands and the new frequency bands under study for IMT. This approach avoids the necessity of identifying new spectrum dedicated exclusively for MTC applications and thus no changes are needed in the </w:t>
      </w:r>
      <w:r w:rsidRPr="00F60C50">
        <w:rPr>
          <w:lang w:eastAsia="zh-CN"/>
        </w:rPr>
        <w:t xml:space="preserve">Radio Regulations under Resolution </w:t>
      </w:r>
      <w:r w:rsidRPr="00F60C50">
        <w:rPr>
          <w:b/>
          <w:bCs/>
          <w:lang w:eastAsia="zh-CN"/>
        </w:rPr>
        <w:t>958 (WRC-15)</w:t>
      </w:r>
      <w:r w:rsidRPr="00F60C50">
        <w:rPr>
          <w:lang w:eastAsia="zh-CN"/>
        </w:rPr>
        <w:t xml:space="preserve">. </w:t>
      </w:r>
      <w:r w:rsidR="00F60C50">
        <w:rPr>
          <w:lang w:eastAsia="zh-CN"/>
        </w:rPr>
        <w:t>(</w:t>
      </w:r>
      <w:r w:rsidRPr="00F60C50">
        <w:rPr>
          <w:lang w:eastAsia="zh-CN"/>
        </w:rPr>
        <w:t>Document 5D</w:t>
      </w:r>
      <w:r w:rsidR="008E3218" w:rsidRPr="00F60C50">
        <w:rPr>
          <w:lang w:eastAsia="zh-CN"/>
        </w:rPr>
        <w:t>/</w:t>
      </w:r>
      <w:r w:rsidR="0061721E" w:rsidRPr="00F60C50">
        <w:rPr>
          <w:lang w:eastAsia="zh-CN"/>
        </w:rPr>
        <w:t>666-Ch</w:t>
      </w:r>
      <w:r w:rsidR="00DE0244" w:rsidRPr="00F60C50">
        <w:rPr>
          <w:lang w:eastAsia="zh-CN"/>
        </w:rPr>
        <w:t xml:space="preserve">apter </w:t>
      </w:r>
      <w:r w:rsidR="0061721E" w:rsidRPr="00F60C50">
        <w:rPr>
          <w:lang w:eastAsia="zh-CN"/>
        </w:rPr>
        <w:t>3-Attachement 3.2</w:t>
      </w:r>
      <w:r w:rsidR="00F60C50">
        <w:rPr>
          <w:lang w:eastAsia="zh-CN"/>
        </w:rPr>
        <w:t>)</w:t>
      </w:r>
      <w:r w:rsidR="00404F12" w:rsidRPr="00F60C50">
        <w:rPr>
          <w:lang w:eastAsia="zh-CN"/>
        </w:rPr>
        <w:t xml:space="preserve">. </w:t>
      </w:r>
    </w:p>
    <w:p w14:paraId="51A96022" w14:textId="77777777" w:rsidR="0030145E" w:rsidRPr="00644278" w:rsidRDefault="0030145E" w:rsidP="0030145E">
      <w:pPr>
        <w:jc w:val="both"/>
        <w:rPr>
          <w:rFonts w:eastAsiaTheme="minorEastAsia"/>
          <w:lang w:val="en-GB" w:eastAsia="ja-JP"/>
        </w:rPr>
      </w:pPr>
    </w:p>
    <w:p w14:paraId="04B94404" w14:textId="77777777" w:rsidR="000A5418" w:rsidRDefault="000A5418" w:rsidP="00493D17">
      <w:pPr>
        <w:spacing w:after="120"/>
        <w:jc w:val="both"/>
        <w:rPr>
          <w:b/>
          <w:lang w:eastAsia="ko-KR"/>
        </w:rPr>
      </w:pPr>
      <w:r w:rsidRPr="000A5418">
        <w:rPr>
          <w:b/>
          <w:lang w:eastAsia="ko-KR"/>
        </w:rPr>
        <w:t xml:space="preserve">2. </w:t>
      </w:r>
      <w:r w:rsidR="007A507E">
        <w:rPr>
          <w:b/>
          <w:lang w:eastAsia="ko-KR"/>
        </w:rPr>
        <w:t>Documents</w:t>
      </w:r>
    </w:p>
    <w:p w14:paraId="52730799" w14:textId="77777777" w:rsidR="002A14B9" w:rsidRPr="00986E7C" w:rsidRDefault="007A507E" w:rsidP="00493D17">
      <w:pPr>
        <w:spacing w:after="120"/>
        <w:jc w:val="both"/>
        <w:rPr>
          <w:b/>
          <w:lang w:eastAsia="ko-KR"/>
        </w:rPr>
      </w:pPr>
      <w:r w:rsidRPr="00986E7C">
        <w:rPr>
          <w:b/>
          <w:lang w:eastAsia="ko-KR"/>
        </w:rPr>
        <w:t>2.1</w:t>
      </w:r>
      <w:r w:rsidR="002A14B9" w:rsidRPr="00986E7C">
        <w:rPr>
          <w:b/>
          <w:lang w:eastAsia="ko-KR"/>
        </w:rPr>
        <w:t xml:space="preserve"> </w:t>
      </w:r>
      <w:r w:rsidR="006A02CF" w:rsidRPr="00986E7C">
        <w:rPr>
          <w:b/>
          <w:lang w:eastAsia="ko-KR"/>
        </w:rPr>
        <w:t>Input Documents:</w:t>
      </w:r>
    </w:p>
    <w:p w14:paraId="062D5E3A" w14:textId="5540DFA2" w:rsidR="00C47F79" w:rsidRPr="000D1978" w:rsidRDefault="00356478" w:rsidP="00C47F79">
      <w:pPr>
        <w:pStyle w:val="ListParagraph"/>
        <w:numPr>
          <w:ilvl w:val="0"/>
          <w:numId w:val="10"/>
        </w:numPr>
        <w:rPr>
          <w:rFonts w:eastAsia="Times New Roman"/>
        </w:rPr>
      </w:pPr>
      <w:hyperlink r:id="rId10" w:tgtFrame="_blank" w:history="1">
        <w:r w:rsidR="00562A19" w:rsidRPr="000D1978">
          <w:rPr>
            <w:rStyle w:val="Hyperlink"/>
            <w:rFonts w:eastAsia="Times New Roman"/>
            <w:color w:val="0062A0"/>
          </w:rPr>
          <w:t>APG19-2/INP-09</w:t>
        </w:r>
      </w:hyperlink>
      <w:r w:rsidR="00562A19" w:rsidRPr="000D1978">
        <w:rPr>
          <w:rFonts w:eastAsia="Times New Roman"/>
          <w:b/>
          <w:bCs/>
          <w:color w:val="000000"/>
        </w:rPr>
        <w:t xml:space="preserve"> </w:t>
      </w:r>
      <w:r w:rsidR="00087102" w:rsidRPr="000D1978">
        <w:rPr>
          <w:rFonts w:eastAsia="Times New Roman"/>
          <w:b/>
          <w:bCs/>
          <w:color w:val="000000"/>
        </w:rPr>
        <w:t xml:space="preserve">(KOR), </w:t>
      </w:r>
      <w:hyperlink r:id="rId11" w:tgtFrame="_blank" w:history="1">
        <w:r w:rsidR="002942F7" w:rsidRPr="000D1978">
          <w:rPr>
            <w:rStyle w:val="Hyperlink"/>
            <w:rFonts w:eastAsia="Times New Roman"/>
            <w:color w:val="0062A0"/>
          </w:rPr>
          <w:t>APG19-2/INP-21</w:t>
        </w:r>
      </w:hyperlink>
      <w:r w:rsidR="002942F7" w:rsidRPr="000D1978">
        <w:rPr>
          <w:rFonts w:eastAsia="Times New Roman"/>
          <w:b/>
          <w:bCs/>
          <w:color w:val="000000"/>
        </w:rPr>
        <w:t xml:space="preserve"> (NZL), </w:t>
      </w:r>
      <w:hyperlink r:id="rId12" w:tgtFrame="_blank" w:history="1">
        <w:r w:rsidR="009C0BA8" w:rsidRPr="000D1978">
          <w:rPr>
            <w:rStyle w:val="Hyperlink"/>
            <w:rFonts w:eastAsia="Times New Roman"/>
            <w:color w:val="095E54"/>
          </w:rPr>
          <w:t>APG19-2/INP-29</w:t>
        </w:r>
      </w:hyperlink>
      <w:r w:rsidR="009C0BA8" w:rsidRPr="000D1978">
        <w:rPr>
          <w:rFonts w:eastAsia="Times New Roman"/>
          <w:b/>
          <w:bCs/>
          <w:color w:val="000000"/>
        </w:rPr>
        <w:t xml:space="preserve"> (AUS)</w:t>
      </w:r>
      <w:r w:rsidR="005A4744" w:rsidRPr="000D1978">
        <w:rPr>
          <w:rFonts w:eastAsia="Times New Roman"/>
          <w:b/>
          <w:bCs/>
          <w:color w:val="000000"/>
        </w:rPr>
        <w:t xml:space="preserve">, </w:t>
      </w:r>
      <w:hyperlink r:id="rId13" w:tgtFrame="_blank" w:history="1">
        <w:r w:rsidR="005A4744" w:rsidRPr="000D1978">
          <w:rPr>
            <w:rStyle w:val="Hyperlink"/>
            <w:rFonts w:eastAsia="Times New Roman"/>
            <w:color w:val="0062A0"/>
          </w:rPr>
          <w:t>APG19-2/INP-35</w:t>
        </w:r>
      </w:hyperlink>
      <w:r w:rsidR="005A4744" w:rsidRPr="000D1978">
        <w:rPr>
          <w:rFonts w:eastAsia="Times New Roman"/>
          <w:b/>
          <w:bCs/>
          <w:color w:val="000000"/>
        </w:rPr>
        <w:t xml:space="preserve"> (IRN)</w:t>
      </w:r>
      <w:r w:rsidR="00BA57FD" w:rsidRPr="000D1978">
        <w:rPr>
          <w:rFonts w:eastAsia="Times New Roman"/>
          <w:b/>
          <w:bCs/>
          <w:color w:val="000000"/>
        </w:rPr>
        <w:t xml:space="preserve">, </w:t>
      </w:r>
      <w:hyperlink r:id="rId14" w:tgtFrame="_blank" w:history="1">
        <w:r w:rsidR="004F2E51" w:rsidRPr="000D1978">
          <w:rPr>
            <w:rStyle w:val="Hyperlink"/>
            <w:rFonts w:eastAsia="Times New Roman"/>
            <w:color w:val="0062A0"/>
          </w:rPr>
          <w:t>APG19-2/INP-40</w:t>
        </w:r>
      </w:hyperlink>
      <w:r w:rsidR="004F2E51" w:rsidRPr="000D1978">
        <w:rPr>
          <w:rFonts w:eastAsia="Times New Roman"/>
          <w:b/>
          <w:bCs/>
          <w:color w:val="000000"/>
        </w:rPr>
        <w:t xml:space="preserve"> (INS)</w:t>
      </w:r>
      <w:r w:rsidR="00BA57FD" w:rsidRPr="000D1978">
        <w:rPr>
          <w:rFonts w:eastAsia="Times New Roman"/>
          <w:b/>
          <w:bCs/>
          <w:color w:val="000000"/>
        </w:rPr>
        <w:t xml:space="preserve">, </w:t>
      </w:r>
      <w:hyperlink r:id="rId15" w:tgtFrame="_blank" w:history="1">
        <w:r w:rsidR="00BA57FD" w:rsidRPr="000D1978">
          <w:rPr>
            <w:rStyle w:val="Hyperlink"/>
            <w:rFonts w:eastAsia="Times New Roman"/>
            <w:color w:val="0062A0"/>
          </w:rPr>
          <w:t>APG19-2/INP-56</w:t>
        </w:r>
      </w:hyperlink>
      <w:r w:rsidR="00BA57FD" w:rsidRPr="000D1978">
        <w:rPr>
          <w:rFonts w:eastAsia="Times New Roman"/>
          <w:b/>
          <w:bCs/>
          <w:color w:val="000000"/>
        </w:rPr>
        <w:t xml:space="preserve"> (J)</w:t>
      </w:r>
      <w:r w:rsidR="00C47F79" w:rsidRPr="000D1978">
        <w:rPr>
          <w:rFonts w:eastAsia="Times New Roman"/>
          <w:b/>
          <w:bCs/>
          <w:color w:val="000000"/>
        </w:rPr>
        <w:t xml:space="preserve">, </w:t>
      </w:r>
      <w:hyperlink r:id="rId16" w:tgtFrame="_blank" w:history="1">
        <w:r w:rsidR="00C47F79" w:rsidRPr="000D1978">
          <w:rPr>
            <w:rStyle w:val="Hyperlink"/>
            <w:rFonts w:eastAsia="Times New Roman"/>
            <w:color w:val="095E54"/>
          </w:rPr>
          <w:t>APG19-2/INP-69</w:t>
        </w:r>
      </w:hyperlink>
      <w:r w:rsidR="00C47F79" w:rsidRPr="000D1978">
        <w:rPr>
          <w:rFonts w:eastAsia="Times New Roman"/>
          <w:b/>
          <w:bCs/>
          <w:color w:val="000000"/>
        </w:rPr>
        <w:t xml:space="preserve"> (THA)</w:t>
      </w:r>
    </w:p>
    <w:p w14:paraId="5ABD086A" w14:textId="77777777" w:rsidR="00BA57FD" w:rsidRPr="000D1978" w:rsidRDefault="00BA57FD" w:rsidP="00C47F79">
      <w:pPr>
        <w:pStyle w:val="ListParagraph"/>
        <w:ind w:left="420"/>
        <w:rPr>
          <w:rFonts w:eastAsia="Times New Roman"/>
        </w:rPr>
      </w:pPr>
    </w:p>
    <w:p w14:paraId="27DCCE03" w14:textId="77777777" w:rsidR="006A02CF" w:rsidRPr="00986E7C" w:rsidRDefault="007A507E" w:rsidP="00493D17">
      <w:pPr>
        <w:spacing w:after="120"/>
        <w:jc w:val="both"/>
        <w:rPr>
          <w:b/>
          <w:lang w:eastAsia="ko-KR"/>
        </w:rPr>
      </w:pPr>
      <w:r w:rsidRPr="00986E7C">
        <w:rPr>
          <w:b/>
          <w:lang w:eastAsia="ko-KR"/>
        </w:rPr>
        <w:t>2.2</w:t>
      </w:r>
      <w:r w:rsidR="006A02CF" w:rsidRPr="00986E7C">
        <w:rPr>
          <w:b/>
          <w:lang w:eastAsia="ko-KR"/>
        </w:rPr>
        <w:t xml:space="preserve"> Information Documents:</w:t>
      </w:r>
    </w:p>
    <w:p w14:paraId="3508B107" w14:textId="1D5ABF54" w:rsidR="00813822" w:rsidRPr="000D1978" w:rsidRDefault="00356478" w:rsidP="00CE08DC">
      <w:pPr>
        <w:pStyle w:val="ListParagraph"/>
        <w:widowControl w:val="0"/>
        <w:numPr>
          <w:ilvl w:val="0"/>
          <w:numId w:val="10"/>
        </w:numPr>
        <w:overflowPunct w:val="0"/>
        <w:spacing w:line="360" w:lineRule="auto"/>
        <w:ind w:rightChars="100" w:right="240"/>
        <w:rPr>
          <w:rFonts w:eastAsia="MS Mincho"/>
          <w:lang w:eastAsia="ja-JP"/>
        </w:rPr>
      </w:pPr>
      <w:hyperlink r:id="rId17" w:tgtFrame="_blank" w:history="1">
        <w:r w:rsidR="00813822" w:rsidRPr="000D1978">
          <w:rPr>
            <w:rStyle w:val="Hyperlink"/>
            <w:rFonts w:eastAsia="Times New Roman"/>
            <w:color w:val="0062A0"/>
          </w:rPr>
          <w:t>APG19-2/INF-01</w:t>
        </w:r>
      </w:hyperlink>
      <w:r w:rsidR="00813822" w:rsidRPr="000D1978">
        <w:rPr>
          <w:rFonts w:eastAsia="Times New Roman"/>
          <w:b/>
          <w:bCs/>
          <w:color w:val="000000"/>
        </w:rPr>
        <w:t>(</w:t>
      </w:r>
      <w:r w:rsidR="00CE08DC" w:rsidRPr="000D1978">
        <w:rPr>
          <w:rFonts w:eastAsia="Times New Roman"/>
          <w:color w:val="000000"/>
          <w:shd w:val="clear" w:color="auto" w:fill="FFFFFF"/>
        </w:rPr>
        <w:t>Chairman, APG-19</w:t>
      </w:r>
      <w:r w:rsidR="00CE08DC" w:rsidRPr="000D1978">
        <w:rPr>
          <w:rFonts w:eastAsia="Times New Roman"/>
        </w:rPr>
        <w:t xml:space="preserve"> : information for </w:t>
      </w:r>
      <w:r w:rsidR="00813822" w:rsidRPr="000D1978">
        <w:rPr>
          <w:rFonts w:eastAsia="Times New Roman"/>
          <w:b/>
          <w:bCs/>
          <w:color w:val="000000"/>
        </w:rPr>
        <w:t>ASMG</w:t>
      </w:r>
      <w:r w:rsidR="00105971" w:rsidRPr="000D1978">
        <w:rPr>
          <w:rFonts w:eastAsia="Times New Roman"/>
          <w:b/>
          <w:bCs/>
          <w:color w:val="000000"/>
        </w:rPr>
        <w:t>, CEPT</w:t>
      </w:r>
      <w:r w:rsidR="00CE08DC" w:rsidRPr="000D1978">
        <w:rPr>
          <w:rFonts w:eastAsia="Times New Roman"/>
          <w:b/>
          <w:bCs/>
          <w:color w:val="000000"/>
        </w:rPr>
        <w:t>, ATU, RCC</w:t>
      </w:r>
      <w:r w:rsidR="00105971" w:rsidRPr="000D1978">
        <w:rPr>
          <w:rFonts w:eastAsia="Times New Roman"/>
          <w:b/>
          <w:bCs/>
          <w:color w:val="000000"/>
        </w:rPr>
        <w:t>)</w:t>
      </w:r>
    </w:p>
    <w:p w14:paraId="1F732ADD" w14:textId="5617B371" w:rsidR="000D1978" w:rsidRPr="000D1978" w:rsidRDefault="00356478" w:rsidP="000D1978">
      <w:pPr>
        <w:rPr>
          <w:rFonts w:eastAsia="Times New Roman"/>
        </w:rPr>
      </w:pPr>
      <w:hyperlink r:id="rId18" w:tgtFrame="_blank" w:history="1">
        <w:r w:rsidR="00121F5F" w:rsidRPr="000D1978">
          <w:rPr>
            <w:rStyle w:val="Hyperlink"/>
            <w:rFonts w:eastAsia="Times New Roman"/>
            <w:color w:val="095E54"/>
          </w:rPr>
          <w:t>APG19-2/INF-04</w:t>
        </w:r>
      </w:hyperlink>
      <w:r w:rsidR="00121F5F" w:rsidRPr="000D1978">
        <w:rPr>
          <w:rFonts w:eastAsia="Times New Roman"/>
          <w:b/>
          <w:bCs/>
          <w:color w:val="000000"/>
        </w:rPr>
        <w:t xml:space="preserve"> (CITEL)</w:t>
      </w:r>
      <w:proofErr w:type="gramStart"/>
      <w:r w:rsidR="00B51137" w:rsidRPr="000D1978">
        <w:rPr>
          <w:rFonts w:eastAsia="Times New Roman"/>
          <w:b/>
          <w:bCs/>
          <w:color w:val="000000"/>
        </w:rPr>
        <w:t xml:space="preserve">,  </w:t>
      </w:r>
      <w:proofErr w:type="gramEnd"/>
      <w:r>
        <w:fldChar w:fldCharType="begin"/>
      </w:r>
      <w:r>
        <w:instrText xml:space="preserve"> HYPERLINK "http://www.aptsec.org/sites/default/files/2017/07/APG19-2-INF-05_RCC.docx" \t "_blank" </w:instrText>
      </w:r>
      <w:r>
        <w:fldChar w:fldCharType="separate"/>
      </w:r>
      <w:r w:rsidR="00B51137" w:rsidRPr="000D1978">
        <w:rPr>
          <w:rStyle w:val="Hyperlink"/>
          <w:rFonts w:eastAsia="Times New Roman"/>
          <w:color w:val="095E54"/>
        </w:rPr>
        <w:t>APG19-2/INF-05</w:t>
      </w:r>
      <w:r>
        <w:rPr>
          <w:rStyle w:val="Hyperlink"/>
          <w:rFonts w:eastAsia="Times New Roman"/>
          <w:color w:val="095E54"/>
        </w:rPr>
        <w:fldChar w:fldCharType="end"/>
      </w:r>
      <w:r w:rsidR="00B51137" w:rsidRPr="000D1978">
        <w:rPr>
          <w:rFonts w:eastAsia="Times New Roman"/>
          <w:b/>
          <w:bCs/>
          <w:color w:val="000000"/>
        </w:rPr>
        <w:t xml:space="preserve"> (RCC)</w:t>
      </w:r>
      <w:r w:rsidR="002E1658" w:rsidRPr="000D1978">
        <w:rPr>
          <w:rFonts w:eastAsia="Times New Roman"/>
          <w:b/>
          <w:bCs/>
          <w:color w:val="000000"/>
        </w:rPr>
        <w:t xml:space="preserve">, </w:t>
      </w:r>
      <w:hyperlink r:id="rId19" w:tgtFrame="_blank" w:history="1">
        <w:r w:rsidR="002E1658" w:rsidRPr="000D1978">
          <w:rPr>
            <w:rStyle w:val="Hyperlink"/>
            <w:rFonts w:eastAsia="Times New Roman"/>
            <w:color w:val="0062A0"/>
          </w:rPr>
          <w:t>APG19-2/INF-06</w:t>
        </w:r>
      </w:hyperlink>
      <w:r w:rsidR="002E1658" w:rsidRPr="000D1978">
        <w:rPr>
          <w:rFonts w:eastAsia="Times New Roman"/>
          <w:b/>
          <w:bCs/>
          <w:color w:val="000000"/>
        </w:rPr>
        <w:t xml:space="preserve"> (IARU)</w:t>
      </w:r>
      <w:r w:rsidR="000D1978" w:rsidRPr="000D1978">
        <w:rPr>
          <w:rFonts w:eastAsia="Times New Roman"/>
          <w:b/>
          <w:bCs/>
          <w:color w:val="000000"/>
        </w:rPr>
        <w:t xml:space="preserve">, </w:t>
      </w:r>
      <w:hyperlink r:id="rId20" w:tgtFrame="_blank" w:history="1">
        <w:r w:rsidR="000D1978" w:rsidRPr="000D1978">
          <w:rPr>
            <w:rStyle w:val="Hyperlink"/>
            <w:rFonts w:eastAsia="Times New Roman"/>
            <w:color w:val="0062A0"/>
          </w:rPr>
          <w:t>APG19-2/INF-14</w:t>
        </w:r>
      </w:hyperlink>
      <w:r w:rsidR="000D1978" w:rsidRPr="000D1978">
        <w:rPr>
          <w:rFonts w:eastAsia="Times New Roman"/>
          <w:b/>
          <w:bCs/>
          <w:color w:val="000000"/>
        </w:rPr>
        <w:t xml:space="preserve"> (CEPT)</w:t>
      </w:r>
    </w:p>
    <w:p w14:paraId="7E6F438A" w14:textId="77777777" w:rsidR="00813822" w:rsidRDefault="00813822" w:rsidP="001B4F1E">
      <w:pPr>
        <w:rPr>
          <w:rFonts w:eastAsia="Times New Roman"/>
        </w:rPr>
      </w:pPr>
    </w:p>
    <w:p w14:paraId="6842B2D7" w14:textId="77777777" w:rsidR="006A02CF" w:rsidRDefault="007A507E" w:rsidP="00D93D55">
      <w:pPr>
        <w:spacing w:after="120"/>
        <w:jc w:val="both"/>
        <w:rPr>
          <w:b/>
          <w:lang w:eastAsia="ko-KR"/>
        </w:rPr>
      </w:pPr>
      <w:r>
        <w:rPr>
          <w:b/>
          <w:lang w:eastAsia="ko-KR"/>
        </w:rPr>
        <w:t xml:space="preserve">3. </w:t>
      </w:r>
      <w:r w:rsidR="006A02CF">
        <w:rPr>
          <w:b/>
          <w:lang w:eastAsia="ko-KR"/>
        </w:rPr>
        <w:t>Summary of Discussion:</w:t>
      </w:r>
    </w:p>
    <w:p w14:paraId="28B552B9" w14:textId="4F335BC6" w:rsidR="00DD5A18" w:rsidRPr="00874E7E" w:rsidRDefault="00DD5A18" w:rsidP="00D93D55">
      <w:pPr>
        <w:spacing w:after="120"/>
        <w:jc w:val="both"/>
        <w:rPr>
          <w:b/>
          <w:lang w:eastAsia="ko-KR"/>
        </w:rPr>
      </w:pPr>
      <w:r w:rsidRPr="00874E7E">
        <w:rPr>
          <w:b/>
          <w:lang w:val="en-NZ" w:eastAsia="ko-KR"/>
        </w:rPr>
        <w:t>3.1</w:t>
      </w:r>
      <w:r w:rsidRPr="00874E7E">
        <w:rPr>
          <w:b/>
          <w:lang w:val="en-NZ" w:eastAsia="ko-KR"/>
        </w:rPr>
        <w:tab/>
        <w:t xml:space="preserve"> S</w:t>
      </w:r>
      <w:r w:rsidRPr="00874E7E">
        <w:rPr>
          <w:rFonts w:hint="eastAsia"/>
          <w:b/>
          <w:lang w:val="en-NZ" w:eastAsia="ko-KR"/>
        </w:rPr>
        <w:t xml:space="preserve">ummary </w:t>
      </w:r>
      <w:r w:rsidRPr="00874E7E">
        <w:rPr>
          <w:b/>
          <w:lang w:val="en-NZ" w:eastAsia="ko-KR"/>
        </w:rPr>
        <w:t>of Members’ view</w:t>
      </w:r>
    </w:p>
    <w:p w14:paraId="24245836" w14:textId="3139C8FF" w:rsidR="00C4585B" w:rsidRPr="00874E7E" w:rsidRDefault="00C4585B" w:rsidP="00C4585B">
      <w:pPr>
        <w:spacing w:after="120"/>
        <w:jc w:val="both"/>
        <w:rPr>
          <w:b/>
          <w:lang w:val="en-NZ" w:eastAsia="ko-KR"/>
        </w:rPr>
      </w:pPr>
      <w:r w:rsidRPr="00874E7E">
        <w:rPr>
          <w:b/>
          <w:lang w:val="en-NZ" w:eastAsia="ko-KR"/>
        </w:rPr>
        <w:t>3.1.1</w:t>
      </w:r>
      <w:r w:rsidR="00601726">
        <w:rPr>
          <w:b/>
          <w:lang w:val="en-NZ" w:eastAsia="ko-KR"/>
        </w:rPr>
        <w:tab/>
      </w:r>
      <w:r w:rsidR="00CE39E0" w:rsidRPr="00874E7E">
        <w:rPr>
          <w:b/>
          <w:lang w:val="en-NZ" w:eastAsia="ko-KR"/>
        </w:rPr>
        <w:t>Korea</w:t>
      </w:r>
    </w:p>
    <w:p w14:paraId="37EB362A" w14:textId="77777777" w:rsidR="00CE39E0" w:rsidRPr="000C0E74" w:rsidRDefault="00CE39E0" w:rsidP="00CE39E0">
      <w:pPr>
        <w:spacing w:after="120"/>
        <w:jc w:val="both"/>
        <w:rPr>
          <w:lang w:eastAsia="ko-KR"/>
        </w:rPr>
      </w:pPr>
      <w:r w:rsidRPr="000C0E74">
        <w:rPr>
          <w:rFonts w:hint="eastAsia"/>
          <w:lang w:eastAsia="ko-KR"/>
        </w:rPr>
        <w:lastRenderedPageBreak/>
        <w:t xml:space="preserve">The </w:t>
      </w:r>
      <w:r w:rsidRPr="000C0E74">
        <w:rPr>
          <w:rFonts w:eastAsia="Malgun Gothic" w:hint="eastAsia"/>
          <w:bCs/>
          <w:snapToGrid w:val="0"/>
          <w:lang w:eastAsia="ko-KR"/>
        </w:rPr>
        <w:t xml:space="preserve">Republic of Korea </w:t>
      </w:r>
      <w:r w:rsidRPr="00A505D4">
        <w:t>support</w:t>
      </w:r>
      <w:r w:rsidRPr="00A505D4">
        <w:rPr>
          <w:rFonts w:hint="eastAsia"/>
          <w:lang w:eastAsia="ko-KR"/>
        </w:rPr>
        <w:t>s</w:t>
      </w:r>
      <w:r w:rsidRPr="00A505D4">
        <w:t xml:space="preserve"> </w:t>
      </w:r>
      <w:r w:rsidRPr="00A505D4">
        <w:rPr>
          <w:rFonts w:hint="eastAsia"/>
          <w:lang w:eastAsia="ko-KR"/>
        </w:rPr>
        <w:t>ITU-R studies</w:t>
      </w:r>
      <w:r w:rsidRPr="000C0E74">
        <w:rPr>
          <w:rFonts w:hint="eastAsia"/>
          <w:lang w:eastAsia="ko-KR"/>
        </w:rPr>
        <w:t xml:space="preserve"> </w:t>
      </w:r>
      <w:r w:rsidRPr="000C0E74">
        <w:t>on technical and operational aspects of radio networks and systems, as well as on spectrum needed</w:t>
      </w:r>
      <w:r w:rsidRPr="000C0E74">
        <w:rPr>
          <w:rFonts w:hint="eastAsia"/>
          <w:lang w:eastAsia="ko-KR"/>
        </w:rPr>
        <w:t>,</w:t>
      </w:r>
      <w:r w:rsidRPr="000C0E74">
        <w:t xml:space="preserve"> </w:t>
      </w:r>
      <w:r w:rsidRPr="000C0E74">
        <w:rPr>
          <w:color w:val="000000" w:themeColor="text1"/>
          <w:lang w:eastAsia="ko-KR"/>
        </w:rPr>
        <w:t>including</w:t>
      </w:r>
      <w:r w:rsidRPr="000C0E74">
        <w:rPr>
          <w:rFonts w:hint="eastAsia"/>
          <w:color w:val="000000" w:themeColor="text1"/>
          <w:lang w:eastAsia="ko-KR"/>
        </w:rPr>
        <w:t xml:space="preserve"> </w:t>
      </w:r>
      <w:r w:rsidRPr="000C0E74">
        <w:rPr>
          <w:color w:val="000000" w:themeColor="text1"/>
          <w:lang w:eastAsia="ko-KR"/>
        </w:rPr>
        <w:t>possible harmonized use of spectrum for narrowband and broadband machine-type communication (MTC)</w:t>
      </w:r>
      <w:r>
        <w:rPr>
          <w:color w:val="000000" w:themeColor="text1"/>
          <w:lang w:eastAsia="ko-KR"/>
        </w:rPr>
        <w:t xml:space="preserve"> </w:t>
      </w:r>
      <w:r w:rsidRPr="000C0E74">
        <w:rPr>
          <w:color w:val="000000" w:themeColor="text1"/>
          <w:lang w:eastAsia="ko-KR"/>
        </w:rPr>
        <w:t>infrastructure in order to develop Recommendations, Reports and/or Handbooks, as appropriate.</w:t>
      </w:r>
      <w:r w:rsidRPr="000C0E74">
        <w:rPr>
          <w:rFonts w:hint="eastAsia"/>
          <w:color w:val="000000" w:themeColor="text1"/>
          <w:lang w:eastAsia="ko-KR"/>
        </w:rPr>
        <w:t xml:space="preserve"> </w:t>
      </w:r>
    </w:p>
    <w:p w14:paraId="5589B083" w14:textId="77777777" w:rsidR="00CE39E0" w:rsidRPr="006609E1" w:rsidRDefault="00CE39E0" w:rsidP="00CE39E0">
      <w:pPr>
        <w:spacing w:after="120"/>
        <w:jc w:val="both"/>
        <w:rPr>
          <w:rFonts w:eastAsia="Malgun Gothic"/>
          <w:bCs/>
          <w:snapToGrid w:val="0"/>
          <w:lang w:eastAsia="ko-KR"/>
        </w:rPr>
      </w:pPr>
      <w:r w:rsidRPr="006609E1">
        <w:rPr>
          <w:rFonts w:hint="eastAsia"/>
          <w:lang w:eastAsia="ko-KR"/>
        </w:rPr>
        <w:t>The Republic</w:t>
      </w:r>
      <w:r w:rsidRPr="006609E1">
        <w:rPr>
          <w:rFonts w:eastAsia="Malgun Gothic" w:hint="eastAsia"/>
          <w:bCs/>
          <w:snapToGrid w:val="0"/>
          <w:lang w:eastAsia="ko-KR"/>
        </w:rPr>
        <w:t xml:space="preserve"> of Korea </w:t>
      </w:r>
      <w:r w:rsidRPr="006609E1">
        <w:rPr>
          <w:rFonts w:eastAsia="Malgun Gothic"/>
          <w:bCs/>
          <w:snapToGrid w:val="0"/>
          <w:lang w:eastAsia="ko-KR"/>
        </w:rPr>
        <w:t xml:space="preserve">has a preliminary view that </w:t>
      </w:r>
      <w:r w:rsidRPr="006609E1">
        <w:rPr>
          <w:rFonts w:eastAsia="Malgun Gothic" w:hint="eastAsia"/>
          <w:bCs/>
          <w:snapToGrid w:val="0"/>
          <w:lang w:eastAsia="ko-KR"/>
        </w:rPr>
        <w:t xml:space="preserve">APT Members </w:t>
      </w:r>
      <w:r w:rsidRPr="006609E1">
        <w:rPr>
          <w:rFonts w:eastAsia="Malgun Gothic"/>
          <w:bCs/>
          <w:snapToGrid w:val="0"/>
          <w:lang w:eastAsia="ko-KR"/>
        </w:rPr>
        <w:t>consider the following frequency bands, as categorized on a regulatory basis, for possible harmonized use of spectrum to support the implementation of MTC applications taking into account example frequencies in relevant ITU-R documents:</w:t>
      </w:r>
    </w:p>
    <w:p w14:paraId="1E4587D4" w14:textId="77777777" w:rsidR="00CE39E0" w:rsidRPr="000C0E74" w:rsidRDefault="00CE39E0" w:rsidP="00CE39E0">
      <w:pPr>
        <w:pStyle w:val="ListParagraph"/>
        <w:numPr>
          <w:ilvl w:val="0"/>
          <w:numId w:val="18"/>
        </w:numPr>
        <w:spacing w:after="120"/>
        <w:contextualSpacing w:val="0"/>
        <w:jc w:val="both"/>
        <w:rPr>
          <w:lang w:eastAsia="ko-KR"/>
        </w:rPr>
      </w:pPr>
      <w:r w:rsidRPr="000C0E74">
        <w:rPr>
          <w:lang w:eastAsia="ko-KR"/>
        </w:rPr>
        <w:t>T</w:t>
      </w:r>
      <w:r w:rsidRPr="000C0E74">
        <w:rPr>
          <w:rFonts w:hint="eastAsia"/>
          <w:lang w:eastAsia="ko-KR"/>
        </w:rPr>
        <w:t xml:space="preserve">he </w:t>
      </w:r>
      <w:r w:rsidRPr="000C0E74">
        <w:rPr>
          <w:lang w:eastAsia="ko-KR"/>
        </w:rPr>
        <w:t xml:space="preserve">existing and future IMT identification </w:t>
      </w:r>
      <w:r w:rsidRPr="000C0E74">
        <w:rPr>
          <w:rFonts w:hint="eastAsia"/>
          <w:lang w:eastAsia="ko-KR"/>
        </w:rPr>
        <w:t>bands</w:t>
      </w:r>
      <w:r w:rsidRPr="000C0E74">
        <w:rPr>
          <w:lang w:eastAsia="ko-KR"/>
        </w:rPr>
        <w:t xml:space="preserve"> </w:t>
      </w:r>
      <w:r w:rsidRPr="000C0E74">
        <w:rPr>
          <w:rFonts w:hint="eastAsia"/>
          <w:lang w:eastAsia="ko-KR"/>
        </w:rPr>
        <w:t xml:space="preserve">taking into </w:t>
      </w:r>
      <w:r w:rsidRPr="000C0E74">
        <w:rPr>
          <w:lang w:eastAsia="ko-KR"/>
        </w:rPr>
        <w:t>account</w:t>
      </w:r>
      <w:r w:rsidRPr="000C0E74">
        <w:rPr>
          <w:rFonts w:hint="eastAsia"/>
          <w:lang w:eastAsia="ko-KR"/>
        </w:rPr>
        <w:t xml:space="preserve"> </w:t>
      </w:r>
      <w:proofErr w:type="spellStart"/>
      <w:r w:rsidRPr="000C0E74">
        <w:rPr>
          <w:rFonts w:hint="eastAsia"/>
          <w:lang w:eastAsia="ko-KR"/>
        </w:rPr>
        <w:t>IoT</w:t>
      </w:r>
      <w:proofErr w:type="spellEnd"/>
      <w:r w:rsidRPr="000C0E74">
        <w:rPr>
          <w:rFonts w:hint="eastAsia"/>
          <w:lang w:eastAsia="ko-KR"/>
        </w:rPr>
        <w:t xml:space="preserve"> </w:t>
      </w:r>
      <w:r w:rsidRPr="000C0E74">
        <w:rPr>
          <w:lang w:eastAsia="ko-KR"/>
        </w:rPr>
        <w:t>applications</w:t>
      </w:r>
      <w:r w:rsidRPr="000C0E74">
        <w:rPr>
          <w:rFonts w:hint="eastAsia"/>
          <w:lang w:eastAsia="ko-KR"/>
        </w:rPr>
        <w:t xml:space="preserve"> of</w:t>
      </w:r>
      <w:r w:rsidRPr="000C0E74">
        <w:rPr>
          <w:lang w:eastAsia="ko-KR"/>
        </w:rPr>
        <w:t xml:space="preserve"> IMT-based technologies</w:t>
      </w:r>
      <w:r w:rsidRPr="000C0E74">
        <w:rPr>
          <w:rFonts w:hint="eastAsia"/>
          <w:lang w:eastAsia="ko-KR"/>
        </w:rPr>
        <w:t>.</w:t>
      </w:r>
    </w:p>
    <w:p w14:paraId="1C1FD806" w14:textId="36FDF14A" w:rsidR="00CE39E0" w:rsidRDefault="00CE39E0" w:rsidP="00C4585B">
      <w:pPr>
        <w:pStyle w:val="ListParagraph"/>
        <w:numPr>
          <w:ilvl w:val="0"/>
          <w:numId w:val="18"/>
        </w:numPr>
        <w:spacing w:after="120"/>
        <w:contextualSpacing w:val="0"/>
        <w:jc w:val="both"/>
        <w:rPr>
          <w:lang w:eastAsia="ko-KR"/>
        </w:rPr>
      </w:pPr>
      <w:r w:rsidRPr="000C0E74">
        <w:rPr>
          <w:lang w:eastAsia="ko-KR"/>
        </w:rPr>
        <w:t>License-exempt bands</w:t>
      </w:r>
      <w:r w:rsidRPr="000C0E74">
        <w:rPr>
          <w:rFonts w:hint="eastAsia"/>
          <w:lang w:eastAsia="ko-KR"/>
        </w:rPr>
        <w:t xml:space="preserve"> such as 900 MHz, </w:t>
      </w:r>
      <w:r w:rsidRPr="000C0E74">
        <w:rPr>
          <w:lang w:eastAsia="ko-KR"/>
        </w:rPr>
        <w:t xml:space="preserve">1.7GHz, </w:t>
      </w:r>
      <w:r w:rsidRPr="000C0E74">
        <w:rPr>
          <w:rFonts w:hint="eastAsia"/>
          <w:lang w:eastAsia="ko-KR"/>
        </w:rPr>
        <w:t xml:space="preserve">2.4 GHz, </w:t>
      </w:r>
      <w:proofErr w:type="gramStart"/>
      <w:r w:rsidRPr="000C0E74">
        <w:rPr>
          <w:rFonts w:hint="eastAsia"/>
          <w:lang w:eastAsia="ko-KR"/>
        </w:rPr>
        <w:t>5</w:t>
      </w:r>
      <w:r w:rsidRPr="000C0E74">
        <w:rPr>
          <w:lang w:eastAsia="ko-KR"/>
        </w:rPr>
        <w:t>.8</w:t>
      </w:r>
      <w:proofErr w:type="gramEnd"/>
      <w:r w:rsidRPr="000C0E74">
        <w:rPr>
          <w:rFonts w:hint="eastAsia"/>
          <w:lang w:eastAsia="ko-KR"/>
        </w:rPr>
        <w:t xml:space="preserve"> GHz taking into </w:t>
      </w:r>
      <w:r w:rsidRPr="000C0E74">
        <w:rPr>
          <w:lang w:eastAsia="ko-KR"/>
        </w:rPr>
        <w:t>account</w:t>
      </w:r>
      <w:r w:rsidRPr="000C0E74">
        <w:rPr>
          <w:rFonts w:hint="eastAsia"/>
          <w:lang w:eastAsia="ko-KR"/>
        </w:rPr>
        <w:t xml:space="preserve"> </w:t>
      </w:r>
      <w:r w:rsidRPr="000C0E74">
        <w:rPr>
          <w:lang w:eastAsia="ko-KR"/>
        </w:rPr>
        <w:t>Low Power Wide Area Network technologies</w:t>
      </w:r>
      <w:r w:rsidRPr="000C0E74">
        <w:rPr>
          <w:rFonts w:hint="eastAsia"/>
          <w:lang w:eastAsia="ko-KR"/>
        </w:rPr>
        <w:t>.</w:t>
      </w:r>
    </w:p>
    <w:p w14:paraId="3F1F308C" w14:textId="77777777" w:rsidR="0021296C" w:rsidRPr="00CE39E0" w:rsidRDefault="0021296C" w:rsidP="0021296C">
      <w:pPr>
        <w:pStyle w:val="ListParagraph"/>
        <w:spacing w:after="120"/>
        <w:ind w:left="480"/>
        <w:contextualSpacing w:val="0"/>
        <w:jc w:val="both"/>
        <w:rPr>
          <w:lang w:eastAsia="ko-KR"/>
        </w:rPr>
      </w:pPr>
    </w:p>
    <w:p w14:paraId="2A9639C3" w14:textId="10E0BC27" w:rsidR="0021296C" w:rsidRPr="00601726" w:rsidRDefault="00C4585B" w:rsidP="00CE39E0">
      <w:pPr>
        <w:rPr>
          <w:rFonts w:eastAsia="Times New Roman"/>
          <w:b/>
          <w:color w:val="000000"/>
          <w:shd w:val="clear" w:color="auto" w:fill="FFFFFF"/>
        </w:rPr>
      </w:pPr>
      <w:r w:rsidRPr="00874E7E">
        <w:rPr>
          <w:b/>
          <w:lang w:val="en-NZ" w:eastAsia="ko-KR"/>
        </w:rPr>
        <w:t>3.1.2</w:t>
      </w:r>
      <w:r w:rsidR="00601726">
        <w:rPr>
          <w:b/>
          <w:lang w:val="en-NZ" w:eastAsia="ko-KR"/>
        </w:rPr>
        <w:tab/>
      </w:r>
      <w:r w:rsidR="00CE39E0" w:rsidRPr="00CE39E0">
        <w:rPr>
          <w:rFonts w:eastAsia="Times New Roman"/>
          <w:b/>
          <w:color w:val="000000"/>
          <w:shd w:val="clear" w:color="auto" w:fill="FFFFFF"/>
        </w:rPr>
        <w:t>New Zealand</w:t>
      </w:r>
    </w:p>
    <w:p w14:paraId="4A6189F1" w14:textId="75F7B784" w:rsidR="00CE39E0" w:rsidRPr="000F100D" w:rsidRDefault="00CE39E0" w:rsidP="00601726">
      <w:pPr>
        <w:tabs>
          <w:tab w:val="left" w:pos="1134"/>
          <w:tab w:val="left" w:pos="1871"/>
          <w:tab w:val="left" w:pos="2268"/>
        </w:tabs>
        <w:overflowPunct w:val="0"/>
        <w:autoSpaceDE w:val="0"/>
        <w:autoSpaceDN w:val="0"/>
        <w:adjustRightInd w:val="0"/>
        <w:spacing w:before="120"/>
        <w:jc w:val="both"/>
        <w:rPr>
          <w:lang w:val="en-NZ"/>
        </w:rPr>
      </w:pPr>
      <w:r w:rsidRPr="00252B17">
        <w:rPr>
          <w:lang w:val="en-NZ"/>
        </w:rPr>
        <w:t xml:space="preserve">New Zealand is of the </w:t>
      </w:r>
      <w:r w:rsidRPr="00601726">
        <w:rPr>
          <w:rFonts w:eastAsia="Times New Roman"/>
          <w:lang w:eastAsia="ja-JP"/>
        </w:rPr>
        <w:t>view</w:t>
      </w:r>
      <w:r w:rsidRPr="00252B17">
        <w:rPr>
          <w:lang w:val="en-NZ"/>
        </w:rPr>
        <w:t xml:space="preserve"> that there is no need to identify dedicated spectrum for Internet of</w:t>
      </w:r>
      <w:r w:rsidRPr="00D9340E">
        <w:rPr>
          <w:lang w:val="en-NZ"/>
        </w:rPr>
        <w:t xml:space="preserve"> Things (</w:t>
      </w:r>
      <w:proofErr w:type="spellStart"/>
      <w:r w:rsidRPr="00D9340E">
        <w:rPr>
          <w:lang w:val="en-NZ"/>
        </w:rPr>
        <w:t>IoT</w:t>
      </w:r>
      <w:proofErr w:type="spellEnd"/>
      <w:r w:rsidRPr="00D9340E">
        <w:rPr>
          <w:lang w:val="en-NZ"/>
        </w:rPr>
        <w:t xml:space="preserve">) or Machine-type communication (MTC) in the Radio Regulations. </w:t>
      </w:r>
      <w:proofErr w:type="spellStart"/>
      <w:r w:rsidRPr="00D9340E">
        <w:rPr>
          <w:lang w:val="en-NZ"/>
        </w:rPr>
        <w:t>IoT</w:t>
      </w:r>
      <w:proofErr w:type="spellEnd"/>
      <w:r w:rsidRPr="00D9340E">
        <w:rPr>
          <w:lang w:val="en-NZ"/>
        </w:rPr>
        <w:t>/MTC could be deployed in frequency bands already allocated to Mobile Service, or already identified for IMT use. Such applications can be clarified through development of appropriate ITU-R Recommendations, Reports and/or Handbooks.</w:t>
      </w:r>
      <w:r w:rsidR="001B264D">
        <w:rPr>
          <w:lang w:val="en-NZ"/>
        </w:rPr>
        <w:t xml:space="preserve"> </w:t>
      </w:r>
    </w:p>
    <w:p w14:paraId="2158D381" w14:textId="36A7CFA6" w:rsidR="00C4585B" w:rsidRDefault="00C4585B" w:rsidP="00C4585B">
      <w:pPr>
        <w:spacing w:after="120"/>
        <w:jc w:val="both"/>
        <w:rPr>
          <w:b/>
          <w:color w:val="FF0000"/>
          <w:lang w:val="en-NZ" w:eastAsia="ko-KR"/>
        </w:rPr>
      </w:pPr>
    </w:p>
    <w:p w14:paraId="3E061E4D" w14:textId="189ECBA8" w:rsidR="003612AB" w:rsidRPr="00874E7E" w:rsidRDefault="00D75546" w:rsidP="003612AB">
      <w:pPr>
        <w:spacing w:after="120"/>
        <w:jc w:val="both"/>
        <w:rPr>
          <w:b/>
          <w:lang w:val="en-NZ" w:eastAsia="ko-KR"/>
        </w:rPr>
      </w:pPr>
      <w:r>
        <w:rPr>
          <w:b/>
          <w:lang w:val="en-NZ" w:eastAsia="ko-KR"/>
        </w:rPr>
        <w:t>3.1.3</w:t>
      </w:r>
      <w:r w:rsidR="00601726">
        <w:rPr>
          <w:b/>
          <w:lang w:val="en-NZ" w:eastAsia="ko-KR"/>
        </w:rPr>
        <w:tab/>
      </w:r>
      <w:r w:rsidR="003612AB" w:rsidRPr="00874E7E">
        <w:rPr>
          <w:b/>
          <w:lang w:val="en-NZ" w:eastAsia="ko-KR"/>
        </w:rPr>
        <w:t>Australia</w:t>
      </w:r>
    </w:p>
    <w:p w14:paraId="7B15A198" w14:textId="77777777" w:rsidR="00DA2CEB" w:rsidRPr="006A4939" w:rsidRDefault="00DA2CEB" w:rsidP="00DA2CEB">
      <w:pPr>
        <w:tabs>
          <w:tab w:val="left" w:pos="3390"/>
        </w:tabs>
        <w:spacing w:after="100" w:afterAutospacing="1"/>
        <w:rPr>
          <w:rFonts w:eastAsia="Times New Roman"/>
          <w:lang w:val="en-GB" w:bidi="en-US"/>
        </w:rPr>
      </w:pPr>
      <w:r w:rsidRPr="006A4939">
        <w:rPr>
          <w:rFonts w:eastAsia="Times New Roman"/>
          <w:lang w:val="en-GB" w:bidi="en-US"/>
        </w:rPr>
        <w:t xml:space="preserve">Australia </w:t>
      </w:r>
      <w:r w:rsidRPr="00252B17">
        <w:rPr>
          <w:rFonts w:eastAsia="Times New Roman"/>
          <w:lang w:val="en-GB" w:bidi="en-US"/>
        </w:rPr>
        <w:t>supports ITU Radiocommunication Sector (ITU-R) studies</w:t>
      </w:r>
      <w:r w:rsidRPr="006A4939">
        <w:rPr>
          <w:rFonts w:eastAsia="Times New Roman"/>
          <w:lang w:val="en-GB" w:bidi="en-US"/>
        </w:rPr>
        <w:t xml:space="preserve"> on technical and operational aspects of </w:t>
      </w:r>
      <w:r w:rsidRPr="006A4939">
        <w:rPr>
          <w:rFonts w:eastAsia="Times New Roman"/>
          <w:lang w:bidi="en-US"/>
        </w:rPr>
        <w:t>narrowband and broadband machine type communications.</w:t>
      </w:r>
      <w:r w:rsidRPr="006A4939">
        <w:rPr>
          <w:rFonts w:eastAsia="Times New Roman"/>
          <w:lang w:val="en-GB" w:bidi="en-US"/>
        </w:rPr>
        <w:t xml:space="preserve"> Studies should focus on the development of ITU-R Recommendations, Reports and/or Handbooks, as appropriate.</w:t>
      </w:r>
    </w:p>
    <w:p w14:paraId="2A2EF4EA" w14:textId="65377BE8" w:rsidR="00F60C50" w:rsidRDefault="00DA2CEB" w:rsidP="00986E7C">
      <w:pPr>
        <w:tabs>
          <w:tab w:val="left" w:pos="3390"/>
        </w:tabs>
        <w:rPr>
          <w:rFonts w:eastAsia="Times New Roman"/>
          <w:lang w:val="en-GB" w:bidi="en-US"/>
        </w:rPr>
      </w:pPr>
      <w:r w:rsidRPr="006A4939">
        <w:rPr>
          <w:rFonts w:eastAsia="Times New Roman"/>
          <w:lang w:val="en-GB" w:bidi="en-US"/>
        </w:rPr>
        <w:t xml:space="preserve">Australia is of the view that </w:t>
      </w:r>
      <w:r w:rsidRPr="00F60C50">
        <w:rPr>
          <w:rFonts w:eastAsia="Times New Roman"/>
          <w:lang w:val="en-GB" w:bidi="en-US"/>
        </w:rPr>
        <w:t>no change to the Radio Regulations</w:t>
      </w:r>
      <w:r w:rsidRPr="006A4939">
        <w:rPr>
          <w:rFonts w:eastAsia="Times New Roman"/>
          <w:lang w:val="en-GB" w:bidi="en-US"/>
        </w:rPr>
        <w:t xml:space="preserve"> is required under this issue. </w:t>
      </w:r>
    </w:p>
    <w:p w14:paraId="1C99573D" w14:textId="77777777" w:rsidR="00986E7C" w:rsidRPr="00986E7C" w:rsidRDefault="00986E7C" w:rsidP="00986E7C">
      <w:pPr>
        <w:tabs>
          <w:tab w:val="left" w:pos="3390"/>
        </w:tabs>
        <w:rPr>
          <w:rFonts w:eastAsia="Times New Roman"/>
          <w:lang w:val="en-GB" w:bidi="en-US"/>
        </w:rPr>
      </w:pPr>
    </w:p>
    <w:p w14:paraId="65C6C540" w14:textId="20D97FEC" w:rsidR="006A440B" w:rsidRPr="00986E7C" w:rsidRDefault="00D75546" w:rsidP="00986E7C">
      <w:pPr>
        <w:spacing w:after="120"/>
        <w:jc w:val="both"/>
        <w:rPr>
          <w:b/>
          <w:lang w:val="en-NZ" w:eastAsia="ko-KR"/>
        </w:rPr>
      </w:pPr>
      <w:r>
        <w:rPr>
          <w:b/>
          <w:lang w:val="en-NZ" w:eastAsia="ko-KR"/>
        </w:rPr>
        <w:t>3.1.4</w:t>
      </w:r>
      <w:r w:rsidR="00601726">
        <w:rPr>
          <w:b/>
          <w:lang w:val="en-NZ" w:eastAsia="ko-KR"/>
        </w:rPr>
        <w:tab/>
      </w:r>
      <w:r w:rsidR="006A440B" w:rsidRPr="006A440B">
        <w:rPr>
          <w:b/>
          <w:lang w:val="en-NZ" w:eastAsia="ko-KR"/>
        </w:rPr>
        <w:t>Iran</w:t>
      </w:r>
    </w:p>
    <w:p w14:paraId="630648AE" w14:textId="77777777" w:rsidR="000908FB" w:rsidRDefault="000908FB" w:rsidP="00986E7C">
      <w:pPr>
        <w:tabs>
          <w:tab w:val="left" w:pos="1134"/>
          <w:tab w:val="left" w:pos="1871"/>
          <w:tab w:val="left" w:pos="2268"/>
        </w:tabs>
        <w:overflowPunct w:val="0"/>
        <w:autoSpaceDE w:val="0"/>
        <w:autoSpaceDN w:val="0"/>
        <w:adjustRightInd w:val="0"/>
        <w:spacing w:before="120"/>
        <w:jc w:val="both"/>
        <w:rPr>
          <w:rFonts w:eastAsia="Times New Roman"/>
          <w:lang w:eastAsia="ja-JP"/>
        </w:rPr>
      </w:pPr>
      <w:r w:rsidRPr="00986E7C">
        <w:rPr>
          <w:rFonts w:eastAsiaTheme="minorEastAsia"/>
          <w:lang w:eastAsia="ko-KR"/>
        </w:rPr>
        <w:t>Considering</w:t>
      </w:r>
      <w:r w:rsidRPr="00A52B60">
        <w:rPr>
          <w:rFonts w:eastAsia="Times New Roman"/>
          <w:lang w:eastAsia="ja-JP"/>
        </w:rPr>
        <w:t xml:space="preserve"> the ongoing related studies of WP 5D activities, this administration is in view of:</w:t>
      </w:r>
    </w:p>
    <w:p w14:paraId="031F30C7" w14:textId="77777777" w:rsidR="000908FB" w:rsidRDefault="000908FB" w:rsidP="000908FB">
      <w:pPr>
        <w:numPr>
          <w:ilvl w:val="0"/>
          <w:numId w:val="21"/>
        </w:numPr>
        <w:spacing w:after="160" w:line="259" w:lineRule="auto"/>
        <w:jc w:val="both"/>
        <w:rPr>
          <w:rFonts w:eastAsia="Times New Roman"/>
          <w:lang w:eastAsia="ja-JP"/>
        </w:rPr>
      </w:pPr>
      <w:r w:rsidRPr="00252B17">
        <w:rPr>
          <w:rFonts w:eastAsia="Times New Roman"/>
          <w:lang w:eastAsia="ja-JP"/>
        </w:rPr>
        <w:t>Supporting studies</w:t>
      </w:r>
      <w:r w:rsidRPr="00A52B60">
        <w:rPr>
          <w:rFonts w:eastAsia="Times New Roman"/>
          <w:lang w:eastAsia="ja-JP"/>
        </w:rPr>
        <w:t xml:space="preserve"> on the technical and operational aspects of radio networks and systems, as well as spectrum needed, including possible harmonized use of spectrum to support the implementation of narrowband and broadband MTC infrastructures, in order to develop Recommendations, Reports and/or Handbooks, as appropriate.</w:t>
      </w:r>
    </w:p>
    <w:p w14:paraId="5E9EF58B" w14:textId="77777777" w:rsidR="000908FB" w:rsidRPr="00A93AD6" w:rsidRDefault="000908FB" w:rsidP="000908FB">
      <w:pPr>
        <w:numPr>
          <w:ilvl w:val="0"/>
          <w:numId w:val="21"/>
        </w:numPr>
        <w:spacing w:after="160" w:line="259" w:lineRule="auto"/>
        <w:jc w:val="both"/>
        <w:rPr>
          <w:rFonts w:eastAsia="Times New Roman"/>
          <w:lang w:eastAsia="ja-JP"/>
        </w:rPr>
      </w:pPr>
      <w:r w:rsidRPr="00A52B60">
        <w:rPr>
          <w:rFonts w:eastAsia="Times New Roman"/>
          <w:lang w:eastAsia="ja-JP"/>
        </w:rPr>
        <w:t xml:space="preserve">Introduction of any MTC to the frequency bands, </w:t>
      </w:r>
      <w:r w:rsidRPr="00A93AD6">
        <w:rPr>
          <w:rFonts w:eastAsia="Times New Roman"/>
          <w:lang w:eastAsia="ja-JP"/>
        </w:rPr>
        <w:t>shall not put additional constrain on applications that are in operation or planned to operate in future in accordance with the table of frequency allocations.</w:t>
      </w:r>
    </w:p>
    <w:p w14:paraId="133EB8A2" w14:textId="77777777" w:rsidR="000908FB" w:rsidRPr="00A93AD6" w:rsidRDefault="000908FB" w:rsidP="000908FB">
      <w:pPr>
        <w:numPr>
          <w:ilvl w:val="0"/>
          <w:numId w:val="21"/>
        </w:numPr>
        <w:spacing w:after="160" w:line="259" w:lineRule="auto"/>
        <w:jc w:val="both"/>
        <w:rPr>
          <w:rFonts w:eastAsia="Times New Roman"/>
          <w:lang w:eastAsia="ja-JP"/>
        </w:rPr>
      </w:pPr>
      <w:r w:rsidRPr="00A93AD6">
        <w:rPr>
          <w:rFonts w:eastAsia="Times New Roman"/>
          <w:lang w:eastAsia="ja-JP"/>
        </w:rPr>
        <w:t xml:space="preserve">Should APT support identification of spectrum for M2M, it would more appropriate to consider higher frequency bands, such as parts of those bands referred to in AI. 1.13 </w:t>
      </w:r>
      <w:proofErr w:type="gramStart"/>
      <w:r w:rsidRPr="00A93AD6">
        <w:rPr>
          <w:rFonts w:eastAsia="Times New Roman"/>
          <w:lang w:eastAsia="ja-JP"/>
        </w:rPr>
        <w:t>perhaps</w:t>
      </w:r>
      <w:proofErr w:type="gramEnd"/>
      <w:r w:rsidRPr="00A93AD6">
        <w:rPr>
          <w:rFonts w:eastAsia="Times New Roman"/>
          <w:lang w:eastAsia="ja-JP"/>
        </w:rPr>
        <w:t>, upper parts of 24 GHZ band, or above, as appropriate. However, such identification should be based on the results of studies yet to be done, by ITU-R for the reasons mentioned above.</w:t>
      </w:r>
    </w:p>
    <w:p w14:paraId="531AEE21" w14:textId="65882B5A" w:rsidR="002E139F" w:rsidRPr="00601726" w:rsidRDefault="000908FB" w:rsidP="00601726">
      <w:pPr>
        <w:numPr>
          <w:ilvl w:val="0"/>
          <w:numId w:val="21"/>
        </w:numPr>
        <w:spacing w:after="160" w:line="259" w:lineRule="auto"/>
        <w:jc w:val="both"/>
        <w:rPr>
          <w:rFonts w:eastAsia="Times New Roman"/>
          <w:lang w:eastAsia="ja-JP"/>
        </w:rPr>
      </w:pPr>
      <w:r w:rsidRPr="00A93AD6">
        <w:rPr>
          <w:rFonts w:eastAsia="Times New Roman"/>
          <w:lang w:eastAsia="ja-JP"/>
        </w:rPr>
        <w:t xml:space="preserve">This preliminary view may be changed, modified and updated as results of ongoing studies in the ITU-R and other regional organizations. </w:t>
      </w:r>
    </w:p>
    <w:p w14:paraId="1CC7037B" w14:textId="29A0FFD9" w:rsidR="0075734D" w:rsidRPr="00601726" w:rsidRDefault="0075734D" w:rsidP="00601726">
      <w:pPr>
        <w:spacing w:after="120"/>
        <w:jc w:val="both"/>
        <w:rPr>
          <w:b/>
          <w:lang w:val="en-NZ" w:eastAsia="ko-KR"/>
        </w:rPr>
      </w:pPr>
      <w:r w:rsidRPr="006A440B">
        <w:rPr>
          <w:b/>
          <w:lang w:val="en-NZ" w:eastAsia="ko-KR"/>
        </w:rPr>
        <w:lastRenderedPageBreak/>
        <w:t>3.1.</w:t>
      </w:r>
      <w:r w:rsidR="00E10C65" w:rsidRPr="006A440B">
        <w:rPr>
          <w:b/>
          <w:lang w:val="en-NZ" w:eastAsia="ko-KR"/>
        </w:rPr>
        <w:t>5</w:t>
      </w:r>
      <w:r w:rsidR="00601726">
        <w:rPr>
          <w:b/>
          <w:lang w:val="en-NZ" w:eastAsia="ko-KR"/>
        </w:rPr>
        <w:tab/>
      </w:r>
      <w:r w:rsidRPr="006A440B">
        <w:rPr>
          <w:b/>
          <w:lang w:val="en-NZ" w:eastAsia="ko-KR"/>
        </w:rPr>
        <w:t>Indonesia</w:t>
      </w:r>
    </w:p>
    <w:p w14:paraId="39A5421E" w14:textId="33F3FAEE" w:rsidR="0075734D" w:rsidRPr="00601726" w:rsidRDefault="0075734D" w:rsidP="00C4585B">
      <w:pPr>
        <w:spacing w:after="120"/>
        <w:jc w:val="both"/>
      </w:pPr>
      <w:r>
        <w:t xml:space="preserve">Indonesia is </w:t>
      </w:r>
      <w:r w:rsidRPr="00601726">
        <w:rPr>
          <w:b/>
          <w:lang w:val="en-NZ" w:eastAsia="ko-KR"/>
        </w:rPr>
        <w:t>of</w:t>
      </w:r>
      <w:r>
        <w:t xml:space="preserve"> the view that there are several relevant ITU-R Resolutions including Resolution ITU-R 66 “Studies related to wireless systems and applications for the development of the Internet of Things and Resolution ITU R 54 2 “Studies to achieve harmonization for short-range devices”.  Indonesia </w:t>
      </w:r>
      <w:r w:rsidRPr="00252B17">
        <w:t>follow up the study</w:t>
      </w:r>
      <w:r>
        <w:t xml:space="preserve"> on the technical and operational aspects of radio networks and systems, as well as spectrum needed, as these machine type communications are expected to grow rapidly.</w:t>
      </w:r>
      <w:r w:rsidR="00D75546">
        <w:t xml:space="preserve"> </w:t>
      </w:r>
    </w:p>
    <w:p w14:paraId="42585219" w14:textId="2F5AA246" w:rsidR="00205E27" w:rsidRPr="00974EA1" w:rsidRDefault="00205E27" w:rsidP="00205E27">
      <w:pPr>
        <w:spacing w:after="120"/>
        <w:jc w:val="both"/>
        <w:rPr>
          <w:b/>
          <w:lang w:val="en-NZ" w:eastAsia="ko-KR"/>
        </w:rPr>
      </w:pPr>
      <w:r w:rsidRPr="00974EA1">
        <w:rPr>
          <w:b/>
          <w:lang w:val="en-NZ" w:eastAsia="ko-KR"/>
        </w:rPr>
        <w:t>3.1.</w:t>
      </w:r>
      <w:r w:rsidR="00E10C65" w:rsidRPr="00974EA1">
        <w:rPr>
          <w:b/>
          <w:lang w:val="en-NZ" w:eastAsia="ko-KR"/>
        </w:rPr>
        <w:t>6</w:t>
      </w:r>
      <w:r w:rsidR="00601726">
        <w:rPr>
          <w:b/>
          <w:lang w:val="en-NZ" w:eastAsia="ko-KR"/>
        </w:rPr>
        <w:tab/>
      </w:r>
      <w:r w:rsidR="00C80021" w:rsidRPr="00974EA1">
        <w:rPr>
          <w:b/>
          <w:lang w:val="en-NZ" w:eastAsia="ko-KR"/>
        </w:rPr>
        <w:t>Japan</w:t>
      </w:r>
    </w:p>
    <w:p w14:paraId="0A927B0F" w14:textId="2B259DE0" w:rsidR="006A440B" w:rsidRPr="00601726" w:rsidRDefault="006A440B" w:rsidP="006A440B">
      <w:pPr>
        <w:jc w:val="both"/>
        <w:rPr>
          <w:rFonts w:eastAsiaTheme="minorEastAsia"/>
          <w:lang w:val="en-GB" w:eastAsia="ja-JP"/>
        </w:rPr>
      </w:pPr>
      <w:r>
        <w:rPr>
          <w:rFonts w:eastAsiaTheme="minorEastAsia" w:hint="eastAsia"/>
          <w:lang w:val="en-GB" w:eastAsia="ja-JP"/>
        </w:rPr>
        <w:t>Japan</w:t>
      </w:r>
      <w:r w:rsidRPr="003E233F">
        <w:rPr>
          <w:rFonts w:eastAsiaTheme="minorEastAsia"/>
          <w:lang w:val="en-GB" w:eastAsia="ja-JP"/>
        </w:rPr>
        <w:t xml:space="preserve"> </w:t>
      </w:r>
      <w:r w:rsidRPr="00252B17">
        <w:rPr>
          <w:rFonts w:eastAsiaTheme="minorEastAsia"/>
          <w:lang w:val="en-GB" w:eastAsia="ja-JP"/>
        </w:rPr>
        <w:t xml:space="preserve">supports </w:t>
      </w:r>
      <w:r w:rsidRPr="00252B17">
        <w:rPr>
          <w:rFonts w:eastAsiaTheme="minorEastAsia" w:hint="eastAsia"/>
          <w:lang w:val="en-GB" w:eastAsia="ja-JP"/>
        </w:rPr>
        <w:t xml:space="preserve">the </w:t>
      </w:r>
      <w:r w:rsidRPr="00252B17">
        <w:rPr>
          <w:rFonts w:eastAsiaTheme="minorEastAsia"/>
          <w:lang w:val="en-GB" w:eastAsia="ja-JP"/>
        </w:rPr>
        <w:t xml:space="preserve">studies on the technical and operational aspects of radio networks and systems, as well as spectrum needed, including possible harmonized use of spectrum to support the implementation of narrowband and broadband machine-type communication infrastructures, </w:t>
      </w:r>
      <w:r w:rsidRPr="00252B17">
        <w:rPr>
          <w:rFonts w:eastAsiaTheme="minorEastAsia" w:hint="eastAsia"/>
          <w:lang w:val="en-GB" w:eastAsia="ja-JP"/>
        </w:rPr>
        <w:t xml:space="preserve">in accordance with </w:t>
      </w:r>
      <w:r w:rsidRPr="00252B17">
        <w:rPr>
          <w:rFonts w:eastAsiaTheme="minorEastAsia"/>
          <w:lang w:val="en-GB" w:eastAsia="ja-JP"/>
        </w:rPr>
        <w:t>Resolution 958 (WRC-15)</w:t>
      </w:r>
      <w:r w:rsidRPr="00252B17">
        <w:rPr>
          <w:rFonts w:eastAsiaTheme="minorEastAsia" w:hint="eastAsia"/>
          <w:lang w:val="en-GB" w:eastAsia="ja-JP"/>
        </w:rPr>
        <w:t>.</w:t>
      </w:r>
      <w:r>
        <w:rPr>
          <w:rFonts w:eastAsiaTheme="minorEastAsia" w:hint="eastAsia"/>
          <w:lang w:val="en-GB" w:eastAsia="ja-JP"/>
        </w:rPr>
        <w:t xml:space="preserve"> Japan also supports to conduct these studies in light of IMT and non-IMT </w:t>
      </w:r>
      <w:r>
        <w:rPr>
          <w:rFonts w:eastAsiaTheme="minorEastAsia"/>
          <w:lang w:val="en-GB" w:eastAsia="ja-JP"/>
        </w:rPr>
        <w:t>technologies</w:t>
      </w:r>
      <w:r>
        <w:rPr>
          <w:rFonts w:eastAsiaTheme="minorEastAsia" w:hint="eastAsia"/>
          <w:lang w:val="en-GB" w:eastAsia="ja-JP"/>
        </w:rPr>
        <w:t xml:space="preserve"> for MTC applications.</w:t>
      </w:r>
    </w:p>
    <w:p w14:paraId="7E920887" w14:textId="09DB7832" w:rsidR="006A440B" w:rsidRPr="00A51033" w:rsidRDefault="006A440B" w:rsidP="00601726">
      <w:pPr>
        <w:tabs>
          <w:tab w:val="left" w:pos="1134"/>
          <w:tab w:val="left" w:pos="1871"/>
          <w:tab w:val="left" w:pos="2268"/>
        </w:tabs>
        <w:overflowPunct w:val="0"/>
        <w:autoSpaceDE w:val="0"/>
        <w:autoSpaceDN w:val="0"/>
        <w:adjustRightInd w:val="0"/>
        <w:spacing w:before="120"/>
        <w:jc w:val="both"/>
        <w:rPr>
          <w:rFonts w:eastAsiaTheme="minorEastAsia"/>
          <w:lang w:val="en-GB" w:eastAsia="ja-JP"/>
        </w:rPr>
      </w:pPr>
      <w:r>
        <w:rPr>
          <w:rFonts w:eastAsiaTheme="minorEastAsia" w:hint="eastAsia"/>
          <w:lang w:val="en-GB" w:eastAsia="ja-JP"/>
        </w:rPr>
        <w:t xml:space="preserve">Japan </w:t>
      </w:r>
      <w:r w:rsidRPr="00601726">
        <w:rPr>
          <w:rFonts w:eastAsia="Times New Roman" w:hint="eastAsia"/>
          <w:lang w:val="en-GB" w:bidi="en-US"/>
        </w:rPr>
        <w:t>is</w:t>
      </w:r>
      <w:r>
        <w:rPr>
          <w:rFonts w:eastAsiaTheme="minorEastAsia" w:hint="eastAsia"/>
          <w:lang w:val="en-GB" w:eastAsia="ja-JP"/>
        </w:rPr>
        <w:t xml:space="preserve"> of the view that </w:t>
      </w:r>
      <w:r w:rsidRPr="00601726">
        <w:rPr>
          <w:rFonts w:eastAsiaTheme="minorEastAsia"/>
          <w:lang w:eastAsia="ko-KR"/>
        </w:rPr>
        <w:t>IMT</w:t>
      </w:r>
      <w:r w:rsidRPr="00A205A0">
        <w:rPr>
          <w:rFonts w:eastAsiaTheme="minorEastAsia"/>
          <w:lang w:val="en-GB" w:eastAsia="ja-JP"/>
        </w:rPr>
        <w:t xml:space="preserve"> technologies for MTC applications are designed to be used technically within any of the frequency arrangements </w:t>
      </w:r>
      <w:r>
        <w:rPr>
          <w:rFonts w:eastAsiaTheme="minorEastAsia" w:hint="eastAsia"/>
          <w:lang w:val="en-GB" w:eastAsia="ja-JP"/>
        </w:rPr>
        <w:t xml:space="preserve">for IMT bands, and </w:t>
      </w:r>
      <w:r w:rsidRPr="00A205A0">
        <w:rPr>
          <w:rFonts w:eastAsiaTheme="minorEastAsia"/>
          <w:lang w:val="en-GB" w:eastAsia="ja-JP"/>
        </w:rPr>
        <w:t xml:space="preserve">this feature </w:t>
      </w:r>
      <w:r w:rsidRPr="008A0C35">
        <w:rPr>
          <w:rFonts w:eastAsiaTheme="minorEastAsia"/>
          <w:lang w:val="en-GB" w:eastAsia="ja-JP"/>
        </w:rPr>
        <w:t>avoids necessity</w:t>
      </w:r>
      <w:r w:rsidRPr="00974EA1">
        <w:rPr>
          <w:rFonts w:eastAsiaTheme="minorEastAsia"/>
          <w:b/>
          <w:lang w:val="en-GB" w:eastAsia="ja-JP"/>
        </w:rPr>
        <w:t xml:space="preserve"> </w:t>
      </w:r>
      <w:r w:rsidRPr="00A205A0">
        <w:rPr>
          <w:rFonts w:eastAsiaTheme="minorEastAsia"/>
          <w:lang w:val="en-GB" w:eastAsia="ja-JP"/>
        </w:rPr>
        <w:t xml:space="preserve">of </w:t>
      </w:r>
      <w:r>
        <w:rPr>
          <w:rFonts w:eastAsiaTheme="minorEastAsia" w:hint="eastAsia"/>
          <w:lang w:val="en-GB" w:eastAsia="ja-JP"/>
        </w:rPr>
        <w:t xml:space="preserve">further identification of </w:t>
      </w:r>
      <w:r w:rsidRPr="00A205A0">
        <w:rPr>
          <w:rFonts w:eastAsiaTheme="minorEastAsia"/>
          <w:lang w:val="en-GB" w:eastAsia="ja-JP"/>
        </w:rPr>
        <w:t xml:space="preserve">spectrum dedicated </w:t>
      </w:r>
      <w:r>
        <w:rPr>
          <w:rFonts w:eastAsiaTheme="minorEastAsia" w:hint="eastAsia"/>
          <w:lang w:val="en-GB" w:eastAsia="ja-JP"/>
        </w:rPr>
        <w:t>to</w:t>
      </w:r>
      <w:r w:rsidRPr="00A205A0">
        <w:rPr>
          <w:rFonts w:eastAsiaTheme="minorEastAsia"/>
          <w:lang w:val="en-GB" w:eastAsia="ja-JP"/>
        </w:rPr>
        <w:t xml:space="preserve"> MTC applications.</w:t>
      </w:r>
    </w:p>
    <w:p w14:paraId="42FCA136" w14:textId="77777777" w:rsidR="00974EA1" w:rsidRDefault="00974EA1" w:rsidP="00C4585B">
      <w:pPr>
        <w:spacing w:after="120"/>
        <w:jc w:val="both"/>
        <w:rPr>
          <w:b/>
          <w:lang w:val="en-GB" w:eastAsia="ko-KR"/>
        </w:rPr>
      </w:pPr>
    </w:p>
    <w:p w14:paraId="4ADA6F13" w14:textId="2AB8CAE9" w:rsidR="00E10C65" w:rsidRPr="001B4F1E" w:rsidRDefault="00C4585B" w:rsidP="001B4F1E">
      <w:pPr>
        <w:spacing w:after="120"/>
        <w:jc w:val="both"/>
        <w:rPr>
          <w:b/>
          <w:lang w:val="en-NZ" w:eastAsia="ko-KR"/>
        </w:rPr>
      </w:pPr>
      <w:r w:rsidRPr="00974EA1">
        <w:rPr>
          <w:b/>
          <w:lang w:val="en-NZ" w:eastAsia="ko-KR"/>
        </w:rPr>
        <w:t>3.1.</w:t>
      </w:r>
      <w:r w:rsidR="00E10C65" w:rsidRPr="00974EA1">
        <w:rPr>
          <w:b/>
          <w:lang w:val="en-NZ" w:eastAsia="ko-KR"/>
        </w:rPr>
        <w:t>7</w:t>
      </w:r>
      <w:r w:rsidR="00601726">
        <w:rPr>
          <w:b/>
          <w:lang w:val="en-NZ" w:eastAsia="ko-KR"/>
        </w:rPr>
        <w:tab/>
      </w:r>
      <w:r w:rsidR="00E10C65" w:rsidRPr="00974EA1">
        <w:rPr>
          <w:b/>
          <w:lang w:val="en-NZ" w:eastAsia="ko-KR"/>
        </w:rPr>
        <w:t>Thailand</w:t>
      </w:r>
    </w:p>
    <w:p w14:paraId="3F566BAC" w14:textId="5D26751D" w:rsidR="00601726" w:rsidRDefault="00E10C65" w:rsidP="00E10C65">
      <w:pPr>
        <w:jc w:val="thaiDistribute"/>
        <w:rPr>
          <w:rFonts w:cs="Cordia New"/>
          <w:bCs/>
          <w:szCs w:val="30"/>
          <w:lang w:bidi="th-TH"/>
        </w:rPr>
      </w:pPr>
      <w:r w:rsidRPr="00A02CA1">
        <w:rPr>
          <w:lang w:eastAsia="zh-CN"/>
        </w:rPr>
        <w:t xml:space="preserve">Thailand </w:t>
      </w:r>
      <w:r w:rsidRPr="008A0C35">
        <w:rPr>
          <w:lang w:eastAsia="zh-CN"/>
        </w:rPr>
        <w:t>supports studies</w:t>
      </w:r>
      <w:r w:rsidRPr="00A02CA1">
        <w:rPr>
          <w:lang w:eastAsia="zh-CN"/>
        </w:rPr>
        <w:t xml:space="preserve"> currently undertaken by ITU-R Working Party 5</w:t>
      </w:r>
      <w:r>
        <w:rPr>
          <w:lang w:eastAsia="zh-CN"/>
        </w:rPr>
        <w:t>D on technical, operational, and spectrum aspects</w:t>
      </w:r>
      <w:r>
        <w:rPr>
          <w:bCs/>
        </w:rPr>
        <w:t xml:space="preserve"> of the terrestrial component of international mobile telecommunication (IMT)</w:t>
      </w:r>
      <w:r>
        <w:rPr>
          <w:rFonts w:cs="Cordia New" w:hint="cs"/>
          <w:bCs/>
          <w:szCs w:val="30"/>
          <w:cs/>
          <w:lang w:bidi="th-TH"/>
        </w:rPr>
        <w:t xml:space="preserve"> </w:t>
      </w:r>
      <w:r>
        <w:rPr>
          <w:rFonts w:cs="Cordia New"/>
          <w:bCs/>
          <w:szCs w:val="30"/>
          <w:lang w:bidi="th-TH"/>
        </w:rPr>
        <w:t>for narrowband and broadband machine-type communication.</w:t>
      </w:r>
    </w:p>
    <w:p w14:paraId="46B08990" w14:textId="50B4A5E3" w:rsidR="00E10C65" w:rsidRPr="00252B17" w:rsidRDefault="00E10C65" w:rsidP="00601726">
      <w:pPr>
        <w:tabs>
          <w:tab w:val="left" w:pos="1134"/>
          <w:tab w:val="left" w:pos="1871"/>
          <w:tab w:val="left" w:pos="2268"/>
        </w:tabs>
        <w:overflowPunct w:val="0"/>
        <w:autoSpaceDE w:val="0"/>
        <w:autoSpaceDN w:val="0"/>
        <w:adjustRightInd w:val="0"/>
        <w:spacing w:before="120"/>
        <w:jc w:val="both"/>
        <w:rPr>
          <w:b/>
          <w:strike/>
          <w:color w:val="FF0000"/>
          <w:lang w:val="en-NZ" w:eastAsia="ko-KR"/>
        </w:rPr>
      </w:pPr>
      <w:r w:rsidRPr="00601726">
        <w:rPr>
          <w:lang w:eastAsia="zh-CN"/>
        </w:rPr>
        <w:t>Thailand</w:t>
      </w:r>
      <w:r>
        <w:rPr>
          <w:rFonts w:cs="Cordia New"/>
          <w:bCs/>
          <w:szCs w:val="30"/>
          <w:lang w:bidi="th-TH"/>
        </w:rPr>
        <w:t xml:space="preserve"> </w:t>
      </w:r>
      <w:r w:rsidRPr="00601726">
        <w:rPr>
          <w:rFonts w:eastAsiaTheme="minorEastAsia"/>
          <w:lang w:val="en-GB" w:eastAsia="ja-JP"/>
        </w:rPr>
        <w:t>notes</w:t>
      </w:r>
      <w:r>
        <w:rPr>
          <w:rFonts w:cs="Cordia New"/>
          <w:bCs/>
          <w:szCs w:val="30"/>
          <w:lang w:bidi="th-TH"/>
        </w:rPr>
        <w:t xml:space="preserve"> that </w:t>
      </w:r>
      <w:r w:rsidRPr="00601726">
        <w:rPr>
          <w:rFonts w:eastAsiaTheme="minorEastAsia"/>
          <w:lang w:eastAsia="ko-KR"/>
        </w:rPr>
        <w:t>Machine</w:t>
      </w:r>
      <w:r>
        <w:rPr>
          <w:rFonts w:cs="Cordia New"/>
          <w:bCs/>
          <w:szCs w:val="30"/>
          <w:lang w:bidi="th-TH"/>
        </w:rPr>
        <w:t xml:space="preserve"> Type Communication/Internet of Things (</w:t>
      </w:r>
      <w:proofErr w:type="spellStart"/>
      <w:r>
        <w:rPr>
          <w:rFonts w:cs="Cordia New"/>
          <w:bCs/>
          <w:szCs w:val="30"/>
          <w:lang w:bidi="th-TH"/>
        </w:rPr>
        <w:t>IoT</w:t>
      </w:r>
      <w:proofErr w:type="spellEnd"/>
      <w:r>
        <w:rPr>
          <w:rFonts w:cs="Cordia New"/>
          <w:bCs/>
          <w:szCs w:val="30"/>
          <w:lang w:bidi="th-TH"/>
        </w:rPr>
        <w:t xml:space="preserve">) applications can be used both in IMT and non-IMT bands. For IMT band, Thailand is of the view that technical and operational aspects of radio networks and systems require further study, particularly with regard to common and appropriate air interface of such system. </w:t>
      </w:r>
      <w:r w:rsidRPr="00A93AD6">
        <w:rPr>
          <w:rFonts w:cs="Cordia New"/>
          <w:bCs/>
          <w:szCs w:val="30"/>
          <w:lang w:bidi="th-TH"/>
        </w:rPr>
        <w:t xml:space="preserve">For non-IMT band, Thailand is of the view that harmonized use of spectrum on regional level would benefit </w:t>
      </w:r>
      <w:proofErr w:type="spellStart"/>
      <w:r w:rsidRPr="00A93AD6">
        <w:rPr>
          <w:rFonts w:cs="Cordia New"/>
          <w:bCs/>
          <w:szCs w:val="30"/>
          <w:lang w:bidi="th-TH"/>
        </w:rPr>
        <w:t>IoT</w:t>
      </w:r>
      <w:proofErr w:type="spellEnd"/>
      <w:r w:rsidRPr="00A93AD6">
        <w:rPr>
          <w:rFonts w:cs="Cordia New"/>
          <w:bCs/>
          <w:szCs w:val="30"/>
          <w:lang w:bidi="th-TH"/>
        </w:rPr>
        <w:t xml:space="preserve"> growth. Thailand is planning to introduce the 920-925</w:t>
      </w:r>
      <w:r w:rsidRPr="00A93AD6">
        <w:rPr>
          <w:rFonts w:cs="Cordia New" w:hint="cs"/>
          <w:bCs/>
          <w:szCs w:val="30"/>
          <w:cs/>
          <w:lang w:bidi="th-TH"/>
        </w:rPr>
        <w:t xml:space="preserve"> </w:t>
      </w:r>
      <w:r w:rsidRPr="00A93AD6">
        <w:rPr>
          <w:rFonts w:cs="Cordia New"/>
          <w:bCs/>
          <w:szCs w:val="30"/>
          <w:lang w:bidi="th-TH"/>
        </w:rPr>
        <w:t>MHz</w:t>
      </w:r>
      <w:r w:rsidRPr="00A93AD6">
        <w:rPr>
          <w:rFonts w:cs="Cordia New" w:hint="cs"/>
          <w:bCs/>
          <w:szCs w:val="30"/>
          <w:cs/>
          <w:lang w:bidi="th-TH"/>
        </w:rPr>
        <w:t xml:space="preserve"> </w:t>
      </w:r>
      <w:r w:rsidRPr="00A93AD6">
        <w:rPr>
          <w:rFonts w:cs="Cordia New"/>
          <w:bCs/>
          <w:szCs w:val="30"/>
          <w:lang w:bidi="th-TH"/>
        </w:rPr>
        <w:t xml:space="preserve">band for </w:t>
      </w:r>
      <w:proofErr w:type="spellStart"/>
      <w:r w:rsidRPr="00A93AD6">
        <w:rPr>
          <w:rFonts w:cs="Cordia New"/>
          <w:bCs/>
          <w:szCs w:val="30"/>
          <w:lang w:bidi="th-TH"/>
        </w:rPr>
        <w:t>IoT</w:t>
      </w:r>
      <w:proofErr w:type="spellEnd"/>
      <w:r w:rsidRPr="00A93AD6">
        <w:rPr>
          <w:rFonts w:cs="Cordia New"/>
          <w:bCs/>
          <w:szCs w:val="30"/>
          <w:lang w:bidi="th-TH"/>
        </w:rPr>
        <w:t xml:space="preserve"> applications. Thailand further encourages APT Member countries to find appropriate band for regional harmonization</w:t>
      </w:r>
      <w:r>
        <w:rPr>
          <w:rFonts w:cs="Cordia New"/>
          <w:bCs/>
          <w:szCs w:val="30"/>
          <w:lang w:bidi="th-TH"/>
        </w:rPr>
        <w:t>.</w:t>
      </w:r>
      <w:r w:rsidR="004B2010">
        <w:rPr>
          <w:rFonts w:cs="Cordia New"/>
          <w:bCs/>
          <w:szCs w:val="30"/>
          <w:lang w:bidi="th-TH"/>
        </w:rPr>
        <w:t xml:space="preserve"> </w:t>
      </w:r>
    </w:p>
    <w:p w14:paraId="7C90C9CB" w14:textId="10C5909C" w:rsidR="003F0AC4" w:rsidRPr="00601726" w:rsidRDefault="00064165" w:rsidP="00601726">
      <w:pPr>
        <w:tabs>
          <w:tab w:val="left" w:pos="1134"/>
          <w:tab w:val="left" w:pos="1871"/>
          <w:tab w:val="left" w:pos="2268"/>
        </w:tabs>
        <w:overflowPunct w:val="0"/>
        <w:autoSpaceDE w:val="0"/>
        <w:autoSpaceDN w:val="0"/>
        <w:adjustRightInd w:val="0"/>
        <w:spacing w:before="120"/>
        <w:textAlignment w:val="baseline"/>
        <w:rPr>
          <w:rFonts w:eastAsia="MS Mincho"/>
          <w:szCs w:val="20"/>
          <w:lang w:val="en-GB" w:eastAsia="ja-JP"/>
        </w:rPr>
      </w:pPr>
      <w:r w:rsidRPr="00DA2674">
        <w:rPr>
          <w:rFonts w:eastAsia="MS Mincho" w:hint="eastAsia"/>
          <w:szCs w:val="20"/>
          <w:lang w:val="en-GB" w:eastAsia="ja-JP"/>
        </w:rPr>
        <w:t xml:space="preserve"> </w:t>
      </w:r>
    </w:p>
    <w:p w14:paraId="0D996EBD" w14:textId="77777777" w:rsidR="00C4585B" w:rsidRPr="003471DF" w:rsidRDefault="00C4585B" w:rsidP="00C4585B">
      <w:pPr>
        <w:spacing w:after="120"/>
        <w:jc w:val="both"/>
        <w:rPr>
          <w:b/>
          <w:color w:val="000000" w:themeColor="text1"/>
          <w:lang w:val="en-NZ"/>
        </w:rPr>
      </w:pPr>
      <w:r w:rsidRPr="003471DF">
        <w:rPr>
          <w:b/>
          <w:color w:val="000000" w:themeColor="text1"/>
          <w:lang w:val="en-NZ"/>
        </w:rPr>
        <w:t xml:space="preserve">3.2 </w:t>
      </w:r>
      <w:r w:rsidRPr="003471DF">
        <w:rPr>
          <w:b/>
          <w:color w:val="000000" w:themeColor="text1"/>
          <w:lang w:val="en-NZ"/>
        </w:rPr>
        <w:tab/>
      </w:r>
      <w:r w:rsidRPr="003471DF">
        <w:rPr>
          <w:b/>
          <w:color w:val="000000" w:themeColor="text1"/>
          <w:lang w:val="en-NZ" w:eastAsia="ko-KR"/>
        </w:rPr>
        <w:t>Key</w:t>
      </w:r>
      <w:r w:rsidRPr="003471DF">
        <w:rPr>
          <w:b/>
          <w:color w:val="000000" w:themeColor="text1"/>
          <w:lang w:val="en-NZ"/>
        </w:rPr>
        <w:t xml:space="preserve"> </w:t>
      </w:r>
      <w:r w:rsidRPr="003471DF">
        <w:rPr>
          <w:b/>
          <w:color w:val="000000" w:themeColor="text1"/>
          <w:lang w:val="en-NZ" w:eastAsia="ko-KR"/>
        </w:rPr>
        <w:t>points</w:t>
      </w:r>
      <w:r w:rsidRPr="003471DF">
        <w:rPr>
          <w:b/>
          <w:color w:val="000000" w:themeColor="text1"/>
          <w:lang w:val="en-NZ"/>
        </w:rPr>
        <w:t xml:space="preserve"> raised during the meeting</w:t>
      </w:r>
    </w:p>
    <w:p w14:paraId="63B69885" w14:textId="22B58EAB" w:rsidR="00662081" w:rsidRPr="00662081" w:rsidRDefault="00662081" w:rsidP="001C12C9">
      <w:pPr>
        <w:tabs>
          <w:tab w:val="left" w:pos="3390"/>
        </w:tabs>
        <w:spacing w:after="100" w:afterAutospacing="1"/>
        <w:rPr>
          <w:rFonts w:eastAsia="Times New Roman"/>
          <w:lang w:val="en-GB" w:bidi="en-US"/>
        </w:rPr>
      </w:pPr>
      <w:r w:rsidRPr="00662081">
        <w:rPr>
          <w:color w:val="000000" w:themeColor="text1"/>
          <w:lang w:val="en-NZ"/>
        </w:rPr>
        <w:t xml:space="preserve">APT Members </w:t>
      </w:r>
      <w:r w:rsidR="001C12C9">
        <w:rPr>
          <w:color w:val="000000" w:themeColor="text1"/>
          <w:lang w:val="en-NZ"/>
        </w:rPr>
        <w:t xml:space="preserve">endorse the current conclusion of draft CPM text </w:t>
      </w:r>
      <w:r w:rsidRPr="005945A9">
        <w:rPr>
          <w:rFonts w:eastAsia="Times New Roman"/>
          <w:lang w:val="en-GB" w:bidi="en-US"/>
        </w:rPr>
        <w:t>that no change to the Radio Regulations is required under this issue.</w:t>
      </w:r>
      <w:r w:rsidR="005945A9">
        <w:rPr>
          <w:rFonts w:eastAsia="Times New Roman"/>
          <w:lang w:val="en-GB" w:bidi="en-US"/>
        </w:rPr>
        <w:t xml:space="preserve"> (</w:t>
      </w:r>
      <w:r w:rsidR="00F60C50" w:rsidRPr="00F60C50">
        <w:rPr>
          <w:rFonts w:eastAsia="Times New Roman"/>
          <w:lang w:val="en-GB" w:bidi="en-US"/>
        </w:rPr>
        <w:t>Document 5D/666-Chapter 3-</w:t>
      </w:r>
      <w:r w:rsidR="005E7386" w:rsidRPr="00F60C50">
        <w:rPr>
          <w:rFonts w:eastAsia="Times New Roman"/>
          <w:lang w:val="en-GB" w:bidi="en-US"/>
        </w:rPr>
        <w:t>Attachment 3.11</w:t>
      </w:r>
      <w:r w:rsidR="005945A9">
        <w:rPr>
          <w:rFonts w:eastAsia="Times New Roman"/>
          <w:lang w:val="en-GB" w:bidi="en-US"/>
        </w:rPr>
        <w:t>)</w:t>
      </w:r>
    </w:p>
    <w:p w14:paraId="63818E16" w14:textId="6F061E33" w:rsidR="00C4585B" w:rsidRPr="00662081" w:rsidRDefault="007A507E" w:rsidP="00662081">
      <w:pPr>
        <w:tabs>
          <w:tab w:val="left" w:pos="3390"/>
        </w:tabs>
        <w:spacing w:after="100" w:afterAutospacing="1"/>
        <w:rPr>
          <w:rFonts w:eastAsia="Times New Roman"/>
          <w:lang w:val="en-GB" w:bidi="en-US"/>
        </w:rPr>
      </w:pPr>
      <w:r>
        <w:rPr>
          <w:b/>
          <w:lang w:eastAsia="ko-KR"/>
        </w:rPr>
        <w:t>4</w:t>
      </w:r>
      <w:r w:rsidR="006A02CF">
        <w:rPr>
          <w:b/>
          <w:lang w:eastAsia="ko-KR"/>
        </w:rPr>
        <w:t>. APT Preliminary View</w:t>
      </w:r>
      <w:r w:rsidR="00C4585B">
        <w:rPr>
          <w:b/>
          <w:lang w:eastAsia="ko-KR"/>
        </w:rPr>
        <w:t>(</w:t>
      </w:r>
      <w:r w:rsidR="006A02CF">
        <w:rPr>
          <w:b/>
          <w:lang w:eastAsia="ko-KR"/>
        </w:rPr>
        <w:t>s</w:t>
      </w:r>
      <w:r w:rsidR="00C4585B">
        <w:rPr>
          <w:b/>
          <w:lang w:eastAsia="ko-KR"/>
        </w:rPr>
        <w:t>)</w:t>
      </w:r>
    </w:p>
    <w:p w14:paraId="39316D57" w14:textId="5300F09A" w:rsidR="00A26CDA" w:rsidRPr="008A0C35" w:rsidRDefault="00BF7253" w:rsidP="008A0C35">
      <w:pPr>
        <w:spacing w:after="120"/>
        <w:jc w:val="both"/>
        <w:rPr>
          <w:b/>
          <w:color w:val="000000" w:themeColor="text1"/>
          <w:lang w:eastAsia="ko-KR"/>
        </w:rPr>
      </w:pPr>
      <w:r w:rsidRPr="008A0C35">
        <w:rPr>
          <w:rFonts w:eastAsia="MS Mincho"/>
          <w:color w:val="000000" w:themeColor="text1"/>
          <w:szCs w:val="20"/>
          <w:lang w:val="en-GB" w:eastAsia="ja-JP"/>
        </w:rPr>
        <w:t xml:space="preserve">APT </w:t>
      </w:r>
      <w:r w:rsidRPr="008A0C35">
        <w:rPr>
          <w:rFonts w:eastAsia="MS Mincho" w:hint="eastAsia"/>
          <w:color w:val="000000" w:themeColor="text1"/>
          <w:szCs w:val="20"/>
          <w:lang w:val="en-GB" w:eastAsia="ja-JP"/>
        </w:rPr>
        <w:t>M</w:t>
      </w:r>
      <w:r w:rsidRPr="008A0C35">
        <w:rPr>
          <w:rFonts w:eastAsia="MS Mincho"/>
          <w:color w:val="000000" w:themeColor="text1"/>
          <w:szCs w:val="20"/>
          <w:lang w:val="en-GB" w:eastAsia="ja-JP"/>
        </w:rPr>
        <w:t>ember</w:t>
      </w:r>
      <w:r w:rsidR="00ED40A7" w:rsidRPr="008A0C35">
        <w:rPr>
          <w:rFonts w:eastAsia="MS Mincho" w:hint="eastAsia"/>
          <w:color w:val="000000" w:themeColor="text1"/>
          <w:szCs w:val="20"/>
          <w:lang w:val="en-GB" w:eastAsia="ja-JP"/>
        </w:rPr>
        <w:t>s</w:t>
      </w:r>
      <w:r w:rsidR="00601726">
        <w:rPr>
          <w:rFonts w:eastAsia="MS Mincho"/>
          <w:color w:val="000000" w:themeColor="text1"/>
          <w:szCs w:val="20"/>
          <w:lang w:val="en-GB" w:eastAsia="ja-JP"/>
        </w:rPr>
        <w:t xml:space="preserve"> </w:t>
      </w:r>
      <w:r w:rsidRPr="008A0C35">
        <w:rPr>
          <w:rFonts w:eastAsia="MS Mincho" w:hint="eastAsia"/>
          <w:color w:val="000000" w:themeColor="text1"/>
          <w:szCs w:val="20"/>
          <w:lang w:val="en-GB" w:eastAsia="ja-JP"/>
        </w:rPr>
        <w:t xml:space="preserve">support </w:t>
      </w:r>
      <w:r w:rsidR="00D50DE7" w:rsidRPr="008A0C35">
        <w:rPr>
          <w:iCs/>
          <w:color w:val="000000" w:themeColor="text1"/>
          <w:lang w:val="id-ID"/>
        </w:rPr>
        <w:t>studies</w:t>
      </w:r>
      <w:r w:rsidR="00D50DE7" w:rsidRPr="008A0C35">
        <w:rPr>
          <w:i/>
          <w:iCs/>
          <w:color w:val="000000" w:themeColor="text1"/>
          <w:lang w:val="id-ID"/>
        </w:rPr>
        <w:t xml:space="preserve"> </w:t>
      </w:r>
      <w:r w:rsidR="00D50DE7" w:rsidRPr="008A0C35">
        <w:rPr>
          <w:iCs/>
          <w:color w:val="000000" w:themeColor="text1"/>
          <w:lang w:val="id-ID"/>
        </w:rPr>
        <w:t>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Radiocommunication Sector (ITU-R) scope of work</w:t>
      </w:r>
      <w:r w:rsidR="00D50DE7" w:rsidRPr="008A0C35">
        <w:rPr>
          <w:color w:val="000000" w:themeColor="text1"/>
        </w:rPr>
        <w:t>, in accordance with Resolution</w:t>
      </w:r>
      <w:r w:rsidR="00D50DE7" w:rsidRPr="008A0C35">
        <w:rPr>
          <w:iCs/>
          <w:color w:val="000000" w:themeColor="text1"/>
        </w:rPr>
        <w:t xml:space="preserve"> </w:t>
      </w:r>
      <w:r w:rsidR="00D50DE7" w:rsidRPr="008A0C35">
        <w:rPr>
          <w:b/>
          <w:iCs/>
          <w:color w:val="000000" w:themeColor="text1"/>
        </w:rPr>
        <w:t xml:space="preserve">958 </w:t>
      </w:r>
      <w:r w:rsidR="00D50DE7" w:rsidRPr="008A0C35">
        <w:rPr>
          <w:rFonts w:eastAsiaTheme="minorEastAsia"/>
          <w:b/>
          <w:color w:val="000000" w:themeColor="text1"/>
          <w:lang w:val="en-GB" w:eastAsia="ja-JP"/>
        </w:rPr>
        <w:t>(WRC-15)</w:t>
      </w:r>
      <w:r w:rsidR="00D50DE7" w:rsidRPr="008A0C35">
        <w:rPr>
          <w:rFonts w:eastAsiaTheme="minorEastAsia" w:hint="eastAsia"/>
          <w:color w:val="000000" w:themeColor="text1"/>
          <w:lang w:val="en-GB" w:eastAsia="ja-JP"/>
        </w:rPr>
        <w:t>.</w:t>
      </w:r>
    </w:p>
    <w:p w14:paraId="6315F381" w14:textId="77777777" w:rsidR="00117C85" w:rsidRDefault="00117C85" w:rsidP="00BF7253">
      <w:pPr>
        <w:tabs>
          <w:tab w:val="left" w:pos="1134"/>
          <w:tab w:val="left" w:pos="1871"/>
          <w:tab w:val="left" w:pos="2268"/>
        </w:tabs>
        <w:overflowPunct w:val="0"/>
        <w:autoSpaceDE w:val="0"/>
        <w:autoSpaceDN w:val="0"/>
        <w:adjustRightInd w:val="0"/>
        <w:spacing w:before="120"/>
        <w:textAlignment w:val="baseline"/>
        <w:rPr>
          <w:rFonts w:eastAsia="MS Mincho"/>
          <w:szCs w:val="20"/>
          <w:lang w:val="en-GB" w:eastAsia="ja-JP"/>
        </w:rPr>
      </w:pPr>
    </w:p>
    <w:p w14:paraId="338363C9" w14:textId="7122E275" w:rsidR="00EF5F6F" w:rsidRPr="008A0C35" w:rsidRDefault="007A507E" w:rsidP="008A0C35">
      <w:pPr>
        <w:spacing w:after="120"/>
        <w:jc w:val="both"/>
        <w:rPr>
          <w:b/>
          <w:lang w:eastAsia="ko-KR"/>
        </w:rPr>
      </w:pPr>
      <w:r>
        <w:rPr>
          <w:b/>
          <w:lang w:eastAsia="ko-KR"/>
        </w:rPr>
        <w:t>5</w:t>
      </w:r>
      <w:r w:rsidR="006A02CF">
        <w:rPr>
          <w:b/>
          <w:lang w:eastAsia="ko-KR"/>
        </w:rPr>
        <w:t>. Other Views:</w:t>
      </w:r>
    </w:p>
    <w:p w14:paraId="6A7B6D49" w14:textId="1FAE0677" w:rsidR="000A0D53" w:rsidRPr="00601726" w:rsidRDefault="00EF0DD0" w:rsidP="00601726">
      <w:pPr>
        <w:jc w:val="both"/>
        <w:rPr>
          <w:rFonts w:eastAsia="MS Mincho"/>
          <w:lang w:eastAsia="ja-JP"/>
        </w:rPr>
      </w:pPr>
      <w:r w:rsidRPr="00EF5F6F">
        <w:rPr>
          <w:rFonts w:eastAsia="MS Mincho" w:hint="eastAsia"/>
          <w:lang w:eastAsia="ja-JP"/>
        </w:rPr>
        <w:t>None</w:t>
      </w:r>
    </w:p>
    <w:p w14:paraId="53E60EBC" w14:textId="675A8CB3" w:rsidR="006A02CF" w:rsidRPr="0051685B" w:rsidRDefault="000A0D53" w:rsidP="00C357AD">
      <w:pPr>
        <w:jc w:val="both"/>
        <w:rPr>
          <w:b/>
        </w:rPr>
      </w:pPr>
      <w:r>
        <w:rPr>
          <w:b/>
        </w:rPr>
        <w:t>6</w:t>
      </w:r>
      <w:r w:rsidRPr="0051685B">
        <w:rPr>
          <w:b/>
        </w:rPr>
        <w:t xml:space="preserve">. </w:t>
      </w:r>
      <w:r w:rsidRPr="0051685B">
        <w:rPr>
          <w:b/>
          <w:lang w:val="en-NZ"/>
        </w:rPr>
        <w:t>Views from Other Organisations</w:t>
      </w:r>
    </w:p>
    <w:p w14:paraId="11C4941C" w14:textId="77777777" w:rsidR="003F0AC4" w:rsidRDefault="003F0AC4" w:rsidP="003F0AC4">
      <w:pPr>
        <w:rPr>
          <w:color w:val="FF0000"/>
          <w:lang w:val="en-NZ"/>
        </w:rPr>
      </w:pPr>
    </w:p>
    <w:p w14:paraId="604D187C" w14:textId="02AD4212" w:rsidR="0038745F" w:rsidRDefault="0038745F" w:rsidP="0038745F">
      <w:pPr>
        <w:spacing w:after="120"/>
        <w:jc w:val="both"/>
        <w:rPr>
          <w:b/>
          <w:lang w:val="en-NZ" w:eastAsia="ko-KR"/>
        </w:rPr>
      </w:pPr>
      <w:r>
        <w:rPr>
          <w:b/>
          <w:lang w:val="en-NZ" w:eastAsia="ko-KR"/>
        </w:rPr>
        <w:t>6.1</w:t>
      </w:r>
      <w:r w:rsidR="00601726">
        <w:rPr>
          <w:b/>
          <w:lang w:val="en-NZ" w:eastAsia="ko-KR"/>
        </w:rPr>
        <w:tab/>
      </w:r>
      <w:r>
        <w:rPr>
          <w:b/>
          <w:lang w:val="en-NZ" w:eastAsia="ko-KR"/>
        </w:rPr>
        <w:t>ASMG</w:t>
      </w:r>
    </w:p>
    <w:p w14:paraId="6CEDE13F" w14:textId="53CF8C01" w:rsidR="0038745F" w:rsidRPr="004F0328" w:rsidRDefault="00516C66" w:rsidP="00601726">
      <w:pPr>
        <w:rPr>
          <w:rFonts w:eastAsia="Times New Roman"/>
          <w:strike/>
        </w:rPr>
      </w:pPr>
      <w:r w:rsidRPr="0051685B">
        <w:lastRenderedPageBreak/>
        <w:t>Support the use of regionally or globally harmonized frequency bands in the frequency bands identified for IMT systems for Internet</w:t>
      </w:r>
      <w:r w:rsidR="00DF4308">
        <w:t xml:space="preserve"> </w:t>
      </w:r>
      <w:r w:rsidRPr="0051685B">
        <w:t>of Things</w:t>
      </w:r>
      <w:r w:rsidR="0038745F" w:rsidRPr="0051685B">
        <w:t xml:space="preserve"> (</w:t>
      </w:r>
      <w:proofErr w:type="spellStart"/>
      <w:r w:rsidR="0038745F" w:rsidRPr="0051685B">
        <w:t>IoT</w:t>
      </w:r>
      <w:proofErr w:type="spellEnd"/>
      <w:r w:rsidR="0038745F" w:rsidRPr="0051685B">
        <w:t>) applications and systems</w:t>
      </w:r>
      <w:r w:rsidR="001B4F1E">
        <w:t>.</w:t>
      </w:r>
    </w:p>
    <w:p w14:paraId="5AEB7C39" w14:textId="77777777" w:rsidR="009E389F" w:rsidRDefault="009E389F" w:rsidP="00601726">
      <w:pPr>
        <w:rPr>
          <w:bCs/>
          <w:color w:val="0000FF"/>
        </w:rPr>
      </w:pPr>
    </w:p>
    <w:p w14:paraId="1D063693" w14:textId="04A49B24" w:rsidR="00601726" w:rsidRPr="00601726" w:rsidRDefault="00FC5F15" w:rsidP="00782050">
      <w:pPr>
        <w:jc w:val="both"/>
        <w:rPr>
          <w:b/>
          <w:bCs/>
        </w:rPr>
      </w:pPr>
      <w:r w:rsidRPr="0051685B">
        <w:rPr>
          <w:b/>
          <w:bCs/>
        </w:rPr>
        <w:t>6.</w:t>
      </w:r>
      <w:r w:rsidR="008A07DF">
        <w:rPr>
          <w:b/>
          <w:bCs/>
        </w:rPr>
        <w:t>2</w:t>
      </w:r>
      <w:r w:rsidR="00601726">
        <w:rPr>
          <w:b/>
          <w:bCs/>
        </w:rPr>
        <w:tab/>
        <w:t>CITE</w:t>
      </w:r>
      <w:r w:rsidR="008219DD">
        <w:rPr>
          <w:b/>
          <w:bCs/>
        </w:rPr>
        <w:t>L</w:t>
      </w:r>
    </w:p>
    <w:p w14:paraId="4E9341DD" w14:textId="77777777" w:rsidR="008219DD" w:rsidRPr="005F3BE9" w:rsidRDefault="008219DD" w:rsidP="008219DD">
      <w:pPr>
        <w:tabs>
          <w:tab w:val="left" w:pos="1134"/>
          <w:tab w:val="left" w:pos="1871"/>
          <w:tab w:val="left" w:pos="2268"/>
        </w:tabs>
        <w:overflowPunct w:val="0"/>
        <w:autoSpaceDE w:val="0"/>
        <w:autoSpaceDN w:val="0"/>
        <w:adjustRightInd w:val="0"/>
        <w:spacing w:before="120"/>
        <w:jc w:val="both"/>
        <w:rPr>
          <w:rFonts w:eastAsiaTheme="minorEastAsia"/>
          <w:b/>
          <w:lang w:eastAsia="ko-KR"/>
        </w:rPr>
      </w:pPr>
      <w:r w:rsidRPr="005F3BE9">
        <w:rPr>
          <w:rFonts w:eastAsiaTheme="minorEastAsia"/>
          <w:b/>
          <w:lang w:eastAsia="ko-KR"/>
        </w:rPr>
        <w:t>B</w:t>
      </w:r>
      <w:r>
        <w:rPr>
          <w:rFonts w:eastAsiaTheme="minorEastAsia"/>
          <w:b/>
          <w:lang w:eastAsia="ko-KR"/>
        </w:rPr>
        <w:t>razil and</w:t>
      </w:r>
      <w:r w:rsidRPr="005F3BE9">
        <w:rPr>
          <w:rFonts w:eastAsiaTheme="minorEastAsia"/>
          <w:b/>
          <w:lang w:eastAsia="ko-KR"/>
        </w:rPr>
        <w:t xml:space="preserve"> C</w:t>
      </w:r>
      <w:r>
        <w:rPr>
          <w:rFonts w:eastAsiaTheme="minorEastAsia"/>
          <w:b/>
          <w:lang w:eastAsia="ko-KR"/>
        </w:rPr>
        <w:t>anada</w:t>
      </w:r>
    </w:p>
    <w:p w14:paraId="02529CFF" w14:textId="77777777" w:rsidR="008219DD" w:rsidRDefault="008219DD" w:rsidP="008219DD">
      <w:pPr>
        <w:tabs>
          <w:tab w:val="left" w:pos="1134"/>
          <w:tab w:val="left" w:pos="1871"/>
          <w:tab w:val="left" w:pos="2268"/>
        </w:tabs>
        <w:overflowPunct w:val="0"/>
        <w:autoSpaceDE w:val="0"/>
        <w:autoSpaceDN w:val="0"/>
        <w:adjustRightInd w:val="0"/>
        <w:spacing w:before="120"/>
        <w:jc w:val="both"/>
        <w:rPr>
          <w:rFonts w:eastAsia="Times New Roman"/>
          <w:strike/>
        </w:rPr>
      </w:pPr>
      <w:r w:rsidRPr="00601726">
        <w:rPr>
          <w:rFonts w:eastAsiaTheme="minorEastAsia"/>
          <w:lang w:eastAsia="ko-KR"/>
        </w:rPr>
        <w:t>These</w:t>
      </w:r>
      <w:r w:rsidRPr="00FC5F15">
        <w:t xml:space="preserve"> administrations </w:t>
      </w:r>
      <w:r w:rsidRPr="00601726">
        <w:t>have</w:t>
      </w:r>
      <w:r w:rsidRPr="00FC5F15">
        <w:t xml:space="preserve"> analyzed the current and future spectrum use for MTC and </w:t>
      </w:r>
      <w:proofErr w:type="spellStart"/>
      <w:r w:rsidRPr="00FC5F15">
        <w:t>IoT</w:t>
      </w:r>
      <w:proofErr w:type="spellEnd"/>
      <w:r w:rsidRPr="00FC5F15">
        <w:t xml:space="preserve">, also, are taking in to account the importance to know the development and eventual findings of the studies related to issue 9.1.8 of Agenda Item 9.1 of the WRC-19. Accordingly, MTC and </w:t>
      </w:r>
      <w:proofErr w:type="spellStart"/>
      <w:r w:rsidRPr="00FC5F15">
        <w:t>IoT</w:t>
      </w:r>
      <w:proofErr w:type="spellEnd"/>
      <w:r w:rsidRPr="00FC5F15">
        <w:t xml:space="preserve"> applications and devices can be used effectively with all the benefits of the existent mobile broadband bands and the new frequency bands being studied for IMT. This approach avoids the necessity of stablish dedicated spectrum exclusively for MTC and </w:t>
      </w:r>
      <w:proofErr w:type="spellStart"/>
      <w:r w:rsidRPr="00FC5F15">
        <w:t>IoT</w:t>
      </w:r>
      <w:proofErr w:type="spellEnd"/>
      <w:r w:rsidRPr="00FC5F15">
        <w:t xml:space="preserve"> applications on identified IMT bands. </w:t>
      </w:r>
    </w:p>
    <w:p w14:paraId="28CE327C" w14:textId="77777777" w:rsidR="008219DD" w:rsidRPr="00601726" w:rsidRDefault="008219DD" w:rsidP="00601726">
      <w:pPr>
        <w:tabs>
          <w:tab w:val="left" w:pos="1134"/>
          <w:tab w:val="left" w:pos="1871"/>
          <w:tab w:val="left" w:pos="2268"/>
        </w:tabs>
        <w:overflowPunct w:val="0"/>
        <w:autoSpaceDE w:val="0"/>
        <w:autoSpaceDN w:val="0"/>
        <w:adjustRightInd w:val="0"/>
        <w:spacing w:before="120"/>
        <w:jc w:val="both"/>
        <w:rPr>
          <w:rFonts w:eastAsia="Times New Roman"/>
          <w:strike/>
        </w:rPr>
      </w:pPr>
    </w:p>
    <w:p w14:paraId="126862C6" w14:textId="364B3CC0" w:rsidR="00601726" w:rsidRPr="00601726" w:rsidRDefault="00782050" w:rsidP="00782050">
      <w:pPr>
        <w:jc w:val="both"/>
        <w:rPr>
          <w:b/>
          <w:bCs/>
        </w:rPr>
      </w:pPr>
      <w:r w:rsidRPr="00DF382F">
        <w:rPr>
          <w:b/>
          <w:bCs/>
        </w:rPr>
        <w:t>6.</w:t>
      </w:r>
      <w:r w:rsidR="008A07DF">
        <w:rPr>
          <w:b/>
          <w:bCs/>
        </w:rPr>
        <w:t>3</w:t>
      </w:r>
      <w:r w:rsidR="00601726">
        <w:rPr>
          <w:b/>
          <w:bCs/>
        </w:rPr>
        <w:tab/>
      </w:r>
      <w:r w:rsidR="0076135F" w:rsidRPr="00DF382F">
        <w:rPr>
          <w:b/>
          <w:bCs/>
        </w:rPr>
        <w:t>RCC</w:t>
      </w:r>
    </w:p>
    <w:p w14:paraId="18F93F2E" w14:textId="13D0513D" w:rsidR="00306FB9" w:rsidRDefault="00782050" w:rsidP="00601726">
      <w:pPr>
        <w:tabs>
          <w:tab w:val="left" w:pos="1134"/>
          <w:tab w:val="left" w:pos="1871"/>
          <w:tab w:val="left" w:pos="2268"/>
        </w:tabs>
        <w:overflowPunct w:val="0"/>
        <w:autoSpaceDE w:val="0"/>
        <w:autoSpaceDN w:val="0"/>
        <w:adjustRightInd w:val="0"/>
        <w:spacing w:before="120"/>
        <w:jc w:val="both"/>
      </w:pPr>
      <w:r w:rsidRPr="00547689">
        <w:t>The RCC Administrations support the development of ITU-R Recommendations, Reports and/or Handbooks on technical and operational aspects of using different radio networks and systems, as well as on spectrum needed and experience in spectrum use, to support the implementation of narrowband and broadband machine-type communication infrastructures.</w:t>
      </w:r>
    </w:p>
    <w:p w14:paraId="6C215857" w14:textId="49A1F057" w:rsidR="00B84ACA" w:rsidRPr="00601726" w:rsidRDefault="00782050" w:rsidP="00601726">
      <w:pPr>
        <w:tabs>
          <w:tab w:val="left" w:pos="1134"/>
          <w:tab w:val="left" w:pos="1871"/>
          <w:tab w:val="left" w:pos="2268"/>
        </w:tabs>
        <w:overflowPunct w:val="0"/>
        <w:autoSpaceDE w:val="0"/>
        <w:autoSpaceDN w:val="0"/>
        <w:adjustRightInd w:val="0"/>
        <w:spacing w:before="120"/>
        <w:jc w:val="both"/>
        <w:rPr>
          <w:rFonts w:eastAsia="Times New Roman"/>
        </w:rPr>
      </w:pPr>
      <w:r w:rsidRPr="00547689">
        <w:t xml:space="preserve">The RCC </w:t>
      </w:r>
      <w:r w:rsidRPr="00601726">
        <w:rPr>
          <w:rFonts w:eastAsiaTheme="minorEastAsia"/>
          <w:lang w:eastAsia="ko-KR"/>
        </w:rPr>
        <w:t>Administrations</w:t>
      </w:r>
      <w:r w:rsidRPr="00547689">
        <w:t xml:space="preserve"> understood that the </w:t>
      </w:r>
      <w:r w:rsidRPr="00E67DAB">
        <w:t>practicability</w:t>
      </w:r>
      <w:r w:rsidRPr="00547689">
        <w:t xml:space="preserve"> for harmonization of any frequency bands for narrowband or broadband machine-type communication shall be justified taking into account features and prospects of the introduction of such systems both within IMT and non-IMT technologies.</w:t>
      </w:r>
      <w:r w:rsidR="00A31749">
        <w:t xml:space="preserve"> </w:t>
      </w:r>
    </w:p>
    <w:p w14:paraId="75756E03" w14:textId="77777777" w:rsidR="000316C5" w:rsidRDefault="000316C5" w:rsidP="000316C5">
      <w:pPr>
        <w:jc w:val="both"/>
        <w:rPr>
          <w:rFonts w:eastAsiaTheme="minorEastAsia"/>
          <w:lang w:val="en-GB"/>
        </w:rPr>
      </w:pPr>
    </w:p>
    <w:p w14:paraId="350A4D45" w14:textId="0622A6D6" w:rsidR="000316C5" w:rsidRPr="00601726" w:rsidRDefault="00F95680" w:rsidP="000316C5">
      <w:pPr>
        <w:jc w:val="both"/>
        <w:rPr>
          <w:rFonts w:eastAsiaTheme="minorEastAsia"/>
          <w:b/>
          <w:lang w:eastAsia="ja-JP"/>
        </w:rPr>
      </w:pPr>
      <w:r>
        <w:rPr>
          <w:rFonts w:eastAsiaTheme="minorEastAsia"/>
          <w:b/>
          <w:lang w:eastAsia="ja-JP"/>
        </w:rPr>
        <w:t>6.</w:t>
      </w:r>
      <w:r w:rsidR="00F63650">
        <w:rPr>
          <w:rFonts w:eastAsiaTheme="minorEastAsia"/>
          <w:b/>
          <w:lang w:eastAsia="ja-JP"/>
        </w:rPr>
        <w:t>4</w:t>
      </w:r>
      <w:r w:rsidR="00601726">
        <w:rPr>
          <w:rFonts w:eastAsiaTheme="minorEastAsia"/>
          <w:b/>
          <w:lang w:eastAsia="ja-JP"/>
        </w:rPr>
        <w:tab/>
      </w:r>
      <w:r>
        <w:rPr>
          <w:rFonts w:eastAsiaTheme="minorEastAsia"/>
          <w:b/>
          <w:lang w:eastAsia="ja-JP"/>
        </w:rPr>
        <w:t>CEPT</w:t>
      </w:r>
      <w:r w:rsidRPr="002E3046">
        <w:rPr>
          <w:rFonts w:eastAsiaTheme="minorEastAsia"/>
          <w:b/>
          <w:lang w:eastAsia="ja-JP"/>
        </w:rPr>
        <w:t xml:space="preserve"> </w:t>
      </w:r>
    </w:p>
    <w:p w14:paraId="19D03727" w14:textId="369B39D5" w:rsidR="00BF6F00" w:rsidRPr="00601726" w:rsidRDefault="00F51322" w:rsidP="00601726">
      <w:pPr>
        <w:tabs>
          <w:tab w:val="left" w:pos="1134"/>
          <w:tab w:val="left" w:pos="1871"/>
          <w:tab w:val="left" w:pos="2268"/>
        </w:tabs>
        <w:overflowPunct w:val="0"/>
        <w:autoSpaceDE w:val="0"/>
        <w:autoSpaceDN w:val="0"/>
        <w:adjustRightInd w:val="0"/>
        <w:spacing w:before="120"/>
        <w:jc w:val="both"/>
        <w:rPr>
          <w:lang w:val="en-GB"/>
        </w:rPr>
      </w:pPr>
      <w:r w:rsidRPr="00F51322">
        <w:rPr>
          <w:lang w:val="en-GB"/>
        </w:rPr>
        <w:t xml:space="preserve">CEPT supports 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w:t>
      </w:r>
    </w:p>
    <w:p w14:paraId="7337FE6F" w14:textId="6CEF4041" w:rsidR="00F51322" w:rsidRPr="00F51322" w:rsidRDefault="00F51322" w:rsidP="008219DD">
      <w:pPr>
        <w:tabs>
          <w:tab w:val="left" w:pos="1134"/>
          <w:tab w:val="left" w:pos="1871"/>
          <w:tab w:val="left" w:pos="2268"/>
        </w:tabs>
        <w:overflowPunct w:val="0"/>
        <w:autoSpaceDE w:val="0"/>
        <w:autoSpaceDN w:val="0"/>
        <w:adjustRightInd w:val="0"/>
        <w:spacing w:before="120"/>
        <w:jc w:val="both"/>
      </w:pPr>
      <w:r w:rsidRPr="00601726">
        <w:rPr>
          <w:rFonts w:eastAsiaTheme="minorEastAsia"/>
          <w:lang w:eastAsia="ko-KR"/>
        </w:rPr>
        <w:t>CEPT</w:t>
      </w:r>
      <w:r w:rsidRPr="00F51322">
        <w:rPr>
          <w:lang w:val="en-GB"/>
        </w:rPr>
        <w:t xml:space="preserve"> supports the consideration of IMT technologies within Agenda Item 9.1Issue 9.1.8 as well as the consideration </w:t>
      </w:r>
      <w:r w:rsidR="008219DD">
        <w:rPr>
          <w:lang w:val="en-GB"/>
        </w:rPr>
        <w:t xml:space="preserve">of non-IMT technologies in the </w:t>
      </w:r>
      <w:r w:rsidRPr="00F51322">
        <w:rPr>
          <w:lang w:val="en-GB"/>
        </w:rPr>
        <w:t>purview of WPs 1B and 5A related to</w:t>
      </w:r>
      <w:r w:rsidR="008219DD">
        <w:rPr>
          <w:lang w:val="en-GB"/>
        </w:rPr>
        <w:t xml:space="preserve"> </w:t>
      </w:r>
      <w:r w:rsidRPr="00F51322">
        <w:rPr>
          <w:lang w:val="en-GB"/>
        </w:rPr>
        <w:t>machine-type communications.</w:t>
      </w:r>
    </w:p>
    <w:p w14:paraId="2E7BF075" w14:textId="77777777" w:rsidR="001B4F1E" w:rsidRDefault="001B4F1E" w:rsidP="00F63650">
      <w:pPr>
        <w:jc w:val="both"/>
        <w:rPr>
          <w:lang w:val="ru-RU"/>
        </w:rPr>
      </w:pPr>
      <w:bookmarkStart w:id="0" w:name="_GoBack"/>
      <w:bookmarkEnd w:id="0"/>
    </w:p>
    <w:p w14:paraId="35CC2104" w14:textId="713E88C4" w:rsidR="00F63650" w:rsidRPr="00601726" w:rsidRDefault="00F63650" w:rsidP="00F63650">
      <w:pPr>
        <w:jc w:val="both"/>
        <w:rPr>
          <w:rFonts w:eastAsiaTheme="minorEastAsia"/>
          <w:b/>
          <w:lang w:eastAsia="ja-JP"/>
        </w:rPr>
      </w:pPr>
      <w:r>
        <w:rPr>
          <w:rFonts w:eastAsiaTheme="minorEastAsia"/>
          <w:b/>
          <w:lang w:eastAsia="ja-JP"/>
        </w:rPr>
        <w:t>6.5</w:t>
      </w:r>
      <w:r w:rsidR="00601726">
        <w:rPr>
          <w:rFonts w:eastAsiaTheme="minorEastAsia"/>
          <w:b/>
          <w:lang w:eastAsia="ja-JP"/>
        </w:rPr>
        <w:tab/>
      </w:r>
      <w:r w:rsidRPr="002E3046">
        <w:rPr>
          <w:rFonts w:eastAsiaTheme="minorEastAsia"/>
          <w:b/>
          <w:lang w:eastAsia="ja-JP"/>
        </w:rPr>
        <w:t xml:space="preserve">IARU </w:t>
      </w:r>
    </w:p>
    <w:p w14:paraId="7C7F3822" w14:textId="0A3B1C3F" w:rsidR="00F63650" w:rsidRPr="004F0328" w:rsidRDefault="00F63650" w:rsidP="00601726">
      <w:pPr>
        <w:tabs>
          <w:tab w:val="left" w:pos="1134"/>
          <w:tab w:val="left" w:pos="1871"/>
          <w:tab w:val="left" w:pos="2268"/>
        </w:tabs>
        <w:overflowPunct w:val="0"/>
        <w:autoSpaceDE w:val="0"/>
        <w:autoSpaceDN w:val="0"/>
        <w:adjustRightInd w:val="0"/>
        <w:spacing w:before="120"/>
        <w:jc w:val="both"/>
        <w:rPr>
          <w:rFonts w:eastAsia="Times New Roman"/>
          <w:strike/>
        </w:rPr>
      </w:pPr>
      <w:r w:rsidRPr="002E3046">
        <w:rPr>
          <w:rFonts w:eastAsiaTheme="minorEastAsia"/>
          <w:lang w:val="en-GB"/>
        </w:rPr>
        <w:t>The IARU supports the use of spectrum efficient technologies for MTC. Because MTC devices typically will be co-located with stations in the amateur service, the use of spectrum allocated to the amateur service would be problematic for both uses.</w:t>
      </w:r>
      <w:r>
        <w:rPr>
          <w:rFonts w:eastAsiaTheme="minorEastAsia"/>
          <w:lang w:val="en-GB"/>
        </w:rPr>
        <w:t xml:space="preserve"> </w:t>
      </w:r>
    </w:p>
    <w:p w14:paraId="50B01A8A" w14:textId="77777777" w:rsidR="00F63650" w:rsidRDefault="00F63650" w:rsidP="00F63650">
      <w:pPr>
        <w:jc w:val="both"/>
        <w:rPr>
          <w:lang w:val="ru-RU"/>
        </w:rPr>
      </w:pPr>
    </w:p>
    <w:p w14:paraId="7C067B1D" w14:textId="77777777" w:rsidR="00601726" w:rsidRPr="00D35397" w:rsidRDefault="00601726" w:rsidP="00F63650">
      <w:pPr>
        <w:jc w:val="both"/>
        <w:rPr>
          <w:lang w:val="ru-RU"/>
        </w:rPr>
      </w:pPr>
    </w:p>
    <w:p w14:paraId="67F2D333" w14:textId="77777777" w:rsidR="00DD5A18" w:rsidRDefault="003F0AC4" w:rsidP="00DD5A18">
      <w:pPr>
        <w:spacing w:after="120"/>
        <w:jc w:val="both"/>
        <w:rPr>
          <w:b/>
          <w:lang w:val="en-NZ" w:eastAsia="ko-KR"/>
        </w:rPr>
      </w:pPr>
      <w:r w:rsidRPr="00D35397">
        <w:rPr>
          <w:rFonts w:eastAsia="MS Mincho"/>
          <w:b/>
          <w:lang w:val="en-NZ" w:eastAsia="ja-JP"/>
        </w:rPr>
        <w:t xml:space="preserve">7. </w:t>
      </w:r>
      <w:r w:rsidR="00DD5A18" w:rsidRPr="00D35397">
        <w:rPr>
          <w:b/>
          <w:lang w:val="en-NZ" w:eastAsia="ko-KR"/>
        </w:rPr>
        <w:t>Issues for Consideration at Next APG Meeting</w:t>
      </w:r>
    </w:p>
    <w:p w14:paraId="0DAA5FEC" w14:textId="4C19EB61" w:rsidR="00D54FF0" w:rsidRDefault="007D4BB8" w:rsidP="005566B4">
      <w:pPr>
        <w:spacing w:after="120"/>
        <w:jc w:val="both"/>
        <w:rPr>
          <w:lang w:val="en-NZ" w:eastAsia="ko-KR"/>
        </w:rPr>
      </w:pPr>
      <w:r>
        <w:rPr>
          <w:lang w:val="en-NZ" w:eastAsia="ko-KR"/>
        </w:rPr>
        <w:t>APT Members are encouraged to provide input contributions to the next APG meeting, taking into account the progress of ITU-R studies.</w:t>
      </w:r>
    </w:p>
    <w:p w14:paraId="1967BFC2" w14:textId="77777777" w:rsidR="008A0C35" w:rsidRPr="008A0C35" w:rsidRDefault="008A0C35" w:rsidP="005566B4">
      <w:pPr>
        <w:spacing w:after="120"/>
        <w:jc w:val="both"/>
        <w:rPr>
          <w:lang w:val="en-NZ" w:eastAsia="ko-KR"/>
        </w:rPr>
      </w:pPr>
    </w:p>
    <w:p w14:paraId="4452E336" w14:textId="09FA6B9B" w:rsidR="00DA7595" w:rsidRDefault="00C357AD" w:rsidP="00434B0E">
      <w:pPr>
        <w:jc w:val="center"/>
      </w:pPr>
      <w:r w:rsidRPr="004A2673">
        <w:t>____________</w:t>
      </w:r>
    </w:p>
    <w:p w14:paraId="62706A49" w14:textId="77777777" w:rsidR="00D54FF0" w:rsidRPr="004A2673" w:rsidRDefault="00D54FF0" w:rsidP="00434B0E">
      <w:pPr>
        <w:jc w:val="center"/>
        <w:rPr>
          <w:snapToGrid w:val="0"/>
        </w:rPr>
      </w:pPr>
    </w:p>
    <w:sectPr w:rsidR="00D54FF0" w:rsidRPr="004A2673" w:rsidSect="008219DD">
      <w:headerReference w:type="default" r:id="rId21"/>
      <w:footerReference w:type="even" r:id="rId22"/>
      <w:footerReference w:type="default" r:id="rId23"/>
      <w:pgSz w:w="11909" w:h="16834" w:code="9"/>
      <w:pgMar w:top="1195" w:right="1152" w:bottom="1138"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CFB5A" w14:textId="77777777" w:rsidR="00356478" w:rsidRDefault="00356478">
      <w:r>
        <w:separator/>
      </w:r>
    </w:p>
  </w:endnote>
  <w:endnote w:type="continuationSeparator" w:id="0">
    <w:p w14:paraId="23A54A1D" w14:textId="77777777" w:rsidR="00356478" w:rsidRDefault="00356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DCE46" w14:textId="77777777" w:rsidR="00ED3386" w:rsidRDefault="00ED3386"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FF3AC1" w14:textId="77777777" w:rsidR="00ED3386" w:rsidRDefault="00ED3386"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87D5E" w14:textId="7FDAB6D2" w:rsidR="00ED3386" w:rsidRDefault="008219DD" w:rsidP="008219DD">
    <w:pPr>
      <w:pStyle w:val="Footer"/>
      <w:ind w:right="360"/>
    </w:pPr>
    <w:r>
      <w:rPr>
        <w:rFonts w:hint="eastAsia"/>
        <w:lang w:eastAsia="ko-KR"/>
      </w:rPr>
      <w:t>A</w:t>
    </w:r>
    <w:r>
      <w:rPr>
        <w:lang w:eastAsia="ko-KR"/>
      </w:rPr>
      <w:t>PG19-2</w:t>
    </w:r>
    <w:r>
      <w:rPr>
        <w:rFonts w:hint="eastAsia"/>
        <w:lang w:eastAsia="ko-KR"/>
      </w:rPr>
      <w:t>/</w:t>
    </w:r>
    <w:r>
      <w:rPr>
        <w:lang w:eastAsia="ko-KR"/>
      </w:rPr>
      <w:t>OUT-27</w:t>
    </w:r>
    <w:r>
      <w:rPr>
        <w:lang w:eastAsia="ko-KR"/>
      </w:rPr>
      <w:tab/>
    </w:r>
    <w:r>
      <w:rPr>
        <w:lang w:eastAsia="ko-KR"/>
      </w:rPr>
      <w:tab/>
    </w:r>
    <w:r w:rsidR="00ED3386" w:rsidRPr="002C7EA9">
      <w:rPr>
        <w:rStyle w:val="PageNumber"/>
      </w:rPr>
      <w:t xml:space="preserve">Page </w:t>
    </w:r>
    <w:r w:rsidR="00ED3386" w:rsidRPr="002C7EA9">
      <w:rPr>
        <w:rStyle w:val="PageNumber"/>
      </w:rPr>
      <w:fldChar w:fldCharType="begin"/>
    </w:r>
    <w:r w:rsidR="00ED3386" w:rsidRPr="002C7EA9">
      <w:rPr>
        <w:rStyle w:val="PageNumber"/>
      </w:rPr>
      <w:instrText xml:space="preserve"> PAGE </w:instrText>
    </w:r>
    <w:r w:rsidR="00ED3386" w:rsidRPr="002C7EA9">
      <w:rPr>
        <w:rStyle w:val="PageNumber"/>
      </w:rPr>
      <w:fldChar w:fldCharType="separate"/>
    </w:r>
    <w:r>
      <w:rPr>
        <w:rStyle w:val="PageNumber"/>
        <w:noProof/>
      </w:rPr>
      <w:t>4</w:t>
    </w:r>
    <w:r w:rsidR="00ED3386" w:rsidRPr="002C7EA9">
      <w:rPr>
        <w:rStyle w:val="PageNumber"/>
      </w:rPr>
      <w:fldChar w:fldCharType="end"/>
    </w:r>
    <w:r w:rsidR="00ED3386" w:rsidRPr="002C7EA9">
      <w:rPr>
        <w:rStyle w:val="PageNumber"/>
      </w:rPr>
      <w:t xml:space="preserve"> of </w:t>
    </w:r>
    <w:r w:rsidR="00ED3386" w:rsidRPr="002C7EA9">
      <w:rPr>
        <w:rStyle w:val="PageNumber"/>
      </w:rPr>
      <w:fldChar w:fldCharType="begin"/>
    </w:r>
    <w:r w:rsidR="00ED3386" w:rsidRPr="002C7EA9">
      <w:rPr>
        <w:rStyle w:val="PageNumber"/>
      </w:rPr>
      <w:instrText xml:space="preserve"> NUMPAGES </w:instrText>
    </w:r>
    <w:r w:rsidR="00ED3386" w:rsidRPr="002C7EA9">
      <w:rPr>
        <w:rStyle w:val="PageNumber"/>
      </w:rPr>
      <w:fldChar w:fldCharType="separate"/>
    </w:r>
    <w:r>
      <w:rPr>
        <w:rStyle w:val="PageNumber"/>
        <w:noProof/>
      </w:rPr>
      <w:t>4</w:t>
    </w:r>
    <w:r w:rsidR="00ED3386" w:rsidRPr="002C7EA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B3472" w14:textId="77777777" w:rsidR="00356478" w:rsidRDefault="00356478">
      <w:r>
        <w:separator/>
      </w:r>
    </w:p>
  </w:footnote>
  <w:footnote w:type="continuationSeparator" w:id="0">
    <w:p w14:paraId="58477BB7" w14:textId="77777777" w:rsidR="00356478" w:rsidRDefault="00356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E484D" w14:textId="0CD810CC" w:rsidR="00ED3386" w:rsidRDefault="00ED3386" w:rsidP="00C15633">
    <w:pPr>
      <w:pStyle w:val="Header"/>
      <w:tabs>
        <w:tab w:val="center" w:pos="4763"/>
        <w:tab w:val="left" w:pos="5820"/>
      </w:tabs>
      <w:rPr>
        <w:lang w:eastAsia="ko-KR"/>
      </w:rPr>
    </w:pPr>
    <w:r>
      <w:rPr>
        <w:lang w:eastAsia="ko-KR"/>
      </w:rPr>
      <w:tab/>
    </w:r>
  </w:p>
  <w:p w14:paraId="6DA88178" w14:textId="77777777" w:rsidR="00ED3386" w:rsidRDefault="00ED3386"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37BB"/>
    <w:multiLevelType w:val="hybridMultilevel"/>
    <w:tmpl w:val="A462B94E"/>
    <w:lvl w:ilvl="0" w:tplc="11681526">
      <w:start w:val="1"/>
      <w:numFmt w:val="bullet"/>
      <w:lvlText w:val="-"/>
      <w:lvlJc w:val="left"/>
      <w:pPr>
        <w:ind w:left="420" w:hanging="420"/>
      </w:pPr>
      <w:rPr>
        <w:rFonts w:ascii="MS Gothic" w:eastAsia="MS Gothic" w:hAnsi="MS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0FC76B3F"/>
    <w:multiLevelType w:val="hybridMultilevel"/>
    <w:tmpl w:val="3C6415BC"/>
    <w:lvl w:ilvl="0" w:tplc="262810F8">
      <w:start w:val="1"/>
      <w:numFmt w:val="bullet"/>
      <w:lvlText w:val="•"/>
      <w:lvlJc w:val="left"/>
      <w:pPr>
        <w:tabs>
          <w:tab w:val="num" w:pos="720"/>
        </w:tabs>
        <w:ind w:left="720" w:hanging="360"/>
      </w:pPr>
      <w:rPr>
        <w:rFonts w:ascii="Arial" w:hAnsi="Arial" w:hint="default"/>
      </w:rPr>
    </w:lvl>
    <w:lvl w:ilvl="1" w:tplc="7A02FB40">
      <w:numFmt w:val="bullet"/>
      <w:lvlText w:val="o"/>
      <w:lvlJc w:val="left"/>
      <w:pPr>
        <w:tabs>
          <w:tab w:val="num" w:pos="1440"/>
        </w:tabs>
        <w:ind w:left="1440" w:hanging="360"/>
      </w:pPr>
      <w:rPr>
        <w:rFonts w:ascii="Courier New" w:hAnsi="Courier New" w:hint="default"/>
      </w:rPr>
    </w:lvl>
    <w:lvl w:ilvl="2" w:tplc="8F9E3E74" w:tentative="1">
      <w:start w:val="1"/>
      <w:numFmt w:val="bullet"/>
      <w:lvlText w:val="•"/>
      <w:lvlJc w:val="left"/>
      <w:pPr>
        <w:tabs>
          <w:tab w:val="num" w:pos="2160"/>
        </w:tabs>
        <w:ind w:left="2160" w:hanging="360"/>
      </w:pPr>
      <w:rPr>
        <w:rFonts w:ascii="Arial" w:hAnsi="Arial" w:hint="default"/>
      </w:rPr>
    </w:lvl>
    <w:lvl w:ilvl="3" w:tplc="3C06296E" w:tentative="1">
      <w:start w:val="1"/>
      <w:numFmt w:val="bullet"/>
      <w:lvlText w:val="•"/>
      <w:lvlJc w:val="left"/>
      <w:pPr>
        <w:tabs>
          <w:tab w:val="num" w:pos="2880"/>
        </w:tabs>
        <w:ind w:left="2880" w:hanging="360"/>
      </w:pPr>
      <w:rPr>
        <w:rFonts w:ascii="Arial" w:hAnsi="Arial" w:hint="default"/>
      </w:rPr>
    </w:lvl>
    <w:lvl w:ilvl="4" w:tplc="AC663922" w:tentative="1">
      <w:start w:val="1"/>
      <w:numFmt w:val="bullet"/>
      <w:lvlText w:val="•"/>
      <w:lvlJc w:val="left"/>
      <w:pPr>
        <w:tabs>
          <w:tab w:val="num" w:pos="3600"/>
        </w:tabs>
        <w:ind w:left="3600" w:hanging="360"/>
      </w:pPr>
      <w:rPr>
        <w:rFonts w:ascii="Arial" w:hAnsi="Arial" w:hint="default"/>
      </w:rPr>
    </w:lvl>
    <w:lvl w:ilvl="5" w:tplc="4886D1C4" w:tentative="1">
      <w:start w:val="1"/>
      <w:numFmt w:val="bullet"/>
      <w:lvlText w:val="•"/>
      <w:lvlJc w:val="left"/>
      <w:pPr>
        <w:tabs>
          <w:tab w:val="num" w:pos="4320"/>
        </w:tabs>
        <w:ind w:left="4320" w:hanging="360"/>
      </w:pPr>
      <w:rPr>
        <w:rFonts w:ascii="Arial" w:hAnsi="Arial" w:hint="default"/>
      </w:rPr>
    </w:lvl>
    <w:lvl w:ilvl="6" w:tplc="D4E28014" w:tentative="1">
      <w:start w:val="1"/>
      <w:numFmt w:val="bullet"/>
      <w:lvlText w:val="•"/>
      <w:lvlJc w:val="left"/>
      <w:pPr>
        <w:tabs>
          <w:tab w:val="num" w:pos="5040"/>
        </w:tabs>
        <w:ind w:left="5040" w:hanging="360"/>
      </w:pPr>
      <w:rPr>
        <w:rFonts w:ascii="Arial" w:hAnsi="Arial" w:hint="default"/>
      </w:rPr>
    </w:lvl>
    <w:lvl w:ilvl="7" w:tplc="1F4861AC" w:tentative="1">
      <w:start w:val="1"/>
      <w:numFmt w:val="bullet"/>
      <w:lvlText w:val="•"/>
      <w:lvlJc w:val="left"/>
      <w:pPr>
        <w:tabs>
          <w:tab w:val="num" w:pos="5760"/>
        </w:tabs>
        <w:ind w:left="5760" w:hanging="360"/>
      </w:pPr>
      <w:rPr>
        <w:rFonts w:ascii="Arial" w:hAnsi="Arial" w:hint="default"/>
      </w:rPr>
    </w:lvl>
    <w:lvl w:ilvl="8" w:tplc="985698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880072"/>
    <w:multiLevelType w:val="multilevel"/>
    <w:tmpl w:val="919239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EF5D19"/>
    <w:multiLevelType w:val="hybridMultilevel"/>
    <w:tmpl w:val="A11C2982"/>
    <w:lvl w:ilvl="0" w:tplc="07629780">
      <w:start w:val="1"/>
      <w:numFmt w:val="bullet"/>
      <w:lvlText w:val="-"/>
      <w:lvlJc w:val="left"/>
      <w:pPr>
        <w:ind w:left="1200" w:hanging="400"/>
      </w:pPr>
      <w:rPr>
        <w:rFonts w:ascii="Sylfaen" w:hAnsi="Sylfaen" w:hint="default"/>
        <w:color w:val="auto"/>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6FE14BD"/>
    <w:multiLevelType w:val="hybridMultilevel"/>
    <w:tmpl w:val="0FE4FAB2"/>
    <w:lvl w:ilvl="0" w:tplc="39D05526">
      <w:start w:val="2"/>
      <w:numFmt w:val="bullet"/>
      <w:lvlText w:val="-"/>
      <w:lvlJc w:val="left"/>
      <w:pPr>
        <w:ind w:left="480" w:hanging="360"/>
      </w:pPr>
      <w:rPr>
        <w:rFonts w:ascii="Times New Roman" w:eastAsia="BatangChe" w:hAnsi="Times New Roman" w:cs="Times New Roman"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9" w15:restartNumberingAfterBreak="0">
    <w:nsid w:val="28383807"/>
    <w:multiLevelType w:val="hybridMultilevel"/>
    <w:tmpl w:val="A8CABCF6"/>
    <w:lvl w:ilvl="0" w:tplc="999A4074">
      <w:start w:val="1"/>
      <w:numFmt w:val="decimal"/>
      <w:lvlText w:val="%1."/>
      <w:lvlJc w:val="left"/>
      <w:pPr>
        <w:ind w:left="360" w:hanging="360"/>
      </w:pPr>
      <w:rPr>
        <w:rFonts w:ascii="Times New Roman" w:eastAsiaTheme="minorEastAsia" w:hAnsi="Times New Roman" w:cs="Times New Roman"/>
      </w:rPr>
    </w:lvl>
    <w:lvl w:ilvl="1" w:tplc="04090019" w:tentative="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upp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upperLetter"/>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AC4748"/>
    <w:multiLevelType w:val="hybridMultilevel"/>
    <w:tmpl w:val="8EC20D8A"/>
    <w:lvl w:ilvl="0" w:tplc="11681526">
      <w:start w:val="1"/>
      <w:numFmt w:val="bullet"/>
      <w:lvlText w:val="-"/>
      <w:lvlJc w:val="left"/>
      <w:pPr>
        <w:ind w:left="720" w:hanging="360"/>
      </w:pPr>
      <w:rPr>
        <w:rFonts w:ascii="MS Gothic" w:eastAsia="MS Gothic" w:hAnsi="MS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356E7088"/>
    <w:multiLevelType w:val="hybridMultilevel"/>
    <w:tmpl w:val="EDEAB050"/>
    <w:lvl w:ilvl="0" w:tplc="B6DC90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B18501B"/>
    <w:multiLevelType w:val="hybridMultilevel"/>
    <w:tmpl w:val="935E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E1A4D"/>
    <w:multiLevelType w:val="hybridMultilevel"/>
    <w:tmpl w:val="8DB00EA8"/>
    <w:lvl w:ilvl="0" w:tplc="A114EBFA">
      <w:start w:val="1"/>
      <w:numFmt w:val="bullet"/>
      <w:lvlText w:val="-"/>
      <w:lvlJc w:val="left"/>
      <w:pPr>
        <w:ind w:left="280" w:hanging="360"/>
      </w:pPr>
      <w:rPr>
        <w:rFonts w:ascii="Malgun Gothic" w:eastAsia="Malgun Gothic" w:hAnsi="Malgun Gothic" w:cstheme="minorBidi" w:hint="eastAsia"/>
      </w:rPr>
    </w:lvl>
    <w:lvl w:ilvl="1" w:tplc="04090003" w:tentative="1">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7" w15:restartNumberingAfterBreak="0">
    <w:nsid w:val="47D15F46"/>
    <w:multiLevelType w:val="hybridMultilevel"/>
    <w:tmpl w:val="761C70CC"/>
    <w:lvl w:ilvl="0" w:tplc="E6608082">
      <w:start w:val="2"/>
      <w:numFmt w:val="decimal"/>
      <w:lvlText w:val="%1."/>
      <w:lvlJc w:val="left"/>
      <w:pPr>
        <w:tabs>
          <w:tab w:val="num" w:pos="720"/>
        </w:tabs>
        <w:ind w:left="720" w:hanging="360"/>
      </w:pPr>
    </w:lvl>
    <w:lvl w:ilvl="1" w:tplc="84DA318E" w:tentative="1">
      <w:start w:val="1"/>
      <w:numFmt w:val="decimal"/>
      <w:lvlText w:val="%2."/>
      <w:lvlJc w:val="left"/>
      <w:pPr>
        <w:tabs>
          <w:tab w:val="num" w:pos="1440"/>
        </w:tabs>
        <w:ind w:left="1440" w:hanging="360"/>
      </w:pPr>
    </w:lvl>
    <w:lvl w:ilvl="2" w:tplc="6B06336A" w:tentative="1">
      <w:start w:val="1"/>
      <w:numFmt w:val="decimal"/>
      <w:lvlText w:val="%3."/>
      <w:lvlJc w:val="left"/>
      <w:pPr>
        <w:tabs>
          <w:tab w:val="num" w:pos="2160"/>
        </w:tabs>
        <w:ind w:left="2160" w:hanging="360"/>
      </w:pPr>
    </w:lvl>
    <w:lvl w:ilvl="3" w:tplc="D5BAC2EE" w:tentative="1">
      <w:start w:val="1"/>
      <w:numFmt w:val="decimal"/>
      <w:lvlText w:val="%4."/>
      <w:lvlJc w:val="left"/>
      <w:pPr>
        <w:tabs>
          <w:tab w:val="num" w:pos="2880"/>
        </w:tabs>
        <w:ind w:left="2880" w:hanging="360"/>
      </w:pPr>
    </w:lvl>
    <w:lvl w:ilvl="4" w:tplc="A1BC3B3A" w:tentative="1">
      <w:start w:val="1"/>
      <w:numFmt w:val="decimal"/>
      <w:lvlText w:val="%5."/>
      <w:lvlJc w:val="left"/>
      <w:pPr>
        <w:tabs>
          <w:tab w:val="num" w:pos="3600"/>
        </w:tabs>
        <w:ind w:left="3600" w:hanging="360"/>
      </w:pPr>
    </w:lvl>
    <w:lvl w:ilvl="5" w:tplc="B4827680" w:tentative="1">
      <w:start w:val="1"/>
      <w:numFmt w:val="decimal"/>
      <w:lvlText w:val="%6."/>
      <w:lvlJc w:val="left"/>
      <w:pPr>
        <w:tabs>
          <w:tab w:val="num" w:pos="4320"/>
        </w:tabs>
        <w:ind w:left="4320" w:hanging="360"/>
      </w:pPr>
    </w:lvl>
    <w:lvl w:ilvl="6" w:tplc="A50EA73C" w:tentative="1">
      <w:start w:val="1"/>
      <w:numFmt w:val="decimal"/>
      <w:lvlText w:val="%7."/>
      <w:lvlJc w:val="left"/>
      <w:pPr>
        <w:tabs>
          <w:tab w:val="num" w:pos="5040"/>
        </w:tabs>
        <w:ind w:left="5040" w:hanging="360"/>
      </w:pPr>
    </w:lvl>
    <w:lvl w:ilvl="7" w:tplc="42C297FA" w:tentative="1">
      <w:start w:val="1"/>
      <w:numFmt w:val="decimal"/>
      <w:lvlText w:val="%8."/>
      <w:lvlJc w:val="left"/>
      <w:pPr>
        <w:tabs>
          <w:tab w:val="num" w:pos="5760"/>
        </w:tabs>
        <w:ind w:left="5760" w:hanging="360"/>
      </w:pPr>
    </w:lvl>
    <w:lvl w:ilvl="8" w:tplc="C2F6CB36" w:tentative="1">
      <w:start w:val="1"/>
      <w:numFmt w:val="decimal"/>
      <w:lvlText w:val="%9."/>
      <w:lvlJc w:val="left"/>
      <w:pPr>
        <w:tabs>
          <w:tab w:val="num" w:pos="6480"/>
        </w:tabs>
        <w:ind w:left="6480" w:hanging="360"/>
      </w:pPr>
    </w:lvl>
  </w:abstractNum>
  <w:abstractNum w:abstractNumId="18" w15:restartNumberingAfterBreak="0">
    <w:nsid w:val="4B3D3824"/>
    <w:multiLevelType w:val="hybridMultilevel"/>
    <w:tmpl w:val="29CA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D70A4"/>
    <w:multiLevelType w:val="hybridMultilevel"/>
    <w:tmpl w:val="104818E0"/>
    <w:lvl w:ilvl="0" w:tplc="A232EABA">
      <w:start w:val="1"/>
      <w:numFmt w:val="bullet"/>
      <w:lvlText w:val=""/>
      <w:lvlJc w:val="left"/>
      <w:pPr>
        <w:tabs>
          <w:tab w:val="num" w:pos="720"/>
        </w:tabs>
        <w:ind w:left="720" w:hanging="360"/>
      </w:pPr>
      <w:rPr>
        <w:rFonts w:ascii="Wingdings 2" w:hAnsi="Wingdings 2" w:hint="default"/>
      </w:rPr>
    </w:lvl>
    <w:lvl w:ilvl="1" w:tplc="7E0E80FA" w:tentative="1">
      <w:start w:val="1"/>
      <w:numFmt w:val="bullet"/>
      <w:lvlText w:val=""/>
      <w:lvlJc w:val="left"/>
      <w:pPr>
        <w:tabs>
          <w:tab w:val="num" w:pos="1440"/>
        </w:tabs>
        <w:ind w:left="1440" w:hanging="360"/>
      </w:pPr>
      <w:rPr>
        <w:rFonts w:ascii="Wingdings 2" w:hAnsi="Wingdings 2" w:hint="default"/>
      </w:rPr>
    </w:lvl>
    <w:lvl w:ilvl="2" w:tplc="718A1880" w:tentative="1">
      <w:start w:val="1"/>
      <w:numFmt w:val="bullet"/>
      <w:lvlText w:val=""/>
      <w:lvlJc w:val="left"/>
      <w:pPr>
        <w:tabs>
          <w:tab w:val="num" w:pos="2160"/>
        </w:tabs>
        <w:ind w:left="2160" w:hanging="360"/>
      </w:pPr>
      <w:rPr>
        <w:rFonts w:ascii="Wingdings 2" w:hAnsi="Wingdings 2" w:hint="default"/>
      </w:rPr>
    </w:lvl>
    <w:lvl w:ilvl="3" w:tplc="64882FF6" w:tentative="1">
      <w:start w:val="1"/>
      <w:numFmt w:val="bullet"/>
      <w:lvlText w:val=""/>
      <w:lvlJc w:val="left"/>
      <w:pPr>
        <w:tabs>
          <w:tab w:val="num" w:pos="2880"/>
        </w:tabs>
        <w:ind w:left="2880" w:hanging="360"/>
      </w:pPr>
      <w:rPr>
        <w:rFonts w:ascii="Wingdings 2" w:hAnsi="Wingdings 2" w:hint="default"/>
      </w:rPr>
    </w:lvl>
    <w:lvl w:ilvl="4" w:tplc="36827BE6" w:tentative="1">
      <w:start w:val="1"/>
      <w:numFmt w:val="bullet"/>
      <w:lvlText w:val=""/>
      <w:lvlJc w:val="left"/>
      <w:pPr>
        <w:tabs>
          <w:tab w:val="num" w:pos="3600"/>
        </w:tabs>
        <w:ind w:left="3600" w:hanging="360"/>
      </w:pPr>
      <w:rPr>
        <w:rFonts w:ascii="Wingdings 2" w:hAnsi="Wingdings 2" w:hint="default"/>
      </w:rPr>
    </w:lvl>
    <w:lvl w:ilvl="5" w:tplc="BDD633DA" w:tentative="1">
      <w:start w:val="1"/>
      <w:numFmt w:val="bullet"/>
      <w:lvlText w:val=""/>
      <w:lvlJc w:val="left"/>
      <w:pPr>
        <w:tabs>
          <w:tab w:val="num" w:pos="4320"/>
        </w:tabs>
        <w:ind w:left="4320" w:hanging="360"/>
      </w:pPr>
      <w:rPr>
        <w:rFonts w:ascii="Wingdings 2" w:hAnsi="Wingdings 2" w:hint="default"/>
      </w:rPr>
    </w:lvl>
    <w:lvl w:ilvl="6" w:tplc="81343956" w:tentative="1">
      <w:start w:val="1"/>
      <w:numFmt w:val="bullet"/>
      <w:lvlText w:val=""/>
      <w:lvlJc w:val="left"/>
      <w:pPr>
        <w:tabs>
          <w:tab w:val="num" w:pos="5040"/>
        </w:tabs>
        <w:ind w:left="5040" w:hanging="360"/>
      </w:pPr>
      <w:rPr>
        <w:rFonts w:ascii="Wingdings 2" w:hAnsi="Wingdings 2" w:hint="default"/>
      </w:rPr>
    </w:lvl>
    <w:lvl w:ilvl="7" w:tplc="04CEC656" w:tentative="1">
      <w:start w:val="1"/>
      <w:numFmt w:val="bullet"/>
      <w:lvlText w:val=""/>
      <w:lvlJc w:val="left"/>
      <w:pPr>
        <w:tabs>
          <w:tab w:val="num" w:pos="5760"/>
        </w:tabs>
        <w:ind w:left="5760" w:hanging="360"/>
      </w:pPr>
      <w:rPr>
        <w:rFonts w:ascii="Wingdings 2" w:hAnsi="Wingdings 2" w:hint="default"/>
      </w:rPr>
    </w:lvl>
    <w:lvl w:ilvl="8" w:tplc="893E7328"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70C1737D"/>
    <w:multiLevelType w:val="hybridMultilevel"/>
    <w:tmpl w:val="ED28C820"/>
    <w:lvl w:ilvl="0" w:tplc="3BD0276E">
      <w:start w:val="1"/>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0D15599"/>
    <w:multiLevelType w:val="hybridMultilevel"/>
    <w:tmpl w:val="FADEC67C"/>
    <w:lvl w:ilvl="0" w:tplc="11681526">
      <w:start w:val="1"/>
      <w:numFmt w:val="bullet"/>
      <w:lvlText w:val="-"/>
      <w:lvlJc w:val="left"/>
      <w:pPr>
        <w:ind w:left="420" w:hanging="420"/>
      </w:pPr>
      <w:rPr>
        <w:rFonts w:ascii="MS Gothic" w:eastAsia="MS Gothic" w:hAnsi="MS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744C513C"/>
    <w:multiLevelType w:val="hybridMultilevel"/>
    <w:tmpl w:val="4A1A3E26"/>
    <w:lvl w:ilvl="0" w:tplc="B6DC9052">
      <w:start w:val="1"/>
      <w:numFmt w:val="bullet"/>
      <w:lvlText w:val=""/>
      <w:lvlJc w:val="left"/>
      <w:pPr>
        <w:ind w:left="1050" w:hanging="420"/>
      </w:pPr>
      <w:rPr>
        <w:rFonts w:ascii="Wingdings" w:hAnsi="Wingdings" w:hint="default"/>
      </w:rPr>
    </w:lvl>
    <w:lvl w:ilvl="1" w:tplc="11681526">
      <w:start w:val="1"/>
      <w:numFmt w:val="bullet"/>
      <w:lvlText w:val="-"/>
      <w:lvlJc w:val="left"/>
      <w:pPr>
        <w:ind w:left="1470" w:hanging="420"/>
      </w:pPr>
      <w:rPr>
        <w:rFonts w:ascii="MS Gothic" w:eastAsia="MS Gothic" w:hAnsi="MS Gothic"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4" w15:restartNumberingAfterBreak="0">
    <w:nsid w:val="75EE045E"/>
    <w:multiLevelType w:val="hybridMultilevel"/>
    <w:tmpl w:val="74A20C80"/>
    <w:lvl w:ilvl="0" w:tplc="1210446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6"/>
  </w:num>
  <w:num w:numId="4">
    <w:abstractNumId w:val="22"/>
  </w:num>
  <w:num w:numId="5">
    <w:abstractNumId w:val="11"/>
  </w:num>
  <w:num w:numId="6">
    <w:abstractNumId w:val="14"/>
  </w:num>
  <w:num w:numId="7">
    <w:abstractNumId w:val="5"/>
  </w:num>
  <w:num w:numId="8">
    <w:abstractNumId w:val="1"/>
  </w:num>
  <w:num w:numId="9">
    <w:abstractNumId w:val="23"/>
  </w:num>
  <w:num w:numId="10">
    <w:abstractNumId w:val="12"/>
  </w:num>
  <w:num w:numId="11">
    <w:abstractNumId w:val="20"/>
  </w:num>
  <w:num w:numId="12">
    <w:abstractNumId w:val="21"/>
  </w:num>
  <w:num w:numId="13">
    <w:abstractNumId w:val="0"/>
  </w:num>
  <w:num w:numId="14">
    <w:abstractNumId w:val="16"/>
  </w:num>
  <w:num w:numId="15">
    <w:abstractNumId w:val="19"/>
  </w:num>
  <w:num w:numId="16">
    <w:abstractNumId w:val="2"/>
  </w:num>
  <w:num w:numId="17">
    <w:abstractNumId w:val="17"/>
  </w:num>
  <w:num w:numId="18">
    <w:abstractNumId w:val="8"/>
  </w:num>
  <w:num w:numId="19">
    <w:abstractNumId w:val="4"/>
  </w:num>
  <w:num w:numId="20">
    <w:abstractNumId w:val="24"/>
  </w:num>
  <w:num w:numId="21">
    <w:abstractNumId w:val="15"/>
  </w:num>
  <w:num w:numId="22">
    <w:abstractNumId w:val="9"/>
  </w:num>
  <w:num w:numId="23">
    <w:abstractNumId w:val="3"/>
  </w:num>
  <w:num w:numId="24">
    <w:abstractNumId w:val="1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5BD5"/>
    <w:rsid w:val="00010DEB"/>
    <w:rsid w:val="00020E6E"/>
    <w:rsid w:val="000316C5"/>
    <w:rsid w:val="0003595B"/>
    <w:rsid w:val="00064165"/>
    <w:rsid w:val="00065CE3"/>
    <w:rsid w:val="00070411"/>
    <w:rsid w:val="000713CF"/>
    <w:rsid w:val="000718C5"/>
    <w:rsid w:val="000746F4"/>
    <w:rsid w:val="000756AE"/>
    <w:rsid w:val="00085F81"/>
    <w:rsid w:val="00087102"/>
    <w:rsid w:val="000908FB"/>
    <w:rsid w:val="000A0D53"/>
    <w:rsid w:val="000A5418"/>
    <w:rsid w:val="000A70FB"/>
    <w:rsid w:val="000B790B"/>
    <w:rsid w:val="000C7AF3"/>
    <w:rsid w:val="000D1978"/>
    <w:rsid w:val="000D48CC"/>
    <w:rsid w:val="000D5DCE"/>
    <w:rsid w:val="000D680F"/>
    <w:rsid w:val="000D7DF6"/>
    <w:rsid w:val="000E2D36"/>
    <w:rsid w:val="000E5B5D"/>
    <w:rsid w:val="000F517C"/>
    <w:rsid w:val="000F5540"/>
    <w:rsid w:val="00105971"/>
    <w:rsid w:val="0011701D"/>
    <w:rsid w:val="00117C85"/>
    <w:rsid w:val="00121F5F"/>
    <w:rsid w:val="00125807"/>
    <w:rsid w:val="001346CF"/>
    <w:rsid w:val="00147D45"/>
    <w:rsid w:val="001539DD"/>
    <w:rsid w:val="00166361"/>
    <w:rsid w:val="00167E5F"/>
    <w:rsid w:val="00182D55"/>
    <w:rsid w:val="001847EF"/>
    <w:rsid w:val="00196568"/>
    <w:rsid w:val="001A09D7"/>
    <w:rsid w:val="001A14CD"/>
    <w:rsid w:val="001A2CF1"/>
    <w:rsid w:val="001A2F16"/>
    <w:rsid w:val="001A312A"/>
    <w:rsid w:val="001B18C2"/>
    <w:rsid w:val="001B264D"/>
    <w:rsid w:val="001B4F1E"/>
    <w:rsid w:val="001C12C9"/>
    <w:rsid w:val="001C610F"/>
    <w:rsid w:val="001D5D7E"/>
    <w:rsid w:val="001E3485"/>
    <w:rsid w:val="002033D1"/>
    <w:rsid w:val="00205E27"/>
    <w:rsid w:val="00206D6B"/>
    <w:rsid w:val="002106AD"/>
    <w:rsid w:val="0021296C"/>
    <w:rsid w:val="002252AE"/>
    <w:rsid w:val="00226B32"/>
    <w:rsid w:val="00227A68"/>
    <w:rsid w:val="00232092"/>
    <w:rsid w:val="0023607A"/>
    <w:rsid w:val="00252B17"/>
    <w:rsid w:val="00254A1B"/>
    <w:rsid w:val="0025665E"/>
    <w:rsid w:val="0027687A"/>
    <w:rsid w:val="00284075"/>
    <w:rsid w:val="0028454D"/>
    <w:rsid w:val="0028628F"/>
    <w:rsid w:val="00290ABD"/>
    <w:rsid w:val="00291C9E"/>
    <w:rsid w:val="002926D4"/>
    <w:rsid w:val="002942F7"/>
    <w:rsid w:val="00295D9B"/>
    <w:rsid w:val="002A14B9"/>
    <w:rsid w:val="002B2067"/>
    <w:rsid w:val="002B6CD1"/>
    <w:rsid w:val="002C07DA"/>
    <w:rsid w:val="002C493A"/>
    <w:rsid w:val="002C7EA9"/>
    <w:rsid w:val="002E139F"/>
    <w:rsid w:val="002E1658"/>
    <w:rsid w:val="002F41C9"/>
    <w:rsid w:val="0030145E"/>
    <w:rsid w:val="00306FB9"/>
    <w:rsid w:val="00311E28"/>
    <w:rsid w:val="00323BFC"/>
    <w:rsid w:val="0032612F"/>
    <w:rsid w:val="003264B7"/>
    <w:rsid w:val="00332993"/>
    <w:rsid w:val="00332C65"/>
    <w:rsid w:val="00342F20"/>
    <w:rsid w:val="00345E51"/>
    <w:rsid w:val="003471DF"/>
    <w:rsid w:val="0035042A"/>
    <w:rsid w:val="003505B0"/>
    <w:rsid w:val="00356478"/>
    <w:rsid w:val="003577A7"/>
    <w:rsid w:val="003612AB"/>
    <w:rsid w:val="00366C10"/>
    <w:rsid w:val="00373624"/>
    <w:rsid w:val="0037636D"/>
    <w:rsid w:val="003809C7"/>
    <w:rsid w:val="00386262"/>
    <w:rsid w:val="0038745F"/>
    <w:rsid w:val="00387999"/>
    <w:rsid w:val="00391C84"/>
    <w:rsid w:val="003956DE"/>
    <w:rsid w:val="003958B0"/>
    <w:rsid w:val="003A195C"/>
    <w:rsid w:val="003B3446"/>
    <w:rsid w:val="003B427E"/>
    <w:rsid w:val="003B6263"/>
    <w:rsid w:val="003C5152"/>
    <w:rsid w:val="003C5B70"/>
    <w:rsid w:val="003C64A7"/>
    <w:rsid w:val="003D09B0"/>
    <w:rsid w:val="003D1876"/>
    <w:rsid w:val="003D3070"/>
    <w:rsid w:val="003D3FDA"/>
    <w:rsid w:val="003D4962"/>
    <w:rsid w:val="003E55A2"/>
    <w:rsid w:val="003F07DB"/>
    <w:rsid w:val="003F0AC4"/>
    <w:rsid w:val="00404753"/>
    <w:rsid w:val="00404F12"/>
    <w:rsid w:val="00406D60"/>
    <w:rsid w:val="00410877"/>
    <w:rsid w:val="0041779A"/>
    <w:rsid w:val="00417C50"/>
    <w:rsid w:val="00420822"/>
    <w:rsid w:val="004305D3"/>
    <w:rsid w:val="004334C5"/>
    <w:rsid w:val="00434B0E"/>
    <w:rsid w:val="00442041"/>
    <w:rsid w:val="004434A6"/>
    <w:rsid w:val="00444E71"/>
    <w:rsid w:val="0045458F"/>
    <w:rsid w:val="004633B4"/>
    <w:rsid w:val="00473941"/>
    <w:rsid w:val="00493D17"/>
    <w:rsid w:val="004954E5"/>
    <w:rsid w:val="004A2673"/>
    <w:rsid w:val="004B2010"/>
    <w:rsid w:val="004B3553"/>
    <w:rsid w:val="004B5880"/>
    <w:rsid w:val="004C3A2B"/>
    <w:rsid w:val="004D2761"/>
    <w:rsid w:val="004D453F"/>
    <w:rsid w:val="004E53B7"/>
    <w:rsid w:val="004F0328"/>
    <w:rsid w:val="004F2E51"/>
    <w:rsid w:val="0051114D"/>
    <w:rsid w:val="005123E4"/>
    <w:rsid w:val="00516393"/>
    <w:rsid w:val="0051685B"/>
    <w:rsid w:val="00516C66"/>
    <w:rsid w:val="00530E8C"/>
    <w:rsid w:val="00532D8B"/>
    <w:rsid w:val="005352E0"/>
    <w:rsid w:val="00545933"/>
    <w:rsid w:val="00551CB1"/>
    <w:rsid w:val="00552D53"/>
    <w:rsid w:val="005532CF"/>
    <w:rsid w:val="005565C4"/>
    <w:rsid w:val="005566B4"/>
    <w:rsid w:val="00557544"/>
    <w:rsid w:val="00562A19"/>
    <w:rsid w:val="00566342"/>
    <w:rsid w:val="00566CE6"/>
    <w:rsid w:val="00572E9C"/>
    <w:rsid w:val="005830FF"/>
    <w:rsid w:val="005854EF"/>
    <w:rsid w:val="00587875"/>
    <w:rsid w:val="00591DD6"/>
    <w:rsid w:val="005945A9"/>
    <w:rsid w:val="00596200"/>
    <w:rsid w:val="0059667E"/>
    <w:rsid w:val="005A3A3B"/>
    <w:rsid w:val="005A4744"/>
    <w:rsid w:val="005A7EA8"/>
    <w:rsid w:val="005D0A7A"/>
    <w:rsid w:val="005D233E"/>
    <w:rsid w:val="005D23EF"/>
    <w:rsid w:val="005D36D8"/>
    <w:rsid w:val="005D736D"/>
    <w:rsid w:val="005E50E0"/>
    <w:rsid w:val="005E7386"/>
    <w:rsid w:val="005F5CC9"/>
    <w:rsid w:val="005F76C9"/>
    <w:rsid w:val="00601726"/>
    <w:rsid w:val="00604CFB"/>
    <w:rsid w:val="00607E2B"/>
    <w:rsid w:val="006110D7"/>
    <w:rsid w:val="006115D3"/>
    <w:rsid w:val="0061666B"/>
    <w:rsid w:val="006166F1"/>
    <w:rsid w:val="0061721E"/>
    <w:rsid w:val="006203ED"/>
    <w:rsid w:val="00623CE1"/>
    <w:rsid w:val="0063062B"/>
    <w:rsid w:val="00644278"/>
    <w:rsid w:val="00654C44"/>
    <w:rsid w:val="00656967"/>
    <w:rsid w:val="006609E1"/>
    <w:rsid w:val="00662081"/>
    <w:rsid w:val="00667229"/>
    <w:rsid w:val="00667726"/>
    <w:rsid w:val="006740FC"/>
    <w:rsid w:val="006775F0"/>
    <w:rsid w:val="00677CCB"/>
    <w:rsid w:val="00682BE5"/>
    <w:rsid w:val="00685ABC"/>
    <w:rsid w:val="00690FED"/>
    <w:rsid w:val="006939A5"/>
    <w:rsid w:val="00693F0F"/>
    <w:rsid w:val="006A02CF"/>
    <w:rsid w:val="006A3224"/>
    <w:rsid w:val="006A4000"/>
    <w:rsid w:val="006A440B"/>
    <w:rsid w:val="006C6A7F"/>
    <w:rsid w:val="006D68BA"/>
    <w:rsid w:val="006E0BF7"/>
    <w:rsid w:val="006E37C2"/>
    <w:rsid w:val="006E5CFD"/>
    <w:rsid w:val="006F24B0"/>
    <w:rsid w:val="0070293D"/>
    <w:rsid w:val="00706D8D"/>
    <w:rsid w:val="00712451"/>
    <w:rsid w:val="00717CEA"/>
    <w:rsid w:val="00721EF5"/>
    <w:rsid w:val="007251DA"/>
    <w:rsid w:val="0073221B"/>
    <w:rsid w:val="00732F08"/>
    <w:rsid w:val="0074190C"/>
    <w:rsid w:val="00744A76"/>
    <w:rsid w:val="0075734D"/>
    <w:rsid w:val="007575D5"/>
    <w:rsid w:val="0076135F"/>
    <w:rsid w:val="00762576"/>
    <w:rsid w:val="00763285"/>
    <w:rsid w:val="00776F5A"/>
    <w:rsid w:val="00782050"/>
    <w:rsid w:val="00783438"/>
    <w:rsid w:val="007850BC"/>
    <w:rsid w:val="0079025D"/>
    <w:rsid w:val="00791060"/>
    <w:rsid w:val="0079182E"/>
    <w:rsid w:val="0079615F"/>
    <w:rsid w:val="007A1A88"/>
    <w:rsid w:val="007A507E"/>
    <w:rsid w:val="007B00DD"/>
    <w:rsid w:val="007B5626"/>
    <w:rsid w:val="007D4BB8"/>
    <w:rsid w:val="007D6707"/>
    <w:rsid w:val="007D78EC"/>
    <w:rsid w:val="0080570B"/>
    <w:rsid w:val="00811E01"/>
    <w:rsid w:val="00813822"/>
    <w:rsid w:val="00813F98"/>
    <w:rsid w:val="008148E1"/>
    <w:rsid w:val="00817FA8"/>
    <w:rsid w:val="008219DD"/>
    <w:rsid w:val="008319BF"/>
    <w:rsid w:val="0083697A"/>
    <w:rsid w:val="0084338C"/>
    <w:rsid w:val="0085248E"/>
    <w:rsid w:val="00863F76"/>
    <w:rsid w:val="00871C2D"/>
    <w:rsid w:val="00874437"/>
    <w:rsid w:val="00874E7E"/>
    <w:rsid w:val="008852D1"/>
    <w:rsid w:val="008945CE"/>
    <w:rsid w:val="008A07DF"/>
    <w:rsid w:val="008A0C35"/>
    <w:rsid w:val="008A4964"/>
    <w:rsid w:val="008B49BC"/>
    <w:rsid w:val="008B6FB3"/>
    <w:rsid w:val="008B7B8E"/>
    <w:rsid w:val="008C1496"/>
    <w:rsid w:val="008D0E09"/>
    <w:rsid w:val="008E2804"/>
    <w:rsid w:val="008E3218"/>
    <w:rsid w:val="008E4B78"/>
    <w:rsid w:val="009010CC"/>
    <w:rsid w:val="00932C9E"/>
    <w:rsid w:val="009356A0"/>
    <w:rsid w:val="0094351E"/>
    <w:rsid w:val="009541DB"/>
    <w:rsid w:val="009560BD"/>
    <w:rsid w:val="009616BE"/>
    <w:rsid w:val="00965714"/>
    <w:rsid w:val="00966B4A"/>
    <w:rsid w:val="00974576"/>
    <w:rsid w:val="00974EA1"/>
    <w:rsid w:val="0097693B"/>
    <w:rsid w:val="00986E7C"/>
    <w:rsid w:val="009904E4"/>
    <w:rsid w:val="00993355"/>
    <w:rsid w:val="00995504"/>
    <w:rsid w:val="009A4A6D"/>
    <w:rsid w:val="009A76F6"/>
    <w:rsid w:val="009B046A"/>
    <w:rsid w:val="009B13AE"/>
    <w:rsid w:val="009C0BA8"/>
    <w:rsid w:val="009C3BAC"/>
    <w:rsid w:val="009C46BF"/>
    <w:rsid w:val="009D745A"/>
    <w:rsid w:val="009D7ABC"/>
    <w:rsid w:val="009E389F"/>
    <w:rsid w:val="009E470A"/>
    <w:rsid w:val="00A05819"/>
    <w:rsid w:val="00A12738"/>
    <w:rsid w:val="00A12A76"/>
    <w:rsid w:val="00A13265"/>
    <w:rsid w:val="00A13650"/>
    <w:rsid w:val="00A213C7"/>
    <w:rsid w:val="00A25ADA"/>
    <w:rsid w:val="00A26CDA"/>
    <w:rsid w:val="00A31749"/>
    <w:rsid w:val="00A31AF7"/>
    <w:rsid w:val="00A32F78"/>
    <w:rsid w:val="00A4013D"/>
    <w:rsid w:val="00A46F42"/>
    <w:rsid w:val="00A505D4"/>
    <w:rsid w:val="00A51033"/>
    <w:rsid w:val="00A57FD8"/>
    <w:rsid w:val="00A62439"/>
    <w:rsid w:val="00A643D6"/>
    <w:rsid w:val="00A71136"/>
    <w:rsid w:val="00A7366D"/>
    <w:rsid w:val="00A830B1"/>
    <w:rsid w:val="00A8450C"/>
    <w:rsid w:val="00A84F04"/>
    <w:rsid w:val="00A858A8"/>
    <w:rsid w:val="00A87B59"/>
    <w:rsid w:val="00A93AD6"/>
    <w:rsid w:val="00A95543"/>
    <w:rsid w:val="00A962E5"/>
    <w:rsid w:val="00AA1C78"/>
    <w:rsid w:val="00AA474C"/>
    <w:rsid w:val="00AB4C6A"/>
    <w:rsid w:val="00AB69E7"/>
    <w:rsid w:val="00AC2A77"/>
    <w:rsid w:val="00AC4BEC"/>
    <w:rsid w:val="00AD4A56"/>
    <w:rsid w:val="00AD7DAF"/>
    <w:rsid w:val="00AD7E5F"/>
    <w:rsid w:val="00AF1234"/>
    <w:rsid w:val="00B01AA1"/>
    <w:rsid w:val="00B11354"/>
    <w:rsid w:val="00B114EC"/>
    <w:rsid w:val="00B30C81"/>
    <w:rsid w:val="00B37D7F"/>
    <w:rsid w:val="00B4793B"/>
    <w:rsid w:val="00B51137"/>
    <w:rsid w:val="00B57833"/>
    <w:rsid w:val="00B65CCB"/>
    <w:rsid w:val="00B74948"/>
    <w:rsid w:val="00B74A86"/>
    <w:rsid w:val="00B81470"/>
    <w:rsid w:val="00B84ACA"/>
    <w:rsid w:val="00B9741A"/>
    <w:rsid w:val="00BA57FD"/>
    <w:rsid w:val="00BA6765"/>
    <w:rsid w:val="00BA6862"/>
    <w:rsid w:val="00BA6E4B"/>
    <w:rsid w:val="00BA6F85"/>
    <w:rsid w:val="00BB5B1F"/>
    <w:rsid w:val="00BC2641"/>
    <w:rsid w:val="00BE100F"/>
    <w:rsid w:val="00BE2DCC"/>
    <w:rsid w:val="00BF2F25"/>
    <w:rsid w:val="00BF534C"/>
    <w:rsid w:val="00BF6F00"/>
    <w:rsid w:val="00BF70E5"/>
    <w:rsid w:val="00BF7253"/>
    <w:rsid w:val="00C01A2B"/>
    <w:rsid w:val="00C01DB1"/>
    <w:rsid w:val="00C04FA3"/>
    <w:rsid w:val="00C113B6"/>
    <w:rsid w:val="00C15633"/>
    <w:rsid w:val="00C15799"/>
    <w:rsid w:val="00C21C51"/>
    <w:rsid w:val="00C22E09"/>
    <w:rsid w:val="00C357AD"/>
    <w:rsid w:val="00C4585B"/>
    <w:rsid w:val="00C47F79"/>
    <w:rsid w:val="00C50224"/>
    <w:rsid w:val="00C5168D"/>
    <w:rsid w:val="00C5730E"/>
    <w:rsid w:val="00C6069C"/>
    <w:rsid w:val="00C61AAC"/>
    <w:rsid w:val="00C74612"/>
    <w:rsid w:val="00C80021"/>
    <w:rsid w:val="00C854F2"/>
    <w:rsid w:val="00C8638C"/>
    <w:rsid w:val="00C91556"/>
    <w:rsid w:val="00C933F3"/>
    <w:rsid w:val="00C94FE7"/>
    <w:rsid w:val="00CA00E0"/>
    <w:rsid w:val="00CB121F"/>
    <w:rsid w:val="00CB1A73"/>
    <w:rsid w:val="00CB4451"/>
    <w:rsid w:val="00CB470B"/>
    <w:rsid w:val="00CB4ACB"/>
    <w:rsid w:val="00CC1B4F"/>
    <w:rsid w:val="00CC5332"/>
    <w:rsid w:val="00CC7CC1"/>
    <w:rsid w:val="00CD5431"/>
    <w:rsid w:val="00CD6AB2"/>
    <w:rsid w:val="00CE08DC"/>
    <w:rsid w:val="00CE39E0"/>
    <w:rsid w:val="00CF2491"/>
    <w:rsid w:val="00CF34D2"/>
    <w:rsid w:val="00D1252E"/>
    <w:rsid w:val="00D12D02"/>
    <w:rsid w:val="00D13B41"/>
    <w:rsid w:val="00D32DC7"/>
    <w:rsid w:val="00D35397"/>
    <w:rsid w:val="00D36655"/>
    <w:rsid w:val="00D37FE3"/>
    <w:rsid w:val="00D417DE"/>
    <w:rsid w:val="00D50113"/>
    <w:rsid w:val="00D50DE7"/>
    <w:rsid w:val="00D544AF"/>
    <w:rsid w:val="00D54FF0"/>
    <w:rsid w:val="00D57772"/>
    <w:rsid w:val="00D709F3"/>
    <w:rsid w:val="00D714D9"/>
    <w:rsid w:val="00D75546"/>
    <w:rsid w:val="00D75A4D"/>
    <w:rsid w:val="00D8478B"/>
    <w:rsid w:val="00D86151"/>
    <w:rsid w:val="00D86A8D"/>
    <w:rsid w:val="00D93D55"/>
    <w:rsid w:val="00DA2674"/>
    <w:rsid w:val="00DA2CEB"/>
    <w:rsid w:val="00DA7595"/>
    <w:rsid w:val="00DB0A68"/>
    <w:rsid w:val="00DB406C"/>
    <w:rsid w:val="00DC1D9E"/>
    <w:rsid w:val="00DC26BB"/>
    <w:rsid w:val="00DC43A3"/>
    <w:rsid w:val="00DC56C9"/>
    <w:rsid w:val="00DC7E50"/>
    <w:rsid w:val="00DD1B7A"/>
    <w:rsid w:val="00DD5A18"/>
    <w:rsid w:val="00DD5F49"/>
    <w:rsid w:val="00DD7C09"/>
    <w:rsid w:val="00DE0244"/>
    <w:rsid w:val="00DE5112"/>
    <w:rsid w:val="00DF382F"/>
    <w:rsid w:val="00DF4308"/>
    <w:rsid w:val="00E00BC9"/>
    <w:rsid w:val="00E0124F"/>
    <w:rsid w:val="00E100DD"/>
    <w:rsid w:val="00E10C65"/>
    <w:rsid w:val="00E12754"/>
    <w:rsid w:val="00E13EB4"/>
    <w:rsid w:val="00E3015C"/>
    <w:rsid w:val="00E3042F"/>
    <w:rsid w:val="00E3231E"/>
    <w:rsid w:val="00E33BE1"/>
    <w:rsid w:val="00E37AAF"/>
    <w:rsid w:val="00E43389"/>
    <w:rsid w:val="00E44E5A"/>
    <w:rsid w:val="00E44F37"/>
    <w:rsid w:val="00E51632"/>
    <w:rsid w:val="00E565FD"/>
    <w:rsid w:val="00E6174B"/>
    <w:rsid w:val="00E67214"/>
    <w:rsid w:val="00E674D3"/>
    <w:rsid w:val="00E70FD0"/>
    <w:rsid w:val="00E76507"/>
    <w:rsid w:val="00E85E7E"/>
    <w:rsid w:val="00E8614D"/>
    <w:rsid w:val="00E95ECC"/>
    <w:rsid w:val="00E9600F"/>
    <w:rsid w:val="00E972D7"/>
    <w:rsid w:val="00EA226F"/>
    <w:rsid w:val="00EA6738"/>
    <w:rsid w:val="00EB027F"/>
    <w:rsid w:val="00EB06BD"/>
    <w:rsid w:val="00EB1555"/>
    <w:rsid w:val="00EC6B8C"/>
    <w:rsid w:val="00ED3386"/>
    <w:rsid w:val="00ED40A7"/>
    <w:rsid w:val="00ED542F"/>
    <w:rsid w:val="00ED6815"/>
    <w:rsid w:val="00EE577E"/>
    <w:rsid w:val="00EF0DD0"/>
    <w:rsid w:val="00EF3787"/>
    <w:rsid w:val="00EF5F6F"/>
    <w:rsid w:val="00EF7BC1"/>
    <w:rsid w:val="00F03A0F"/>
    <w:rsid w:val="00F1659D"/>
    <w:rsid w:val="00F20CE3"/>
    <w:rsid w:val="00F216BC"/>
    <w:rsid w:val="00F40D71"/>
    <w:rsid w:val="00F413CD"/>
    <w:rsid w:val="00F43124"/>
    <w:rsid w:val="00F457FD"/>
    <w:rsid w:val="00F51322"/>
    <w:rsid w:val="00F56FDB"/>
    <w:rsid w:val="00F60C50"/>
    <w:rsid w:val="00F63650"/>
    <w:rsid w:val="00F63900"/>
    <w:rsid w:val="00F6391B"/>
    <w:rsid w:val="00F63B28"/>
    <w:rsid w:val="00F65934"/>
    <w:rsid w:val="00F73CAB"/>
    <w:rsid w:val="00F775E0"/>
    <w:rsid w:val="00F84067"/>
    <w:rsid w:val="00F9500E"/>
    <w:rsid w:val="00F95680"/>
    <w:rsid w:val="00FA0AEB"/>
    <w:rsid w:val="00FB70CE"/>
    <w:rsid w:val="00FC5F15"/>
    <w:rsid w:val="00FD1E40"/>
    <w:rsid w:val="00FD5B26"/>
    <w:rsid w:val="00FF0B3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0AF89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EA22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493D17"/>
    <w:pPr>
      <w:ind w:left="720"/>
      <w:contextualSpacing/>
    </w:pPr>
  </w:style>
  <w:style w:type="character" w:customStyle="1" w:styleId="ListParagraphChar">
    <w:name w:val="List Paragraph Char"/>
    <w:basedOn w:val="DefaultParagraphFont"/>
    <w:link w:val="ListParagraph"/>
    <w:uiPriority w:val="34"/>
    <w:locked/>
    <w:rsid w:val="00BF7253"/>
    <w:rPr>
      <w:rFonts w:eastAsia="BatangChe"/>
      <w:sz w:val="24"/>
      <w:szCs w:val="24"/>
      <w:lang w:eastAsia="en-US"/>
    </w:rPr>
  </w:style>
  <w:style w:type="paragraph" w:styleId="FootnoteText">
    <w:name w:val="footnote text"/>
    <w:basedOn w:val="Normal"/>
    <w:link w:val="FootnoteTextChar"/>
    <w:rsid w:val="00182D55"/>
    <w:pPr>
      <w:snapToGrid w:val="0"/>
    </w:pPr>
  </w:style>
  <w:style w:type="character" w:customStyle="1" w:styleId="FootnoteTextChar">
    <w:name w:val="Footnote Text Char"/>
    <w:basedOn w:val="DefaultParagraphFont"/>
    <w:link w:val="FootnoteText"/>
    <w:rsid w:val="00182D55"/>
    <w:rPr>
      <w:rFonts w:eastAsia="BatangChe"/>
      <w:sz w:val="24"/>
      <w:szCs w:val="24"/>
      <w:lang w:eastAsia="en-US"/>
    </w:rPr>
  </w:style>
  <w:style w:type="character" w:styleId="FootnoteReference">
    <w:name w:val="footnote reference"/>
    <w:basedOn w:val="DefaultParagraphFont"/>
    <w:rsid w:val="00182D55"/>
    <w:rPr>
      <w:vertAlign w:val="superscript"/>
    </w:rPr>
  </w:style>
  <w:style w:type="character" w:styleId="Hyperlink">
    <w:name w:val="Hyperlink"/>
    <w:basedOn w:val="DefaultParagraphFont"/>
    <w:rsid w:val="0037636D"/>
    <w:rPr>
      <w:color w:val="0000FF"/>
      <w:u w:val="single"/>
    </w:rPr>
  </w:style>
  <w:style w:type="paragraph" w:styleId="BalloonText">
    <w:name w:val="Balloon Text"/>
    <w:basedOn w:val="Normal"/>
    <w:link w:val="BalloonTextChar"/>
    <w:semiHidden/>
    <w:unhideWhenUsed/>
    <w:rsid w:val="0061666B"/>
    <w:rPr>
      <w:rFonts w:ascii="Lucida Grande" w:hAnsi="Lucida Grande" w:cs="Lucida Grande"/>
      <w:sz w:val="18"/>
      <w:szCs w:val="18"/>
    </w:rPr>
  </w:style>
  <w:style w:type="character" w:customStyle="1" w:styleId="BalloonTextChar">
    <w:name w:val="Balloon Text Char"/>
    <w:basedOn w:val="DefaultParagraphFont"/>
    <w:link w:val="BalloonText"/>
    <w:semiHidden/>
    <w:rsid w:val="0061666B"/>
    <w:rPr>
      <w:rFonts w:ascii="Lucida Grande" w:eastAsia="BatangChe" w:hAnsi="Lucida Grande" w:cs="Lucida Grande"/>
      <w:sz w:val="18"/>
      <w:szCs w:val="18"/>
      <w:lang w:bidi="ar-SA"/>
    </w:rPr>
  </w:style>
  <w:style w:type="character" w:styleId="FollowedHyperlink">
    <w:name w:val="FollowedHyperlink"/>
    <w:basedOn w:val="DefaultParagraphFont"/>
    <w:semiHidden/>
    <w:unhideWhenUsed/>
    <w:rsid w:val="00562A19"/>
    <w:rPr>
      <w:color w:val="800080" w:themeColor="followedHyperlink"/>
      <w:u w:val="single"/>
    </w:rPr>
  </w:style>
  <w:style w:type="character" w:customStyle="1" w:styleId="Heading2Char">
    <w:name w:val="Heading 2 Char"/>
    <w:basedOn w:val="DefaultParagraphFont"/>
    <w:link w:val="Heading2"/>
    <w:semiHidden/>
    <w:rsid w:val="00EA226F"/>
    <w:rPr>
      <w:rFonts w:asciiTheme="majorHAnsi" w:eastAsiaTheme="majorEastAsia" w:hAnsiTheme="majorHAnsi" w:cstheme="majorBidi"/>
      <w:b/>
      <w:bCs/>
      <w:color w:val="4F81BD" w:themeColor="accent1"/>
      <w:sz w:val="26"/>
      <w:szCs w:val="26"/>
      <w:lang w:bidi="ar-SA"/>
    </w:rPr>
  </w:style>
  <w:style w:type="table" w:styleId="TableGrid">
    <w:name w:val="Table Grid"/>
    <w:basedOn w:val="TableNormal"/>
    <w:rsid w:val="00B57833"/>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34B0E"/>
  </w:style>
  <w:style w:type="paragraph" w:customStyle="1" w:styleId="yiv0985516310msonormal">
    <w:name w:val="yiv0985516310msonormal"/>
    <w:basedOn w:val="Normal"/>
    <w:rsid w:val="00434B0E"/>
    <w:pPr>
      <w:spacing w:before="100" w:beforeAutospacing="1" w:after="100" w:afterAutospacing="1"/>
    </w:pPr>
    <w:rPr>
      <w:rFonts w:ascii="Times" w:eastAsia="Batang" w:hAnsi="Times"/>
      <w:sz w:val="20"/>
      <w:szCs w:val="20"/>
    </w:rPr>
  </w:style>
  <w:style w:type="paragraph" w:customStyle="1" w:styleId="yiv0985516310msolistparagraph">
    <w:name w:val="yiv0985516310msolistparagraph"/>
    <w:basedOn w:val="Normal"/>
    <w:rsid w:val="00434B0E"/>
    <w:pPr>
      <w:spacing w:before="100" w:beforeAutospacing="1" w:after="100" w:afterAutospacing="1"/>
    </w:pPr>
    <w:rPr>
      <w:rFonts w:ascii="Times" w:eastAsia="Batang"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4855">
      <w:bodyDiv w:val="1"/>
      <w:marLeft w:val="0"/>
      <w:marRight w:val="0"/>
      <w:marTop w:val="0"/>
      <w:marBottom w:val="0"/>
      <w:divBdr>
        <w:top w:val="none" w:sz="0" w:space="0" w:color="auto"/>
        <w:left w:val="none" w:sz="0" w:space="0" w:color="auto"/>
        <w:bottom w:val="none" w:sz="0" w:space="0" w:color="auto"/>
        <w:right w:val="none" w:sz="0" w:space="0" w:color="auto"/>
      </w:divBdr>
    </w:div>
    <w:div w:id="238834244">
      <w:bodyDiv w:val="1"/>
      <w:marLeft w:val="0"/>
      <w:marRight w:val="0"/>
      <w:marTop w:val="0"/>
      <w:marBottom w:val="0"/>
      <w:divBdr>
        <w:top w:val="none" w:sz="0" w:space="0" w:color="auto"/>
        <w:left w:val="none" w:sz="0" w:space="0" w:color="auto"/>
        <w:bottom w:val="none" w:sz="0" w:space="0" w:color="auto"/>
        <w:right w:val="none" w:sz="0" w:space="0" w:color="auto"/>
      </w:divBdr>
    </w:div>
    <w:div w:id="296109634">
      <w:bodyDiv w:val="1"/>
      <w:marLeft w:val="0"/>
      <w:marRight w:val="0"/>
      <w:marTop w:val="0"/>
      <w:marBottom w:val="0"/>
      <w:divBdr>
        <w:top w:val="none" w:sz="0" w:space="0" w:color="auto"/>
        <w:left w:val="none" w:sz="0" w:space="0" w:color="auto"/>
        <w:bottom w:val="none" w:sz="0" w:space="0" w:color="auto"/>
        <w:right w:val="none" w:sz="0" w:space="0" w:color="auto"/>
      </w:divBdr>
    </w:div>
    <w:div w:id="325014716">
      <w:bodyDiv w:val="1"/>
      <w:marLeft w:val="0"/>
      <w:marRight w:val="0"/>
      <w:marTop w:val="0"/>
      <w:marBottom w:val="0"/>
      <w:divBdr>
        <w:top w:val="none" w:sz="0" w:space="0" w:color="auto"/>
        <w:left w:val="none" w:sz="0" w:space="0" w:color="auto"/>
        <w:bottom w:val="none" w:sz="0" w:space="0" w:color="auto"/>
        <w:right w:val="none" w:sz="0" w:space="0" w:color="auto"/>
      </w:divBdr>
    </w:div>
    <w:div w:id="443379291">
      <w:bodyDiv w:val="1"/>
      <w:marLeft w:val="0"/>
      <w:marRight w:val="0"/>
      <w:marTop w:val="0"/>
      <w:marBottom w:val="0"/>
      <w:divBdr>
        <w:top w:val="none" w:sz="0" w:space="0" w:color="auto"/>
        <w:left w:val="none" w:sz="0" w:space="0" w:color="auto"/>
        <w:bottom w:val="none" w:sz="0" w:space="0" w:color="auto"/>
        <w:right w:val="none" w:sz="0" w:space="0" w:color="auto"/>
      </w:divBdr>
    </w:div>
    <w:div w:id="485826037">
      <w:bodyDiv w:val="1"/>
      <w:marLeft w:val="0"/>
      <w:marRight w:val="0"/>
      <w:marTop w:val="0"/>
      <w:marBottom w:val="0"/>
      <w:divBdr>
        <w:top w:val="none" w:sz="0" w:space="0" w:color="auto"/>
        <w:left w:val="none" w:sz="0" w:space="0" w:color="auto"/>
        <w:bottom w:val="none" w:sz="0" w:space="0" w:color="auto"/>
        <w:right w:val="none" w:sz="0" w:space="0" w:color="auto"/>
      </w:divBdr>
    </w:div>
    <w:div w:id="680008458">
      <w:bodyDiv w:val="1"/>
      <w:marLeft w:val="0"/>
      <w:marRight w:val="0"/>
      <w:marTop w:val="0"/>
      <w:marBottom w:val="0"/>
      <w:divBdr>
        <w:top w:val="none" w:sz="0" w:space="0" w:color="auto"/>
        <w:left w:val="none" w:sz="0" w:space="0" w:color="auto"/>
        <w:bottom w:val="none" w:sz="0" w:space="0" w:color="auto"/>
        <w:right w:val="none" w:sz="0" w:space="0" w:color="auto"/>
      </w:divBdr>
    </w:div>
    <w:div w:id="729620496">
      <w:bodyDiv w:val="1"/>
      <w:marLeft w:val="0"/>
      <w:marRight w:val="0"/>
      <w:marTop w:val="0"/>
      <w:marBottom w:val="0"/>
      <w:divBdr>
        <w:top w:val="none" w:sz="0" w:space="0" w:color="auto"/>
        <w:left w:val="none" w:sz="0" w:space="0" w:color="auto"/>
        <w:bottom w:val="none" w:sz="0" w:space="0" w:color="auto"/>
        <w:right w:val="none" w:sz="0" w:space="0" w:color="auto"/>
      </w:divBdr>
    </w:div>
    <w:div w:id="851340636">
      <w:bodyDiv w:val="1"/>
      <w:marLeft w:val="0"/>
      <w:marRight w:val="0"/>
      <w:marTop w:val="0"/>
      <w:marBottom w:val="0"/>
      <w:divBdr>
        <w:top w:val="none" w:sz="0" w:space="0" w:color="auto"/>
        <w:left w:val="none" w:sz="0" w:space="0" w:color="auto"/>
        <w:bottom w:val="none" w:sz="0" w:space="0" w:color="auto"/>
        <w:right w:val="none" w:sz="0" w:space="0" w:color="auto"/>
      </w:divBdr>
    </w:div>
    <w:div w:id="884757966">
      <w:bodyDiv w:val="1"/>
      <w:marLeft w:val="0"/>
      <w:marRight w:val="0"/>
      <w:marTop w:val="0"/>
      <w:marBottom w:val="0"/>
      <w:divBdr>
        <w:top w:val="none" w:sz="0" w:space="0" w:color="auto"/>
        <w:left w:val="none" w:sz="0" w:space="0" w:color="auto"/>
        <w:bottom w:val="none" w:sz="0" w:space="0" w:color="auto"/>
        <w:right w:val="none" w:sz="0" w:space="0" w:color="auto"/>
      </w:divBdr>
    </w:div>
    <w:div w:id="890463727">
      <w:bodyDiv w:val="1"/>
      <w:marLeft w:val="0"/>
      <w:marRight w:val="0"/>
      <w:marTop w:val="0"/>
      <w:marBottom w:val="0"/>
      <w:divBdr>
        <w:top w:val="none" w:sz="0" w:space="0" w:color="auto"/>
        <w:left w:val="none" w:sz="0" w:space="0" w:color="auto"/>
        <w:bottom w:val="none" w:sz="0" w:space="0" w:color="auto"/>
        <w:right w:val="none" w:sz="0" w:space="0" w:color="auto"/>
      </w:divBdr>
    </w:div>
    <w:div w:id="890650966">
      <w:bodyDiv w:val="1"/>
      <w:marLeft w:val="0"/>
      <w:marRight w:val="0"/>
      <w:marTop w:val="0"/>
      <w:marBottom w:val="0"/>
      <w:divBdr>
        <w:top w:val="none" w:sz="0" w:space="0" w:color="auto"/>
        <w:left w:val="none" w:sz="0" w:space="0" w:color="auto"/>
        <w:bottom w:val="none" w:sz="0" w:space="0" w:color="auto"/>
        <w:right w:val="none" w:sz="0" w:space="0" w:color="auto"/>
      </w:divBdr>
    </w:div>
    <w:div w:id="1092509978">
      <w:bodyDiv w:val="1"/>
      <w:marLeft w:val="0"/>
      <w:marRight w:val="0"/>
      <w:marTop w:val="0"/>
      <w:marBottom w:val="0"/>
      <w:divBdr>
        <w:top w:val="none" w:sz="0" w:space="0" w:color="auto"/>
        <w:left w:val="none" w:sz="0" w:space="0" w:color="auto"/>
        <w:bottom w:val="none" w:sz="0" w:space="0" w:color="auto"/>
        <w:right w:val="none" w:sz="0" w:space="0" w:color="auto"/>
      </w:divBdr>
    </w:div>
    <w:div w:id="1097483077">
      <w:bodyDiv w:val="1"/>
      <w:marLeft w:val="0"/>
      <w:marRight w:val="0"/>
      <w:marTop w:val="0"/>
      <w:marBottom w:val="0"/>
      <w:divBdr>
        <w:top w:val="none" w:sz="0" w:space="0" w:color="auto"/>
        <w:left w:val="none" w:sz="0" w:space="0" w:color="auto"/>
        <w:bottom w:val="none" w:sz="0" w:space="0" w:color="auto"/>
        <w:right w:val="none" w:sz="0" w:space="0" w:color="auto"/>
      </w:divBdr>
    </w:div>
    <w:div w:id="1108429291">
      <w:bodyDiv w:val="1"/>
      <w:marLeft w:val="0"/>
      <w:marRight w:val="0"/>
      <w:marTop w:val="0"/>
      <w:marBottom w:val="0"/>
      <w:divBdr>
        <w:top w:val="none" w:sz="0" w:space="0" w:color="auto"/>
        <w:left w:val="none" w:sz="0" w:space="0" w:color="auto"/>
        <w:bottom w:val="none" w:sz="0" w:space="0" w:color="auto"/>
        <w:right w:val="none" w:sz="0" w:space="0" w:color="auto"/>
      </w:divBdr>
    </w:div>
    <w:div w:id="1153521552">
      <w:bodyDiv w:val="1"/>
      <w:marLeft w:val="0"/>
      <w:marRight w:val="0"/>
      <w:marTop w:val="0"/>
      <w:marBottom w:val="0"/>
      <w:divBdr>
        <w:top w:val="none" w:sz="0" w:space="0" w:color="auto"/>
        <w:left w:val="none" w:sz="0" w:space="0" w:color="auto"/>
        <w:bottom w:val="none" w:sz="0" w:space="0" w:color="auto"/>
        <w:right w:val="none" w:sz="0" w:space="0" w:color="auto"/>
      </w:divBdr>
    </w:div>
    <w:div w:id="1154688580">
      <w:bodyDiv w:val="1"/>
      <w:marLeft w:val="0"/>
      <w:marRight w:val="0"/>
      <w:marTop w:val="0"/>
      <w:marBottom w:val="0"/>
      <w:divBdr>
        <w:top w:val="none" w:sz="0" w:space="0" w:color="auto"/>
        <w:left w:val="none" w:sz="0" w:space="0" w:color="auto"/>
        <w:bottom w:val="none" w:sz="0" w:space="0" w:color="auto"/>
        <w:right w:val="none" w:sz="0" w:space="0" w:color="auto"/>
      </w:divBdr>
    </w:div>
    <w:div w:id="1225946237">
      <w:bodyDiv w:val="1"/>
      <w:marLeft w:val="0"/>
      <w:marRight w:val="0"/>
      <w:marTop w:val="0"/>
      <w:marBottom w:val="0"/>
      <w:divBdr>
        <w:top w:val="none" w:sz="0" w:space="0" w:color="auto"/>
        <w:left w:val="none" w:sz="0" w:space="0" w:color="auto"/>
        <w:bottom w:val="none" w:sz="0" w:space="0" w:color="auto"/>
        <w:right w:val="none" w:sz="0" w:space="0" w:color="auto"/>
      </w:divBdr>
    </w:div>
    <w:div w:id="1239941873">
      <w:bodyDiv w:val="1"/>
      <w:marLeft w:val="0"/>
      <w:marRight w:val="0"/>
      <w:marTop w:val="0"/>
      <w:marBottom w:val="0"/>
      <w:divBdr>
        <w:top w:val="none" w:sz="0" w:space="0" w:color="auto"/>
        <w:left w:val="none" w:sz="0" w:space="0" w:color="auto"/>
        <w:bottom w:val="none" w:sz="0" w:space="0" w:color="auto"/>
        <w:right w:val="none" w:sz="0" w:space="0" w:color="auto"/>
      </w:divBdr>
    </w:div>
    <w:div w:id="1287546914">
      <w:bodyDiv w:val="1"/>
      <w:marLeft w:val="0"/>
      <w:marRight w:val="0"/>
      <w:marTop w:val="0"/>
      <w:marBottom w:val="0"/>
      <w:divBdr>
        <w:top w:val="none" w:sz="0" w:space="0" w:color="auto"/>
        <w:left w:val="none" w:sz="0" w:space="0" w:color="auto"/>
        <w:bottom w:val="none" w:sz="0" w:space="0" w:color="auto"/>
        <w:right w:val="none" w:sz="0" w:space="0" w:color="auto"/>
      </w:divBdr>
    </w:div>
    <w:div w:id="1336113068">
      <w:bodyDiv w:val="1"/>
      <w:marLeft w:val="0"/>
      <w:marRight w:val="0"/>
      <w:marTop w:val="0"/>
      <w:marBottom w:val="0"/>
      <w:divBdr>
        <w:top w:val="none" w:sz="0" w:space="0" w:color="auto"/>
        <w:left w:val="none" w:sz="0" w:space="0" w:color="auto"/>
        <w:bottom w:val="none" w:sz="0" w:space="0" w:color="auto"/>
        <w:right w:val="none" w:sz="0" w:space="0" w:color="auto"/>
      </w:divBdr>
    </w:div>
    <w:div w:id="1375885289">
      <w:bodyDiv w:val="1"/>
      <w:marLeft w:val="0"/>
      <w:marRight w:val="0"/>
      <w:marTop w:val="0"/>
      <w:marBottom w:val="0"/>
      <w:divBdr>
        <w:top w:val="none" w:sz="0" w:space="0" w:color="auto"/>
        <w:left w:val="none" w:sz="0" w:space="0" w:color="auto"/>
        <w:bottom w:val="none" w:sz="0" w:space="0" w:color="auto"/>
        <w:right w:val="none" w:sz="0" w:space="0" w:color="auto"/>
      </w:divBdr>
    </w:div>
    <w:div w:id="1385523799">
      <w:bodyDiv w:val="1"/>
      <w:marLeft w:val="0"/>
      <w:marRight w:val="0"/>
      <w:marTop w:val="0"/>
      <w:marBottom w:val="0"/>
      <w:divBdr>
        <w:top w:val="none" w:sz="0" w:space="0" w:color="auto"/>
        <w:left w:val="none" w:sz="0" w:space="0" w:color="auto"/>
        <w:bottom w:val="none" w:sz="0" w:space="0" w:color="auto"/>
        <w:right w:val="none" w:sz="0" w:space="0" w:color="auto"/>
      </w:divBdr>
    </w:div>
    <w:div w:id="1474908996">
      <w:bodyDiv w:val="1"/>
      <w:marLeft w:val="0"/>
      <w:marRight w:val="0"/>
      <w:marTop w:val="0"/>
      <w:marBottom w:val="0"/>
      <w:divBdr>
        <w:top w:val="none" w:sz="0" w:space="0" w:color="auto"/>
        <w:left w:val="none" w:sz="0" w:space="0" w:color="auto"/>
        <w:bottom w:val="none" w:sz="0" w:space="0" w:color="auto"/>
        <w:right w:val="none" w:sz="0" w:space="0" w:color="auto"/>
      </w:divBdr>
    </w:div>
    <w:div w:id="1565794128">
      <w:bodyDiv w:val="1"/>
      <w:marLeft w:val="0"/>
      <w:marRight w:val="0"/>
      <w:marTop w:val="0"/>
      <w:marBottom w:val="0"/>
      <w:divBdr>
        <w:top w:val="none" w:sz="0" w:space="0" w:color="auto"/>
        <w:left w:val="none" w:sz="0" w:space="0" w:color="auto"/>
        <w:bottom w:val="none" w:sz="0" w:space="0" w:color="auto"/>
        <w:right w:val="none" w:sz="0" w:space="0" w:color="auto"/>
      </w:divBdr>
    </w:div>
    <w:div w:id="1576042130">
      <w:bodyDiv w:val="1"/>
      <w:marLeft w:val="0"/>
      <w:marRight w:val="0"/>
      <w:marTop w:val="0"/>
      <w:marBottom w:val="0"/>
      <w:divBdr>
        <w:top w:val="none" w:sz="0" w:space="0" w:color="auto"/>
        <w:left w:val="none" w:sz="0" w:space="0" w:color="auto"/>
        <w:bottom w:val="none" w:sz="0" w:space="0" w:color="auto"/>
        <w:right w:val="none" w:sz="0" w:space="0" w:color="auto"/>
      </w:divBdr>
    </w:div>
    <w:div w:id="1591891245">
      <w:bodyDiv w:val="1"/>
      <w:marLeft w:val="0"/>
      <w:marRight w:val="0"/>
      <w:marTop w:val="0"/>
      <w:marBottom w:val="0"/>
      <w:divBdr>
        <w:top w:val="none" w:sz="0" w:space="0" w:color="auto"/>
        <w:left w:val="none" w:sz="0" w:space="0" w:color="auto"/>
        <w:bottom w:val="none" w:sz="0" w:space="0" w:color="auto"/>
        <w:right w:val="none" w:sz="0" w:space="0" w:color="auto"/>
      </w:divBdr>
    </w:div>
    <w:div w:id="1826125915">
      <w:bodyDiv w:val="1"/>
      <w:marLeft w:val="0"/>
      <w:marRight w:val="0"/>
      <w:marTop w:val="0"/>
      <w:marBottom w:val="0"/>
      <w:divBdr>
        <w:top w:val="none" w:sz="0" w:space="0" w:color="auto"/>
        <w:left w:val="none" w:sz="0" w:space="0" w:color="auto"/>
        <w:bottom w:val="none" w:sz="0" w:space="0" w:color="auto"/>
        <w:right w:val="none" w:sz="0" w:space="0" w:color="auto"/>
      </w:divBdr>
    </w:div>
    <w:div w:id="1854227346">
      <w:bodyDiv w:val="1"/>
      <w:marLeft w:val="0"/>
      <w:marRight w:val="0"/>
      <w:marTop w:val="0"/>
      <w:marBottom w:val="0"/>
      <w:divBdr>
        <w:top w:val="none" w:sz="0" w:space="0" w:color="auto"/>
        <w:left w:val="none" w:sz="0" w:space="0" w:color="auto"/>
        <w:bottom w:val="none" w:sz="0" w:space="0" w:color="auto"/>
        <w:right w:val="none" w:sz="0" w:space="0" w:color="auto"/>
      </w:divBdr>
    </w:div>
    <w:div w:id="1904176584">
      <w:bodyDiv w:val="1"/>
      <w:marLeft w:val="0"/>
      <w:marRight w:val="0"/>
      <w:marTop w:val="0"/>
      <w:marBottom w:val="0"/>
      <w:divBdr>
        <w:top w:val="none" w:sz="0" w:space="0" w:color="auto"/>
        <w:left w:val="none" w:sz="0" w:space="0" w:color="auto"/>
        <w:bottom w:val="none" w:sz="0" w:space="0" w:color="auto"/>
        <w:right w:val="none" w:sz="0" w:space="0" w:color="auto"/>
      </w:divBdr>
    </w:div>
    <w:div w:id="1925795550">
      <w:bodyDiv w:val="1"/>
      <w:marLeft w:val="0"/>
      <w:marRight w:val="0"/>
      <w:marTop w:val="0"/>
      <w:marBottom w:val="0"/>
      <w:divBdr>
        <w:top w:val="none" w:sz="0" w:space="0" w:color="auto"/>
        <w:left w:val="none" w:sz="0" w:space="0" w:color="auto"/>
        <w:bottom w:val="none" w:sz="0" w:space="0" w:color="auto"/>
        <w:right w:val="none" w:sz="0" w:space="0" w:color="auto"/>
      </w:divBdr>
    </w:div>
    <w:div w:id="1946186485">
      <w:bodyDiv w:val="1"/>
      <w:marLeft w:val="0"/>
      <w:marRight w:val="0"/>
      <w:marTop w:val="0"/>
      <w:marBottom w:val="0"/>
      <w:divBdr>
        <w:top w:val="none" w:sz="0" w:space="0" w:color="auto"/>
        <w:left w:val="none" w:sz="0" w:space="0" w:color="auto"/>
        <w:bottom w:val="none" w:sz="0" w:space="0" w:color="auto"/>
        <w:right w:val="none" w:sz="0" w:space="0" w:color="auto"/>
      </w:divBdr>
    </w:div>
    <w:div w:id="2046175086">
      <w:bodyDiv w:val="1"/>
      <w:marLeft w:val="0"/>
      <w:marRight w:val="0"/>
      <w:marTop w:val="0"/>
      <w:marBottom w:val="0"/>
      <w:divBdr>
        <w:top w:val="none" w:sz="0" w:space="0" w:color="auto"/>
        <w:left w:val="none" w:sz="0" w:space="0" w:color="auto"/>
        <w:bottom w:val="none" w:sz="0" w:space="0" w:color="auto"/>
        <w:right w:val="none" w:sz="0" w:space="0" w:color="auto"/>
      </w:divBdr>
    </w:div>
    <w:div w:id="2123959554">
      <w:bodyDiv w:val="1"/>
      <w:marLeft w:val="0"/>
      <w:marRight w:val="0"/>
      <w:marTop w:val="0"/>
      <w:marBottom w:val="0"/>
      <w:divBdr>
        <w:top w:val="none" w:sz="0" w:space="0" w:color="auto"/>
        <w:left w:val="none" w:sz="0" w:space="0" w:color="auto"/>
        <w:bottom w:val="none" w:sz="0" w:space="0" w:color="auto"/>
        <w:right w:val="none" w:sz="0" w:space="0" w:color="auto"/>
      </w:divBdr>
      <w:divsChild>
        <w:div w:id="1695964340">
          <w:marLeft w:val="893"/>
          <w:marRight w:val="0"/>
          <w:marTop w:val="80"/>
          <w:marBottom w:val="0"/>
          <w:divBdr>
            <w:top w:val="none" w:sz="0" w:space="0" w:color="auto"/>
            <w:left w:val="none" w:sz="0" w:space="0" w:color="auto"/>
            <w:bottom w:val="none" w:sz="0" w:space="0" w:color="auto"/>
            <w:right w:val="none" w:sz="0" w:space="0" w:color="auto"/>
          </w:divBdr>
        </w:div>
      </w:divsChild>
    </w:div>
    <w:div w:id="2144611734">
      <w:bodyDiv w:val="1"/>
      <w:marLeft w:val="0"/>
      <w:marRight w:val="0"/>
      <w:marTop w:val="0"/>
      <w:marBottom w:val="0"/>
      <w:divBdr>
        <w:top w:val="none" w:sz="0" w:space="0" w:color="auto"/>
        <w:left w:val="none" w:sz="0" w:space="0" w:color="auto"/>
        <w:bottom w:val="none" w:sz="0" w:space="0" w:color="auto"/>
        <w:right w:val="none" w:sz="0" w:space="0" w:color="auto"/>
      </w:divBdr>
      <w:divsChild>
        <w:div w:id="1174413331">
          <w:marLeft w:val="432"/>
          <w:marRight w:val="0"/>
          <w:marTop w:val="86"/>
          <w:marBottom w:val="0"/>
          <w:divBdr>
            <w:top w:val="none" w:sz="0" w:space="0" w:color="auto"/>
            <w:left w:val="none" w:sz="0" w:space="0" w:color="auto"/>
            <w:bottom w:val="none" w:sz="0" w:space="0" w:color="auto"/>
            <w:right w:val="none" w:sz="0" w:space="0" w:color="auto"/>
          </w:divBdr>
        </w:div>
        <w:div w:id="2031757865">
          <w:marLeft w:val="432"/>
          <w:marRight w:val="0"/>
          <w:marTop w:val="96"/>
          <w:marBottom w:val="0"/>
          <w:divBdr>
            <w:top w:val="none" w:sz="0" w:space="0" w:color="auto"/>
            <w:left w:val="none" w:sz="0" w:space="0" w:color="auto"/>
            <w:bottom w:val="none" w:sz="0" w:space="0" w:color="auto"/>
            <w:right w:val="none" w:sz="0" w:space="0" w:color="auto"/>
          </w:divBdr>
        </w:div>
        <w:div w:id="16078480">
          <w:marLeft w:val="1008"/>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tsec.org/sites/default/files/2017/07/APG19-2-INP-35_IRN_WP2.docx" TargetMode="External"/><Relationship Id="rId18" Type="http://schemas.openxmlformats.org/officeDocument/2006/relationships/hyperlink" Target="http://www.aptsec.org/sites/default/files/2017/07/APG19-2-INF-04_CITEL_Preparation.pdf"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aptsec.org/sites/default/files/2017/07/APG19-2-INP-29_AUS_WP2_0.docx" TargetMode="External"/><Relationship Id="rId17" Type="http://schemas.openxmlformats.org/officeDocument/2006/relationships/hyperlink" Target="http://www.aptsec.org/sites/default/files/2017/05/APG19-2-INF-01_Status_of_Preparation_of_Regional_Groups.docx"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aptsec.org/sites/default/files/2017/07/APG19-2-INP-69_THA_WP2.docx" TargetMode="External"/><Relationship Id="rId20" Type="http://schemas.openxmlformats.org/officeDocument/2006/relationships/hyperlink" Target="http://www.aptsec.org/sites/default/files/2017/07/APG19-2-INF-14_CEPT_Preparation_for_WRC-19.pdf"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aptsec.org/sites/default/files/2017/07/APG19-2-INP-21_NZL_WP2.doc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ptsec.org/sites/default/files/2017/07/APG19-2-INP-56_J_WP2.docx" TargetMode="External"/><Relationship Id="rId23" Type="http://schemas.openxmlformats.org/officeDocument/2006/relationships/footer" Target="footer2.xml"/><Relationship Id="rId10" Type="http://schemas.openxmlformats.org/officeDocument/2006/relationships/hyperlink" Target="http://www.aptsec.org/sites/default/files/2017/07/APG19-2-INP-09_KOR-WP2.docx" TargetMode="External"/><Relationship Id="rId19" Type="http://schemas.openxmlformats.org/officeDocument/2006/relationships/hyperlink" Target="http://www.aptsec.org/sites/default/files/2017/07/APG19-2-INF-06_IARU_0.doc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aptsec.org/sites/default/files/2017/07/APG19-2-INP-40_INS_WP2.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4E865-EE9F-4F14-869F-C59D243EE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1785</Words>
  <Characters>10176</Characters>
  <Application>Microsoft Office Word</Application>
  <DocSecurity>0</DocSecurity>
  <Lines>84</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11938</CharactersWithSpaces>
  <SharedDoc>false</SharedDoc>
  <HLinks>
    <vt:vector size="6" baseType="variant">
      <vt:variant>
        <vt:i4>4456449</vt:i4>
      </vt:variant>
      <vt:variant>
        <vt:i4>0</vt:i4>
      </vt:variant>
      <vt:variant>
        <vt:i4>0</vt:i4>
      </vt:variant>
      <vt:variant>
        <vt:i4>5</vt:i4>
      </vt:variant>
      <vt:variant>
        <vt:lpwstr>http://www.itu.int/md/R00-CA-CIR-0201/en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3</cp:revision>
  <cp:lastPrinted>2004-07-28T02:14:00Z</cp:lastPrinted>
  <dcterms:created xsi:type="dcterms:W3CDTF">2017-07-21T05:19:00Z</dcterms:created>
  <dcterms:modified xsi:type="dcterms:W3CDTF">2017-07-24T03:38:00Z</dcterms:modified>
</cp:coreProperties>
</file>