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AB26DF">
        <w:trPr>
          <w:cantSplit/>
        </w:trPr>
        <w:tc>
          <w:tcPr>
            <w:tcW w:w="1399" w:type="dxa"/>
            <w:vMerge w:val="restart"/>
          </w:tcPr>
          <w:p w:rsidR="00CF3963" w:rsidRPr="00891D0B" w:rsidRDefault="00CF3963" w:rsidP="00AB26D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AB26DF">
            <w:r w:rsidRPr="00096326">
              <w:t>ASIA-PACIFIC TELECOMMUNITY</w:t>
            </w:r>
          </w:p>
        </w:tc>
        <w:tc>
          <w:tcPr>
            <w:tcW w:w="2700" w:type="dxa"/>
          </w:tcPr>
          <w:p w:rsidR="00CF3963" w:rsidRPr="00096326" w:rsidRDefault="00CF3963" w:rsidP="00AB26DF">
            <w:pPr>
              <w:rPr>
                <w:b/>
                <w:bCs/>
                <w:lang w:val="fr-FR"/>
              </w:rPr>
            </w:pPr>
            <w:r w:rsidRPr="00C15799">
              <w:rPr>
                <w:b/>
                <w:lang w:val="fr-FR"/>
              </w:rPr>
              <w:t>Document</w:t>
            </w:r>
            <w:r>
              <w:rPr>
                <w:b/>
                <w:lang w:val="fr-FR"/>
              </w:rPr>
              <w:t xml:space="preserve">: </w:t>
            </w:r>
          </w:p>
        </w:tc>
      </w:tr>
      <w:tr w:rsidR="00CF3963" w:rsidRPr="00C15799" w:rsidTr="00AB26DF">
        <w:trPr>
          <w:cantSplit/>
        </w:trPr>
        <w:tc>
          <w:tcPr>
            <w:tcW w:w="1399" w:type="dxa"/>
            <w:vMerge/>
          </w:tcPr>
          <w:p w:rsidR="00CF3963" w:rsidRPr="00891D0B" w:rsidRDefault="00CF3963" w:rsidP="00AB26DF"/>
        </w:tc>
        <w:tc>
          <w:tcPr>
            <w:tcW w:w="5720" w:type="dxa"/>
          </w:tcPr>
          <w:p w:rsidR="00CF3963" w:rsidRPr="00891D0B" w:rsidRDefault="00CF3963" w:rsidP="00AB26DF">
            <w:pPr>
              <w:spacing w:line="0" w:lineRule="atLeast"/>
            </w:pPr>
            <w:r>
              <w:rPr>
                <w:b/>
              </w:rPr>
              <w:t>The 2nd Meeting of the APT Conference Preparatory  Group for WRC-19 (APG19-2)</w:t>
            </w:r>
          </w:p>
        </w:tc>
        <w:tc>
          <w:tcPr>
            <w:tcW w:w="2700" w:type="dxa"/>
          </w:tcPr>
          <w:p w:rsidR="00CF3963" w:rsidRPr="00C15799" w:rsidRDefault="00CF3963" w:rsidP="0050270C">
            <w:pPr>
              <w:rPr>
                <w:b/>
                <w:bCs/>
                <w:lang w:val="fr-FR"/>
              </w:rPr>
            </w:pPr>
            <w:r>
              <w:rPr>
                <w:b/>
                <w:bCs/>
                <w:lang w:val="fr-FR"/>
              </w:rPr>
              <w:t>APG19-2/</w:t>
            </w:r>
            <w:r w:rsidR="00487CCC">
              <w:rPr>
                <w:b/>
                <w:bCs/>
                <w:lang w:val="fr-FR"/>
              </w:rPr>
              <w:t>OUT-33</w:t>
            </w:r>
          </w:p>
        </w:tc>
      </w:tr>
      <w:tr w:rsidR="00CF3963" w:rsidRPr="00891D0B" w:rsidTr="00AB26DF">
        <w:trPr>
          <w:cantSplit/>
          <w:trHeight w:val="219"/>
        </w:trPr>
        <w:tc>
          <w:tcPr>
            <w:tcW w:w="1399" w:type="dxa"/>
            <w:vMerge/>
          </w:tcPr>
          <w:p w:rsidR="00CF3963" w:rsidRPr="00C15799" w:rsidRDefault="00CF3963" w:rsidP="00AB26DF">
            <w:pPr>
              <w:rPr>
                <w:lang w:val="fr-FR"/>
              </w:rPr>
            </w:pPr>
          </w:p>
        </w:tc>
        <w:tc>
          <w:tcPr>
            <w:tcW w:w="5720" w:type="dxa"/>
          </w:tcPr>
          <w:p w:rsidR="00CF3963" w:rsidRPr="00891D0B" w:rsidRDefault="00CF3963" w:rsidP="00AB26DF">
            <w:r>
              <w:t>17 – 21 July 2017</w:t>
            </w:r>
            <w:r w:rsidRPr="00891D0B">
              <w:t xml:space="preserve">, </w:t>
            </w:r>
            <w:r>
              <w:t>Bali, Republic of Indonesia</w:t>
            </w:r>
          </w:p>
        </w:tc>
        <w:tc>
          <w:tcPr>
            <w:tcW w:w="2700" w:type="dxa"/>
          </w:tcPr>
          <w:p w:rsidR="00CF3963" w:rsidRPr="00712451" w:rsidRDefault="00487CCC" w:rsidP="00832619">
            <w:pPr>
              <w:rPr>
                <w:b/>
              </w:rPr>
            </w:pPr>
            <w:r>
              <w:rPr>
                <w:b/>
              </w:rPr>
              <w:t>22</w:t>
            </w:r>
            <w:r w:rsidR="00CF3963">
              <w:rPr>
                <w:b/>
              </w:rPr>
              <w:t xml:space="preserve"> July 2017</w:t>
            </w:r>
          </w:p>
        </w:tc>
      </w:tr>
    </w:tbl>
    <w:p w:rsidR="00930E64" w:rsidRPr="007673CA" w:rsidRDefault="00930E64" w:rsidP="00930E64">
      <w:pPr>
        <w:jc w:val="center"/>
        <w:rPr>
          <w:lang w:val="en-NZ"/>
        </w:rPr>
      </w:pPr>
    </w:p>
    <w:p w:rsidR="003273CD" w:rsidRDefault="003273CD" w:rsidP="003273CD">
      <w:pPr>
        <w:jc w:val="center"/>
        <w:rPr>
          <w:lang w:val="en-NZ"/>
        </w:rPr>
      </w:pPr>
    </w:p>
    <w:p w:rsidR="003273CD" w:rsidRPr="003273CD" w:rsidRDefault="00983EEE" w:rsidP="00993B3A">
      <w:pPr>
        <w:spacing w:after="120"/>
        <w:jc w:val="center"/>
        <w:rPr>
          <w:lang w:val="en-NZ"/>
        </w:rPr>
      </w:pPr>
      <w:r>
        <w:rPr>
          <w:lang w:val="en-NZ"/>
        </w:rPr>
        <w:t>Working Party 1</w:t>
      </w:r>
    </w:p>
    <w:p w:rsidR="00B64A60" w:rsidRPr="003273CD" w:rsidRDefault="00B64A60" w:rsidP="00993B3A">
      <w:pPr>
        <w:spacing w:after="120"/>
        <w:jc w:val="center"/>
        <w:rPr>
          <w:b/>
          <w:bCs/>
          <w:caps/>
          <w:lang w:val="en-NZ"/>
        </w:rPr>
      </w:pPr>
      <w:r w:rsidRPr="003273CD">
        <w:rPr>
          <w:b/>
          <w:bCs/>
          <w:caps/>
          <w:lang w:val="en-NZ"/>
        </w:rPr>
        <w:t>PRELIMINARY VIEWs on WRC-19 agenda item 1.</w:t>
      </w:r>
      <w:r w:rsidR="00E75714" w:rsidRPr="003273CD">
        <w:rPr>
          <w:b/>
          <w:bCs/>
          <w:caps/>
          <w:lang w:val="en-NZ"/>
        </w:rPr>
        <w:t>15</w:t>
      </w:r>
    </w:p>
    <w:p w:rsidR="00B64A60" w:rsidRPr="003273CD" w:rsidRDefault="00B64A60" w:rsidP="00B64A60">
      <w:pPr>
        <w:rPr>
          <w:lang w:val="en-NZ"/>
        </w:rPr>
      </w:pPr>
    </w:p>
    <w:p w:rsidR="00B64A60" w:rsidRPr="00710333" w:rsidRDefault="00B64A60" w:rsidP="006939A3">
      <w:pPr>
        <w:jc w:val="both"/>
        <w:rPr>
          <w:i/>
          <w:lang w:val="en-NZ"/>
        </w:rPr>
      </w:pPr>
      <w:r w:rsidRPr="00710333">
        <w:rPr>
          <w:b/>
          <w:lang w:val="en-NZ"/>
        </w:rPr>
        <w:t>Agenda Item 1.</w:t>
      </w:r>
      <w:r w:rsidR="00E75714">
        <w:rPr>
          <w:b/>
          <w:lang w:val="en-NZ"/>
        </w:rPr>
        <w:t>15</w:t>
      </w:r>
      <w:r w:rsidRPr="00710333">
        <w:rPr>
          <w:b/>
          <w:lang w:val="en-NZ"/>
        </w:rPr>
        <w:t xml:space="preserve">: </w:t>
      </w:r>
      <w:r w:rsidR="00E75714" w:rsidRPr="006C1EF2">
        <w:rPr>
          <w:i/>
        </w:rPr>
        <w:t xml:space="preserve">to consider identification of frequency bands for use by administrations for the land-mobile and fixed services applications operating in the frequency range 275-450 GHz, in accordance with Resolution </w:t>
      </w:r>
      <w:r w:rsidR="00E75714" w:rsidRPr="006C1EF2">
        <w:rPr>
          <w:b/>
          <w:i/>
        </w:rPr>
        <w:t>767 (WRC</w:t>
      </w:r>
      <w:r w:rsidR="00E75714">
        <w:rPr>
          <w:b/>
          <w:i/>
        </w:rPr>
        <w:t>-</w:t>
      </w:r>
      <w:r w:rsidR="00E75714" w:rsidRPr="006C1EF2">
        <w:rPr>
          <w:b/>
          <w:i/>
        </w:rPr>
        <w:t>15)</w:t>
      </w:r>
      <w:r w:rsidR="00E75714" w:rsidRPr="006C1EF2">
        <w:rPr>
          <w:i/>
        </w:rPr>
        <w:t>;</w:t>
      </w:r>
    </w:p>
    <w:p w:rsidR="00E75714" w:rsidRPr="00710333" w:rsidRDefault="00E75714" w:rsidP="006939A3">
      <w:pPr>
        <w:jc w:val="both"/>
        <w:rPr>
          <w:lang w:val="en-NZ"/>
        </w:rPr>
      </w:pPr>
    </w:p>
    <w:p w:rsidR="00B64A60" w:rsidRPr="00E75714" w:rsidRDefault="00B64A60" w:rsidP="006939A3">
      <w:pPr>
        <w:pStyle w:val="ListParagraph"/>
        <w:numPr>
          <w:ilvl w:val="0"/>
          <w:numId w:val="22"/>
        </w:numPr>
        <w:ind w:left="567" w:hanging="567"/>
        <w:jc w:val="both"/>
        <w:rPr>
          <w:b/>
          <w:lang w:val="en-NZ" w:eastAsia="ko-KR"/>
        </w:rPr>
      </w:pPr>
      <w:r w:rsidRPr="00E75714">
        <w:rPr>
          <w:b/>
          <w:lang w:val="en-NZ" w:eastAsia="ko-KR"/>
        </w:rPr>
        <w:t>Background</w:t>
      </w:r>
    </w:p>
    <w:p w:rsidR="00867C2E" w:rsidRDefault="00867C2E" w:rsidP="006939A3">
      <w:pPr>
        <w:ind w:left="720" w:hanging="153"/>
        <w:jc w:val="both"/>
        <w:rPr>
          <w:lang w:eastAsia="ko-KR"/>
        </w:rPr>
      </w:pPr>
      <w:r w:rsidRPr="00DC7EFC">
        <w:rPr>
          <w:b/>
          <w:lang w:eastAsia="ko-KR"/>
        </w:rPr>
        <w:t>Resolution 767</w:t>
      </w:r>
      <w:r>
        <w:rPr>
          <w:lang w:eastAsia="ko-KR"/>
        </w:rPr>
        <w:t>, WRC-15 invites WRC-19:</w:t>
      </w:r>
    </w:p>
    <w:p w:rsidR="00867C2E" w:rsidRDefault="00867C2E" w:rsidP="006939A3">
      <w:pPr>
        <w:pStyle w:val="ListParagraph"/>
        <w:numPr>
          <w:ilvl w:val="0"/>
          <w:numId w:val="23"/>
        </w:numPr>
        <w:ind w:left="993"/>
        <w:jc w:val="both"/>
      </w:pPr>
      <w:r>
        <w:rPr>
          <w:lang w:eastAsia="ko-KR"/>
        </w:rPr>
        <w:t xml:space="preserve">taking into account the results of ITU-R studies on sharing and compatibility between passive and active services as well as spectrum needs for those services, to consider identification for use by administrations for the land-mobile and fixed service applications operating in the frequency range 275-450GHz, while maintaining protection of the passive services identified in </w:t>
      </w:r>
      <w:r w:rsidRPr="00DC7EFC">
        <w:rPr>
          <w:lang w:eastAsia="ko-KR"/>
        </w:rPr>
        <w:t>No.</w:t>
      </w:r>
      <w:r w:rsidRPr="00DC7EFC">
        <w:rPr>
          <w:b/>
          <w:lang w:eastAsia="ko-KR"/>
        </w:rPr>
        <w:t xml:space="preserve"> 5.565</w:t>
      </w:r>
      <w:r>
        <w:rPr>
          <w:lang w:eastAsia="ko-KR"/>
        </w:rPr>
        <w:t>, and take appropriate action.</w:t>
      </w:r>
    </w:p>
    <w:p w:rsidR="00D908EE" w:rsidRPr="00B42FAC" w:rsidRDefault="00D908EE" w:rsidP="00AB316C">
      <w:pPr>
        <w:spacing w:afterLines="20" w:after="48"/>
        <w:ind w:left="851"/>
        <w:jc w:val="both"/>
        <w:rPr>
          <w:lang w:eastAsia="ko-KR"/>
        </w:rPr>
      </w:pPr>
    </w:p>
    <w:p w:rsidR="00D908EE" w:rsidRDefault="00D568E7" w:rsidP="006939A3">
      <w:pPr>
        <w:ind w:left="720"/>
        <w:jc w:val="both"/>
        <w:rPr>
          <w:rFonts w:eastAsia="MS Mincho"/>
          <w:szCs w:val="20"/>
          <w:lang w:val="en-GB" w:eastAsia="ja-JP"/>
        </w:rPr>
      </w:pPr>
      <w:r>
        <w:rPr>
          <w:rFonts w:eastAsia="MS Mincho"/>
          <w:szCs w:val="20"/>
          <w:lang w:val="en-GB" w:eastAsia="ja-JP"/>
        </w:rPr>
        <w:t xml:space="preserve">According to allocation of </w:t>
      </w:r>
      <w:r w:rsidR="008B7F42">
        <w:rPr>
          <w:rFonts w:eastAsia="MS Mincho"/>
          <w:szCs w:val="20"/>
          <w:lang w:val="en-GB" w:eastAsia="ja-JP"/>
        </w:rPr>
        <w:t>ITU</w:t>
      </w:r>
      <w:r>
        <w:rPr>
          <w:rFonts w:eastAsia="MS Mincho"/>
          <w:szCs w:val="20"/>
          <w:lang w:val="en-GB" w:eastAsia="ja-JP"/>
        </w:rPr>
        <w:t>-R preparatory work</w:t>
      </w:r>
      <w:r w:rsidR="0029757D">
        <w:rPr>
          <w:rFonts w:eastAsiaTheme="minorEastAsia" w:hint="eastAsia"/>
          <w:szCs w:val="20"/>
          <w:lang w:val="en-GB" w:eastAsia="zh-CN"/>
        </w:rPr>
        <w:t xml:space="preserve"> </w:t>
      </w:r>
      <w:r>
        <w:rPr>
          <w:rFonts w:eastAsia="MS Mincho"/>
          <w:szCs w:val="20"/>
          <w:lang w:val="en-GB" w:eastAsia="ja-JP"/>
        </w:rPr>
        <w:t>agreed by CPM 19-1</w:t>
      </w:r>
      <w:proofErr w:type="gramStart"/>
      <w:r w:rsidR="00B71BEC">
        <w:rPr>
          <w:rFonts w:eastAsia="MS Mincho"/>
          <w:szCs w:val="20"/>
          <w:lang w:val="en-GB" w:eastAsia="ja-JP"/>
        </w:rPr>
        <w:t>,</w:t>
      </w:r>
      <w:r w:rsidR="00D908EE" w:rsidRPr="0012332C">
        <w:rPr>
          <w:rFonts w:eastAsia="MS Mincho"/>
          <w:szCs w:val="20"/>
          <w:lang w:val="en-GB" w:eastAsia="ja-JP"/>
        </w:rPr>
        <w:t>WP1A</w:t>
      </w:r>
      <w:proofErr w:type="gramEnd"/>
      <w:r w:rsidR="00D908EE" w:rsidRPr="0012332C">
        <w:rPr>
          <w:rFonts w:eastAsia="MS Mincho"/>
          <w:szCs w:val="20"/>
          <w:lang w:val="en-GB" w:eastAsia="ja-JP"/>
        </w:rPr>
        <w:t xml:space="preserve"> </w:t>
      </w:r>
      <w:proofErr w:type="spellStart"/>
      <w:r>
        <w:rPr>
          <w:rFonts w:eastAsia="MS Mincho"/>
          <w:szCs w:val="20"/>
          <w:lang w:val="en-GB" w:eastAsia="ja-JP"/>
        </w:rPr>
        <w:t>is</w:t>
      </w:r>
      <w:r w:rsidR="00D908EE" w:rsidRPr="0012332C">
        <w:rPr>
          <w:rFonts w:eastAsia="MS Mincho"/>
          <w:szCs w:val="20"/>
          <w:lang w:val="en-GB" w:eastAsia="ja-JP"/>
        </w:rPr>
        <w:t>responsible</w:t>
      </w:r>
      <w:proofErr w:type="spellEnd"/>
      <w:r w:rsidR="00D908EE" w:rsidRPr="0012332C">
        <w:rPr>
          <w:rFonts w:eastAsia="MS Mincho"/>
          <w:szCs w:val="20"/>
          <w:lang w:val="en-GB" w:eastAsia="ja-JP"/>
        </w:rPr>
        <w:t xml:space="preserve"> to undertake studies with respect to </w:t>
      </w:r>
      <w:r w:rsidR="00D908EE" w:rsidRPr="0012332C">
        <w:rPr>
          <w:rFonts w:eastAsia="MS Mincho"/>
          <w:i/>
          <w:szCs w:val="20"/>
          <w:lang w:val="en-GB" w:eastAsia="ja-JP"/>
        </w:rPr>
        <w:t>invites ITU-R 4 and 5</w:t>
      </w:r>
      <w:r w:rsidR="00D908EE" w:rsidRPr="0012332C">
        <w:rPr>
          <w:rFonts w:eastAsia="MS Mincho"/>
          <w:szCs w:val="20"/>
          <w:lang w:val="en-GB" w:eastAsia="ja-JP"/>
        </w:rPr>
        <w:t xml:space="preserve">. WP5A and WP5C </w:t>
      </w:r>
      <w:proofErr w:type="spellStart"/>
      <w:r>
        <w:rPr>
          <w:rFonts w:eastAsia="MS Mincho"/>
          <w:szCs w:val="20"/>
          <w:lang w:val="en-GB" w:eastAsia="ja-JP"/>
        </w:rPr>
        <w:t>were</w:t>
      </w:r>
      <w:r w:rsidR="00D908EE">
        <w:rPr>
          <w:rFonts w:eastAsia="MS Mincho"/>
          <w:szCs w:val="20"/>
          <w:lang w:val="en-GB" w:eastAsia="ja-JP"/>
        </w:rPr>
        <w:t>assigned</w:t>
      </w:r>
      <w:proofErr w:type="spellEnd"/>
      <w:r w:rsidR="00D908EE">
        <w:rPr>
          <w:rFonts w:eastAsia="MS Mincho"/>
          <w:szCs w:val="20"/>
          <w:lang w:val="en-GB" w:eastAsia="ja-JP"/>
        </w:rPr>
        <w:t xml:space="preserve"> as</w:t>
      </w:r>
      <w:r w:rsidR="00D908EE" w:rsidRPr="0012332C">
        <w:rPr>
          <w:rFonts w:eastAsia="MS Mincho"/>
          <w:szCs w:val="20"/>
          <w:lang w:val="en-GB" w:eastAsia="ja-JP"/>
        </w:rPr>
        <w:t xml:space="preserve"> contributing groups with respect to </w:t>
      </w:r>
      <w:r w:rsidR="00D908EE" w:rsidRPr="0012332C">
        <w:rPr>
          <w:rFonts w:eastAsia="MS Mincho"/>
          <w:i/>
          <w:szCs w:val="20"/>
          <w:lang w:val="en-GB" w:eastAsia="ja-JP"/>
        </w:rPr>
        <w:t>invites ITU-R 1 and 2</w:t>
      </w:r>
      <w:r w:rsidR="00D908EE" w:rsidRPr="0012332C">
        <w:rPr>
          <w:rFonts w:eastAsia="MS Mincho"/>
          <w:szCs w:val="20"/>
          <w:lang w:val="en-GB" w:eastAsia="ja-JP"/>
        </w:rPr>
        <w:t xml:space="preserve">, </w:t>
      </w:r>
      <w:r w:rsidR="00D908EE">
        <w:rPr>
          <w:rFonts w:eastAsia="MS Mincho"/>
          <w:szCs w:val="20"/>
          <w:lang w:val="en-GB" w:eastAsia="ja-JP"/>
        </w:rPr>
        <w:t>and</w:t>
      </w:r>
      <w:r w:rsidR="00D908EE" w:rsidRPr="0012332C">
        <w:rPr>
          <w:rFonts w:eastAsia="MS Mincho"/>
          <w:szCs w:val="20"/>
          <w:lang w:val="en-GB" w:eastAsia="ja-JP"/>
        </w:rPr>
        <w:t xml:space="preserve"> WP3J, WP3K and WP3M with respect to </w:t>
      </w:r>
      <w:r w:rsidR="00D908EE" w:rsidRPr="0012332C">
        <w:rPr>
          <w:rFonts w:eastAsia="MS Mincho"/>
          <w:i/>
          <w:szCs w:val="20"/>
          <w:lang w:val="en-GB" w:eastAsia="ja-JP"/>
        </w:rPr>
        <w:t>invites ITU-R 3</w:t>
      </w:r>
      <w:r w:rsidR="00D908EE">
        <w:rPr>
          <w:rFonts w:eastAsia="MS Mincho"/>
          <w:szCs w:val="20"/>
          <w:lang w:val="en-GB" w:eastAsia="ja-JP"/>
        </w:rPr>
        <w:t xml:space="preserve">. </w:t>
      </w:r>
      <w:r w:rsidR="00D908EE" w:rsidRPr="0012332C">
        <w:rPr>
          <w:rFonts w:eastAsia="MS Mincho"/>
          <w:szCs w:val="20"/>
          <w:lang w:val="en-GB" w:eastAsia="ja-JP"/>
        </w:rPr>
        <w:t xml:space="preserve">WP7C and WP7D </w:t>
      </w:r>
      <w:r w:rsidR="00D908EE">
        <w:rPr>
          <w:rFonts w:eastAsia="MS Mincho"/>
          <w:szCs w:val="20"/>
          <w:lang w:val="en-GB" w:eastAsia="ja-JP"/>
        </w:rPr>
        <w:t xml:space="preserve">were assigned </w:t>
      </w:r>
      <w:r w:rsidR="00D908EE" w:rsidRPr="0012332C">
        <w:rPr>
          <w:rFonts w:eastAsia="MS Mincho"/>
          <w:szCs w:val="20"/>
          <w:lang w:val="en-GB" w:eastAsia="ja-JP"/>
        </w:rPr>
        <w:t>to develop technical and operational characteristics of passive services.</w:t>
      </w:r>
    </w:p>
    <w:p w:rsidR="00D908EE" w:rsidRDefault="00D908EE" w:rsidP="006939A3">
      <w:pPr>
        <w:ind w:left="720"/>
        <w:jc w:val="both"/>
      </w:pPr>
    </w:p>
    <w:p w:rsidR="002D58F6" w:rsidRDefault="002D58F6" w:rsidP="002D58F6">
      <w:pPr>
        <w:ind w:left="720"/>
        <w:jc w:val="both"/>
        <w:rPr>
          <w:lang w:val="en-NZ"/>
        </w:rPr>
      </w:pPr>
      <w:r>
        <w:rPr>
          <w:lang w:val="en-NZ"/>
        </w:rPr>
        <w:t>WP1A is currently conducting sharing and compatibility studies between land mobile, fixed and passive services in frequency range 275-450GHz.</w:t>
      </w:r>
    </w:p>
    <w:p w:rsidR="00A139A8" w:rsidRPr="00A139A8" w:rsidRDefault="002D58F6" w:rsidP="00A139A8">
      <w:pPr>
        <w:ind w:left="720"/>
        <w:jc w:val="both"/>
        <w:rPr>
          <w:lang w:val="en-NZ"/>
        </w:rPr>
      </w:pPr>
      <w:r>
        <w:rPr>
          <w:lang w:val="en-NZ"/>
        </w:rPr>
        <w:t>WP5A and WP5C have conducted studies on technical and operational characteristics and spectrum needs for land mobile and f</w:t>
      </w:r>
      <w:r w:rsidR="00A139A8">
        <w:rPr>
          <w:lang w:val="en-NZ"/>
        </w:rPr>
        <w:t xml:space="preserve">ixed service applications, on the following bands: </w:t>
      </w:r>
      <w:r w:rsidR="00A139A8" w:rsidRPr="002D58F6">
        <w:rPr>
          <w:lang w:val="en-NZ"/>
        </w:rPr>
        <w:t>275-325 GH</w:t>
      </w:r>
      <w:r w:rsidR="00A139A8">
        <w:rPr>
          <w:lang w:val="en-NZ"/>
        </w:rPr>
        <w:t>z</w:t>
      </w:r>
      <w:r w:rsidR="00A139A8" w:rsidRPr="002D58F6">
        <w:rPr>
          <w:lang w:val="en-NZ"/>
        </w:rPr>
        <w:t xml:space="preserve"> and 275</w:t>
      </w:r>
      <w:r w:rsidR="00A139A8">
        <w:rPr>
          <w:lang w:val="en-NZ"/>
        </w:rPr>
        <w:t>-</w:t>
      </w:r>
      <w:r w:rsidR="00A139A8" w:rsidRPr="002D58F6">
        <w:rPr>
          <w:lang w:val="en-NZ"/>
        </w:rPr>
        <w:t>450 GHz</w:t>
      </w:r>
      <w:r w:rsidR="00A139A8">
        <w:rPr>
          <w:lang w:val="en-NZ"/>
        </w:rPr>
        <w:t xml:space="preserve"> (for land mobile service applications) AND </w:t>
      </w:r>
      <w:r w:rsidR="00A139A8" w:rsidRPr="00A139A8">
        <w:rPr>
          <w:lang w:val="en-NZ"/>
        </w:rPr>
        <w:t>275-325 GHz and 380-445 GHz (for fixed service applications)</w:t>
      </w:r>
      <w:r w:rsidR="00A139A8">
        <w:rPr>
          <w:lang w:val="en-NZ"/>
        </w:rPr>
        <w:t>.</w:t>
      </w:r>
    </w:p>
    <w:p w:rsidR="00A139A8" w:rsidRPr="002D58F6" w:rsidRDefault="002D58F6" w:rsidP="00540C96">
      <w:pPr>
        <w:ind w:left="709"/>
        <w:jc w:val="both"/>
        <w:rPr>
          <w:lang w:val="en-NZ"/>
        </w:rPr>
      </w:pPr>
      <w:r>
        <w:rPr>
          <w:lang w:val="en-NZ"/>
        </w:rPr>
        <w:t>WP7C and WP7D have conducted studies on technical and operational characteristics for passive services</w:t>
      </w:r>
      <w:r w:rsidR="00A139A8">
        <w:rPr>
          <w:lang w:val="en-NZ"/>
        </w:rPr>
        <w:t>, on the following bands: 275-323 GHz, 327-371 GHz, 388-424 GHz and 426-442 GHz (already identified for RAS) AND 275-286 GHz, 296-306 GHz, 313-356 GHz, 361-365 GHz, 369-392 GHz, 397-399 GHz, 409-411 GHz, 416-434 GHz, 439-467 GHz (already identified for EESS (passive))</w:t>
      </w:r>
      <w:r w:rsidR="0069397E">
        <w:rPr>
          <w:lang w:val="en-NZ"/>
        </w:rPr>
        <w:t>.</w:t>
      </w:r>
    </w:p>
    <w:p w:rsidR="002D58F6" w:rsidRDefault="002D58F6" w:rsidP="006939A3">
      <w:pPr>
        <w:ind w:left="720"/>
        <w:jc w:val="both"/>
      </w:pPr>
    </w:p>
    <w:p w:rsidR="00D568E7" w:rsidRDefault="00D568E7" w:rsidP="00D568E7">
      <w:pPr>
        <w:ind w:left="720"/>
        <w:jc w:val="both"/>
        <w:rPr>
          <w:lang w:val="en-NZ"/>
        </w:rPr>
      </w:pPr>
      <w:r>
        <w:rPr>
          <w:lang w:val="en-NZ"/>
        </w:rPr>
        <w:t>T</w:t>
      </w:r>
      <w:r w:rsidRPr="00AF6572">
        <w:rPr>
          <w:lang w:val="en-NZ"/>
        </w:rPr>
        <w:t xml:space="preserve">he following methods are considered to satisfy </w:t>
      </w:r>
      <w:r>
        <w:rPr>
          <w:lang w:val="en-NZ"/>
        </w:rPr>
        <w:t xml:space="preserve">AI 1.15 </w:t>
      </w:r>
      <w:r w:rsidRPr="00AF6572">
        <w:rPr>
          <w:lang w:val="en-NZ"/>
        </w:rPr>
        <w:t>and may be applied to the candidate frequency bands</w:t>
      </w:r>
      <w:r>
        <w:rPr>
          <w:lang w:val="en-NZ"/>
        </w:rPr>
        <w:t>, according to the current draft of CPM text developed by WP1A:</w:t>
      </w:r>
    </w:p>
    <w:p w:rsidR="00D568E7" w:rsidRPr="00AF6572" w:rsidRDefault="00D568E7" w:rsidP="00D568E7">
      <w:pPr>
        <w:pStyle w:val="ListParagraph"/>
        <w:numPr>
          <w:ilvl w:val="0"/>
          <w:numId w:val="26"/>
        </w:numPr>
        <w:jc w:val="both"/>
        <w:rPr>
          <w:lang w:val="en-NZ"/>
        </w:rPr>
      </w:pPr>
      <w:r w:rsidRPr="00AF6572">
        <w:rPr>
          <w:lang w:val="en-NZ"/>
        </w:rPr>
        <w:t>Method A – No change, which may be accompanied by reasons.</w:t>
      </w:r>
    </w:p>
    <w:p w:rsidR="00D568E7" w:rsidRPr="00592113" w:rsidRDefault="00D568E7" w:rsidP="00D568E7">
      <w:pPr>
        <w:pStyle w:val="ListParagraph"/>
        <w:numPr>
          <w:ilvl w:val="0"/>
          <w:numId w:val="26"/>
        </w:numPr>
        <w:jc w:val="both"/>
        <w:rPr>
          <w:lang w:val="en-NZ"/>
        </w:rPr>
      </w:pPr>
      <w:r w:rsidRPr="00AF6572">
        <w:rPr>
          <w:lang w:val="en-NZ"/>
        </w:rPr>
        <w:t>Method B – Identify the frequency band to the land mobile and fixed service applications by modifying No. 5.565.</w:t>
      </w:r>
    </w:p>
    <w:p w:rsidR="00D568E7" w:rsidRPr="00592113" w:rsidRDefault="00D568E7" w:rsidP="00D568E7">
      <w:pPr>
        <w:pStyle w:val="ListParagraph"/>
        <w:numPr>
          <w:ilvl w:val="0"/>
          <w:numId w:val="26"/>
        </w:numPr>
        <w:jc w:val="both"/>
        <w:rPr>
          <w:lang w:val="en-NZ"/>
        </w:rPr>
      </w:pPr>
      <w:r w:rsidRPr="00592113">
        <w:rPr>
          <w:lang w:val="en-NZ"/>
        </w:rPr>
        <w:t>Method C – Identify the frequency band to the land mobile and fixed service applications by a new footnote.</w:t>
      </w:r>
    </w:p>
    <w:p w:rsidR="00D568E7" w:rsidRDefault="00D568E7" w:rsidP="006939A3">
      <w:pPr>
        <w:ind w:left="720"/>
        <w:jc w:val="both"/>
      </w:pPr>
    </w:p>
    <w:p w:rsidR="0024068F" w:rsidRDefault="0024068F" w:rsidP="006939A3">
      <w:pPr>
        <w:ind w:left="720"/>
        <w:jc w:val="both"/>
      </w:pPr>
      <w:r>
        <w:t>Relevant ITU-R and APT reports and studies as well as on-going studies are as follows:</w:t>
      </w:r>
    </w:p>
    <w:p w:rsidR="00BA599C" w:rsidRDefault="00344612" w:rsidP="006939A3">
      <w:pPr>
        <w:pStyle w:val="ListParagraph"/>
        <w:numPr>
          <w:ilvl w:val="0"/>
          <w:numId w:val="23"/>
        </w:numPr>
        <w:jc w:val="both"/>
      </w:pPr>
      <w:r w:rsidRPr="00BA599C">
        <w:rPr>
          <w:szCs w:val="16"/>
          <w:lang w:eastAsia="ko-KR"/>
        </w:rPr>
        <w:t xml:space="preserve">WP1A – </w:t>
      </w:r>
      <w:r w:rsidR="00BA599C">
        <w:rPr>
          <w:lang w:eastAsia="zh-CN"/>
        </w:rPr>
        <w:t>Working Doc</w:t>
      </w:r>
      <w:r w:rsidR="008B7F42">
        <w:rPr>
          <w:lang w:eastAsia="zh-CN"/>
        </w:rPr>
        <w:t>.:</w:t>
      </w:r>
      <w:r w:rsidR="00BA599C">
        <w:rPr>
          <w:lang w:eastAsia="zh-CN"/>
        </w:rPr>
        <w:t xml:space="preserve"> Draft CPM Text WRC-19 A</w:t>
      </w:r>
      <w:r w:rsidR="008B7F42">
        <w:rPr>
          <w:lang w:eastAsia="zh-CN"/>
        </w:rPr>
        <w:t>I</w:t>
      </w:r>
      <w:r w:rsidR="00BA599C">
        <w:rPr>
          <w:lang w:eastAsia="zh-CN"/>
        </w:rPr>
        <w:t xml:space="preserve"> 1.15 (Doc</w:t>
      </w:r>
      <w:r w:rsidR="008B7F42">
        <w:rPr>
          <w:lang w:eastAsia="zh-CN"/>
        </w:rPr>
        <w:t>.</w:t>
      </w:r>
      <w:hyperlink r:id="rId9" w:history="1">
        <w:r w:rsidR="00BA599C" w:rsidRPr="00505D15">
          <w:rPr>
            <w:rStyle w:val="Hyperlink"/>
          </w:rPr>
          <w:t>1A/</w:t>
        </w:r>
        <w:r w:rsidR="00BA599C">
          <w:rPr>
            <w:rStyle w:val="Hyperlink"/>
          </w:rPr>
          <w:t>208</w:t>
        </w:r>
      </w:hyperlink>
      <w:r w:rsidR="008B7F42">
        <w:rPr>
          <w:lang w:eastAsia="zh-CN"/>
        </w:rPr>
        <w:t xml:space="preserve"> Annex 1)</w:t>
      </w:r>
    </w:p>
    <w:p w:rsidR="00BA599C" w:rsidRDefault="00344612" w:rsidP="002D58F6">
      <w:pPr>
        <w:pStyle w:val="ListParagraph"/>
        <w:numPr>
          <w:ilvl w:val="0"/>
          <w:numId w:val="23"/>
        </w:numPr>
        <w:jc w:val="both"/>
        <w:rPr>
          <w:lang w:eastAsia="zh-CN"/>
        </w:rPr>
      </w:pPr>
      <w:r w:rsidRPr="002D58F6">
        <w:rPr>
          <w:szCs w:val="16"/>
          <w:lang w:eastAsia="ko-KR"/>
        </w:rPr>
        <w:lastRenderedPageBreak/>
        <w:t>WP1A –</w:t>
      </w:r>
      <w:r w:rsidR="00BA599C">
        <w:rPr>
          <w:lang w:eastAsia="zh-CN"/>
        </w:rPr>
        <w:t xml:space="preserve">Working </w:t>
      </w:r>
      <w:proofErr w:type="spellStart"/>
      <w:r w:rsidR="00BA599C">
        <w:rPr>
          <w:lang w:eastAsia="zh-CN"/>
        </w:rPr>
        <w:t>Doc</w:t>
      </w:r>
      <w:r w:rsidR="008B7F42">
        <w:rPr>
          <w:lang w:eastAsia="zh-CN"/>
        </w:rPr>
        <w:t>.</w:t>
      </w:r>
      <w:proofErr w:type="gramStart"/>
      <w:r w:rsidR="008B7F42">
        <w:rPr>
          <w:lang w:eastAsia="zh-CN"/>
        </w:rPr>
        <w:t>:</w:t>
      </w:r>
      <w:r w:rsidR="00D568E7">
        <w:rPr>
          <w:lang w:eastAsia="zh-CN"/>
        </w:rPr>
        <w:t>PDN</w:t>
      </w:r>
      <w:proofErr w:type="spellEnd"/>
      <w:proofErr w:type="gramEnd"/>
      <w:r w:rsidR="00D568E7">
        <w:rPr>
          <w:lang w:eastAsia="zh-CN"/>
        </w:rPr>
        <w:t xml:space="preserve"> </w:t>
      </w:r>
      <w:r w:rsidR="00BA599C">
        <w:rPr>
          <w:lang w:eastAsia="zh-CN"/>
        </w:rPr>
        <w:t>Report ITU-R SM.[275-450GHZ_SHARING] (Doc</w:t>
      </w:r>
      <w:r w:rsidR="008B7F42">
        <w:rPr>
          <w:lang w:eastAsia="zh-CN"/>
        </w:rPr>
        <w:t>.</w:t>
      </w:r>
      <w:hyperlink r:id="rId10" w:history="1">
        <w:r w:rsidR="00BA599C" w:rsidRPr="00505D15">
          <w:rPr>
            <w:rStyle w:val="Hyperlink"/>
          </w:rPr>
          <w:t>1A/</w:t>
        </w:r>
        <w:r w:rsidR="00BA599C">
          <w:rPr>
            <w:rStyle w:val="Hyperlink"/>
          </w:rPr>
          <w:t>208</w:t>
        </w:r>
      </w:hyperlink>
      <w:r w:rsidR="008B7F42">
        <w:rPr>
          <w:lang w:eastAsia="zh-CN"/>
        </w:rPr>
        <w:t xml:space="preserve"> Annex 3)</w:t>
      </w:r>
    </w:p>
    <w:p w:rsidR="00BA599C" w:rsidRPr="0012332C" w:rsidRDefault="00BA599C" w:rsidP="006939A3">
      <w:pPr>
        <w:pStyle w:val="ListParagraph"/>
        <w:numPr>
          <w:ilvl w:val="0"/>
          <w:numId w:val="23"/>
        </w:numPr>
        <w:jc w:val="both"/>
        <w:rPr>
          <w:lang w:eastAsia="ko-KR"/>
        </w:rPr>
      </w:pPr>
      <w:r w:rsidRPr="0012332C">
        <w:rPr>
          <w:lang w:eastAsia="ko-KR"/>
        </w:rPr>
        <w:t xml:space="preserve">WP5A </w:t>
      </w:r>
      <w:r w:rsidR="0024068F">
        <w:rPr>
          <w:lang w:eastAsia="ko-KR"/>
        </w:rPr>
        <w:t>–</w:t>
      </w:r>
      <w:r w:rsidR="00D568E7">
        <w:rPr>
          <w:lang w:eastAsia="ko-KR"/>
        </w:rPr>
        <w:t xml:space="preserve">PDN Report </w:t>
      </w:r>
      <w:r w:rsidRPr="0012332C">
        <w:rPr>
          <w:lang w:eastAsia="ko-KR"/>
        </w:rPr>
        <w:t>ITU-R M</w:t>
      </w:r>
      <w:proofErr w:type="gramStart"/>
      <w:r w:rsidRPr="0012332C">
        <w:rPr>
          <w:lang w:eastAsia="ko-KR"/>
        </w:rPr>
        <w:t>.[</w:t>
      </w:r>
      <w:proofErr w:type="gramEnd"/>
      <w:r w:rsidRPr="0012332C">
        <w:rPr>
          <w:lang w:eastAsia="ko-KR"/>
        </w:rPr>
        <w:t xml:space="preserve">300GHZ_MS_CHAR] </w:t>
      </w:r>
      <w:r>
        <w:rPr>
          <w:lang w:eastAsia="ko-KR"/>
        </w:rPr>
        <w:t>(</w:t>
      </w:r>
      <w:r>
        <w:t>Doc</w:t>
      </w:r>
      <w:r w:rsidR="008B7F42">
        <w:t>.</w:t>
      </w:r>
      <w:hyperlink r:id="rId11" w:history="1">
        <w:r>
          <w:rPr>
            <w:rStyle w:val="Hyperlink"/>
          </w:rPr>
          <w:t>5A/469</w:t>
        </w:r>
      </w:hyperlink>
      <w:r w:rsidR="008B7F42">
        <w:t>Annex 31</w:t>
      </w:r>
      <w:r w:rsidR="008B7F42">
        <w:rPr>
          <w:lang w:eastAsia="ko-KR"/>
        </w:rPr>
        <w:t>)</w:t>
      </w:r>
    </w:p>
    <w:p w:rsidR="00BA599C" w:rsidRDefault="00BA599C" w:rsidP="006939A3">
      <w:pPr>
        <w:pStyle w:val="ListParagraph"/>
        <w:numPr>
          <w:ilvl w:val="0"/>
          <w:numId w:val="23"/>
        </w:numPr>
        <w:jc w:val="both"/>
        <w:rPr>
          <w:lang w:eastAsia="ko-KR"/>
        </w:rPr>
      </w:pPr>
      <w:r w:rsidRPr="0012332C">
        <w:rPr>
          <w:lang w:eastAsia="ko-KR"/>
        </w:rPr>
        <w:t xml:space="preserve">WP5C </w:t>
      </w:r>
      <w:r w:rsidR="0024068F">
        <w:rPr>
          <w:lang w:eastAsia="ko-KR"/>
        </w:rPr>
        <w:t>–</w:t>
      </w:r>
      <w:r w:rsidR="00D568E7">
        <w:rPr>
          <w:lang w:eastAsia="ko-KR"/>
        </w:rPr>
        <w:t xml:space="preserve">PDN </w:t>
      </w:r>
      <w:proofErr w:type="spellStart"/>
      <w:r w:rsidR="00D568E7">
        <w:rPr>
          <w:lang w:eastAsia="ko-KR"/>
        </w:rPr>
        <w:t>Report</w:t>
      </w:r>
      <w:r w:rsidRPr="0012332C">
        <w:rPr>
          <w:lang w:eastAsia="ko-KR"/>
        </w:rPr>
        <w:t>ITU</w:t>
      </w:r>
      <w:proofErr w:type="spellEnd"/>
      <w:r w:rsidRPr="0012332C">
        <w:rPr>
          <w:lang w:eastAsia="ko-KR"/>
        </w:rPr>
        <w:t>-R F</w:t>
      </w:r>
      <w:proofErr w:type="gramStart"/>
      <w:r w:rsidRPr="0012332C">
        <w:rPr>
          <w:lang w:eastAsia="ko-KR"/>
        </w:rPr>
        <w:t>.[</w:t>
      </w:r>
      <w:proofErr w:type="gramEnd"/>
      <w:r w:rsidRPr="0012332C">
        <w:rPr>
          <w:lang w:eastAsia="ko-KR"/>
        </w:rPr>
        <w:t>300GHZ_FS_CHAR]</w:t>
      </w:r>
      <w:r>
        <w:rPr>
          <w:lang w:eastAsia="ko-KR"/>
        </w:rPr>
        <w:t xml:space="preserve"> (</w:t>
      </w:r>
      <w:r>
        <w:t>Doc</w:t>
      </w:r>
      <w:r w:rsidR="008B7F42">
        <w:t>.</w:t>
      </w:r>
      <w:hyperlink r:id="rId12" w:history="1">
        <w:r>
          <w:rPr>
            <w:rStyle w:val="Hyperlink"/>
          </w:rPr>
          <w:t>5C/292</w:t>
        </w:r>
      </w:hyperlink>
      <w:r w:rsidR="008B7F42">
        <w:t>Annex 3</w:t>
      </w:r>
      <w:r w:rsidR="008B7F42">
        <w:rPr>
          <w:lang w:eastAsia="ko-KR"/>
        </w:rPr>
        <w:t>)</w:t>
      </w:r>
    </w:p>
    <w:p w:rsidR="00BA599C" w:rsidRDefault="00BA599C" w:rsidP="006939A3">
      <w:pPr>
        <w:pStyle w:val="ListParagraph"/>
        <w:numPr>
          <w:ilvl w:val="0"/>
          <w:numId w:val="23"/>
        </w:numPr>
        <w:jc w:val="both"/>
      </w:pPr>
      <w:r>
        <w:rPr>
          <w:lang w:eastAsia="ko-KR"/>
        </w:rPr>
        <w:t>WP</w:t>
      </w:r>
      <w:r w:rsidRPr="009604BD">
        <w:rPr>
          <w:lang w:eastAsia="ko-KR"/>
        </w:rPr>
        <w:t xml:space="preserve">7C </w:t>
      </w:r>
      <w:r w:rsidR="0024068F">
        <w:rPr>
          <w:lang w:eastAsia="ko-KR"/>
        </w:rPr>
        <w:t>–</w:t>
      </w:r>
      <w:r w:rsidR="00D568E7">
        <w:rPr>
          <w:lang w:eastAsia="ko-KR"/>
        </w:rPr>
        <w:t xml:space="preserve">PDN </w:t>
      </w:r>
      <w:proofErr w:type="spellStart"/>
      <w:r w:rsidR="00D568E7">
        <w:rPr>
          <w:lang w:eastAsia="ko-KR"/>
        </w:rPr>
        <w:t>Report</w:t>
      </w:r>
      <w:r w:rsidRPr="009604BD">
        <w:rPr>
          <w:lang w:eastAsia="ko-KR"/>
        </w:rPr>
        <w:t>ITU</w:t>
      </w:r>
      <w:proofErr w:type="spellEnd"/>
      <w:r w:rsidRPr="009604BD">
        <w:rPr>
          <w:lang w:eastAsia="ko-KR"/>
        </w:rPr>
        <w:t>-R RS</w:t>
      </w:r>
      <w:proofErr w:type="gramStart"/>
      <w:r w:rsidRPr="009604BD">
        <w:rPr>
          <w:lang w:eastAsia="ko-KR"/>
        </w:rPr>
        <w:t>.[</w:t>
      </w:r>
      <w:proofErr w:type="gramEnd"/>
      <w:r w:rsidRPr="00914340">
        <w:rPr>
          <w:lang w:eastAsia="ja-JP"/>
        </w:rPr>
        <w:t>275-450 GH</w:t>
      </w:r>
      <w:r>
        <w:rPr>
          <w:lang w:eastAsia="ja-JP"/>
        </w:rPr>
        <w:t xml:space="preserve">Z </w:t>
      </w:r>
      <w:r w:rsidRPr="00914340">
        <w:rPr>
          <w:lang w:eastAsia="ja-JP"/>
        </w:rPr>
        <w:t>C</w:t>
      </w:r>
      <w:r>
        <w:rPr>
          <w:lang w:eastAsia="ja-JP"/>
        </w:rPr>
        <w:t>HARS</w:t>
      </w:r>
      <w:r w:rsidRPr="009604BD">
        <w:rPr>
          <w:lang w:eastAsia="ko-KR"/>
        </w:rPr>
        <w:t>]</w:t>
      </w:r>
      <w:r>
        <w:rPr>
          <w:lang w:eastAsia="ko-KR"/>
        </w:rPr>
        <w:t xml:space="preserve"> (</w:t>
      </w:r>
      <w:r w:rsidRPr="00914340">
        <w:rPr>
          <w:lang w:eastAsia="ja-JP"/>
        </w:rPr>
        <w:t>Doc</w:t>
      </w:r>
      <w:r w:rsidR="006C2FCD">
        <w:rPr>
          <w:lang w:eastAsia="ja-JP"/>
        </w:rPr>
        <w:t>.</w:t>
      </w:r>
      <w:hyperlink r:id="rId13" w:history="1">
        <w:r>
          <w:rPr>
            <w:rStyle w:val="Hyperlink"/>
          </w:rPr>
          <w:t>7C/147</w:t>
        </w:r>
      </w:hyperlink>
      <w:r w:rsidR="00320C85" w:rsidRPr="00914340">
        <w:rPr>
          <w:lang w:eastAsia="ja-JP"/>
        </w:rPr>
        <w:t>Annex 15</w:t>
      </w:r>
      <w:r w:rsidR="00320C85">
        <w:rPr>
          <w:lang w:eastAsia="ko-KR"/>
        </w:rPr>
        <w:t>)</w:t>
      </w:r>
    </w:p>
    <w:p w:rsidR="006C2FCD" w:rsidRDefault="006C2FCD" w:rsidP="006939A3">
      <w:pPr>
        <w:pStyle w:val="ListParagraph"/>
        <w:numPr>
          <w:ilvl w:val="0"/>
          <w:numId w:val="23"/>
        </w:numPr>
        <w:jc w:val="both"/>
      </w:pPr>
      <w:r>
        <w:rPr>
          <w:lang w:eastAsia="ko-KR"/>
        </w:rPr>
        <w:t xml:space="preserve">AWG – </w:t>
      </w:r>
      <w:r w:rsidR="002D58F6">
        <w:rPr>
          <w:rFonts w:eastAsia="MS Mincho"/>
          <w:lang w:eastAsia="ja-JP"/>
        </w:rPr>
        <w:t>APT Report on "Short Range Radiocommunication Systems and Application Scenarios Operating in the Frequency Range 275-1000GHz"’, Doc. APT/AWG/REP-66</w:t>
      </w:r>
    </w:p>
    <w:p w:rsidR="00B64A60" w:rsidRDefault="00B64A60" w:rsidP="006939A3">
      <w:pPr>
        <w:jc w:val="both"/>
      </w:pPr>
    </w:p>
    <w:p w:rsidR="00B64A60" w:rsidRPr="00E75714" w:rsidRDefault="00B64A60" w:rsidP="006939A3">
      <w:pPr>
        <w:pStyle w:val="ListParagraph"/>
        <w:numPr>
          <w:ilvl w:val="0"/>
          <w:numId w:val="22"/>
        </w:numPr>
        <w:spacing w:after="120"/>
        <w:ind w:left="0" w:firstLine="0"/>
        <w:jc w:val="both"/>
        <w:rPr>
          <w:b/>
          <w:lang w:val="en-NZ" w:eastAsia="ko-KR"/>
        </w:rPr>
      </w:pPr>
      <w:r w:rsidRPr="00E75714">
        <w:rPr>
          <w:b/>
          <w:lang w:val="en-NZ" w:eastAsia="ko-KR"/>
        </w:rPr>
        <w:t>Documents</w:t>
      </w:r>
    </w:p>
    <w:p w:rsidR="00FF72C9" w:rsidRPr="000479D2" w:rsidRDefault="00B64A60" w:rsidP="006939A3">
      <w:pPr>
        <w:pStyle w:val="ListParagraph"/>
        <w:numPr>
          <w:ilvl w:val="1"/>
          <w:numId w:val="22"/>
        </w:numPr>
        <w:ind w:left="0" w:firstLine="0"/>
        <w:jc w:val="both"/>
        <w:rPr>
          <w:b/>
          <w:lang w:val="en-NZ"/>
        </w:rPr>
      </w:pPr>
      <w:r w:rsidRPr="000479D2">
        <w:rPr>
          <w:b/>
          <w:lang w:val="en-NZ"/>
        </w:rPr>
        <w:t xml:space="preserve">Input Documents </w:t>
      </w:r>
    </w:p>
    <w:p w:rsidR="00E75714" w:rsidRDefault="00B64A60" w:rsidP="006939A3">
      <w:pPr>
        <w:pStyle w:val="ListParagraph"/>
        <w:jc w:val="both"/>
        <w:rPr>
          <w:lang w:val="en-NZ"/>
        </w:rPr>
      </w:pPr>
      <w:r w:rsidRPr="00E75714">
        <w:rPr>
          <w:lang w:val="en-NZ"/>
        </w:rPr>
        <w:t>APG19-2/</w:t>
      </w:r>
      <w:r w:rsidR="00F369B2" w:rsidRPr="00E75714">
        <w:rPr>
          <w:lang w:val="en-NZ"/>
        </w:rPr>
        <w:t>INP-</w:t>
      </w:r>
      <w:r w:rsidR="00F369B2">
        <w:rPr>
          <w:lang w:val="en-NZ"/>
        </w:rPr>
        <w:t xml:space="preserve">07 (AWG), </w:t>
      </w:r>
      <w:r w:rsidRPr="00E75714">
        <w:rPr>
          <w:lang w:val="en-NZ"/>
        </w:rPr>
        <w:t>INP-</w:t>
      </w:r>
      <w:r w:rsidR="00FF72C9">
        <w:rPr>
          <w:lang w:val="en-NZ"/>
        </w:rPr>
        <w:t xml:space="preserve">08 (KOR), INP-20 (NZL), INP-28 (AUS), </w:t>
      </w:r>
      <w:r w:rsidR="00942284">
        <w:rPr>
          <w:lang w:val="en-NZ"/>
        </w:rPr>
        <w:t>INP-39 (INS), INP-49 (CHN), INP-55 (JPN)</w:t>
      </w:r>
    </w:p>
    <w:p w:rsidR="00E75714" w:rsidRPr="00E75714" w:rsidRDefault="00E75714" w:rsidP="006939A3">
      <w:pPr>
        <w:jc w:val="both"/>
        <w:rPr>
          <w:lang w:val="en-NZ"/>
        </w:rPr>
      </w:pPr>
    </w:p>
    <w:p w:rsidR="00FF72C9" w:rsidRPr="000479D2" w:rsidRDefault="00B64A60" w:rsidP="006939A3">
      <w:pPr>
        <w:pStyle w:val="ListParagraph"/>
        <w:numPr>
          <w:ilvl w:val="1"/>
          <w:numId w:val="22"/>
        </w:numPr>
        <w:ind w:left="0" w:firstLine="0"/>
        <w:jc w:val="both"/>
        <w:rPr>
          <w:b/>
          <w:lang w:val="en-NZ"/>
        </w:rPr>
      </w:pPr>
      <w:r w:rsidRPr="000479D2">
        <w:rPr>
          <w:b/>
          <w:lang w:val="en-NZ"/>
        </w:rPr>
        <w:t xml:space="preserve">Information Documents </w:t>
      </w:r>
    </w:p>
    <w:p w:rsidR="00B64A60" w:rsidRPr="00E75714" w:rsidRDefault="00B64A60" w:rsidP="006939A3">
      <w:pPr>
        <w:pStyle w:val="ListParagraph"/>
        <w:jc w:val="both"/>
        <w:rPr>
          <w:lang w:val="en-NZ"/>
        </w:rPr>
      </w:pPr>
      <w:r w:rsidRPr="00E75714">
        <w:rPr>
          <w:lang w:val="en-NZ"/>
        </w:rPr>
        <w:t>APG19-2/</w:t>
      </w:r>
      <w:r w:rsidR="00F369B2">
        <w:rPr>
          <w:lang w:val="en-NZ"/>
        </w:rPr>
        <w:t xml:space="preserve"> INF-01 (Chairman, APG-19)</w:t>
      </w:r>
      <w:proofErr w:type="gramStart"/>
      <w:r w:rsidR="00F369B2">
        <w:rPr>
          <w:lang w:val="en-NZ"/>
        </w:rPr>
        <w:t>,</w:t>
      </w:r>
      <w:r w:rsidR="000F4F36" w:rsidRPr="00E75714">
        <w:rPr>
          <w:lang w:val="en-NZ"/>
        </w:rPr>
        <w:t>INF</w:t>
      </w:r>
      <w:proofErr w:type="gramEnd"/>
      <w:r w:rsidR="000F4F36">
        <w:rPr>
          <w:lang w:val="en-NZ"/>
        </w:rPr>
        <w:t xml:space="preserve">-04 (CITEL), </w:t>
      </w:r>
      <w:r w:rsidRPr="00E75714">
        <w:rPr>
          <w:lang w:val="en-NZ"/>
        </w:rPr>
        <w:t>INF</w:t>
      </w:r>
      <w:r w:rsidR="00FF72C9">
        <w:rPr>
          <w:lang w:val="en-NZ"/>
        </w:rPr>
        <w:t>-05 (RCC)</w:t>
      </w:r>
      <w:r w:rsidR="000F4F36">
        <w:rPr>
          <w:lang w:val="en-NZ"/>
        </w:rPr>
        <w:t xml:space="preserve">, </w:t>
      </w:r>
      <w:r w:rsidR="000F4F36" w:rsidRPr="00E75714">
        <w:rPr>
          <w:lang w:val="en-NZ"/>
        </w:rPr>
        <w:t>INF</w:t>
      </w:r>
      <w:r w:rsidR="000F4F36">
        <w:rPr>
          <w:lang w:val="en-NZ"/>
        </w:rPr>
        <w:t xml:space="preserve">-06 (IARU), </w:t>
      </w:r>
      <w:r w:rsidR="000F4F36" w:rsidRPr="00E75714">
        <w:rPr>
          <w:lang w:val="en-NZ"/>
        </w:rPr>
        <w:t>INF</w:t>
      </w:r>
      <w:r w:rsidR="000F4F36">
        <w:rPr>
          <w:lang w:val="en-NZ"/>
        </w:rPr>
        <w:t>-14 (CEPT)</w:t>
      </w:r>
    </w:p>
    <w:p w:rsidR="00B64A60" w:rsidRDefault="00B64A60" w:rsidP="006939A3">
      <w:pPr>
        <w:jc w:val="both"/>
        <w:rPr>
          <w:lang w:val="en-NZ"/>
        </w:rPr>
      </w:pPr>
    </w:p>
    <w:p w:rsidR="002972FC" w:rsidRPr="00710333" w:rsidRDefault="002972FC" w:rsidP="006939A3">
      <w:pPr>
        <w:jc w:val="both"/>
        <w:rPr>
          <w:lang w:val="en-NZ"/>
        </w:rPr>
      </w:pPr>
    </w:p>
    <w:p w:rsidR="00B64A60" w:rsidRDefault="00B64A60" w:rsidP="006939A3">
      <w:pPr>
        <w:pStyle w:val="ListParagraph"/>
        <w:numPr>
          <w:ilvl w:val="0"/>
          <w:numId w:val="22"/>
        </w:numPr>
        <w:spacing w:after="120"/>
        <w:ind w:left="0" w:firstLine="0"/>
        <w:jc w:val="both"/>
        <w:rPr>
          <w:b/>
          <w:lang w:val="en-NZ" w:eastAsia="ko-KR"/>
        </w:rPr>
      </w:pPr>
      <w:r w:rsidRPr="00E75714">
        <w:rPr>
          <w:b/>
          <w:lang w:val="en-NZ" w:eastAsia="ko-KR"/>
        </w:rPr>
        <w:t>Summary of Discussions</w:t>
      </w:r>
    </w:p>
    <w:p w:rsidR="004A2F96" w:rsidRDefault="004A2F96" w:rsidP="006939A3">
      <w:pPr>
        <w:pStyle w:val="ListParagraph"/>
        <w:numPr>
          <w:ilvl w:val="1"/>
          <w:numId w:val="22"/>
        </w:numPr>
        <w:ind w:left="0" w:firstLine="0"/>
        <w:jc w:val="both"/>
        <w:rPr>
          <w:b/>
          <w:lang w:val="en-NZ" w:eastAsia="ko-KR"/>
        </w:rPr>
      </w:pPr>
      <w:r w:rsidRPr="00E75714">
        <w:rPr>
          <w:b/>
          <w:lang w:val="en-NZ" w:eastAsia="ko-KR"/>
        </w:rPr>
        <w:t>S</w:t>
      </w:r>
      <w:r w:rsidRPr="00E75714">
        <w:rPr>
          <w:rFonts w:hint="eastAsia"/>
          <w:b/>
          <w:lang w:val="en-NZ" w:eastAsia="ko-KR"/>
        </w:rPr>
        <w:t xml:space="preserve">ummary </w:t>
      </w:r>
      <w:r w:rsidRPr="00E75714">
        <w:rPr>
          <w:b/>
          <w:lang w:val="en-NZ" w:eastAsia="ko-KR"/>
        </w:rPr>
        <w:t>of Members’ view</w:t>
      </w:r>
    </w:p>
    <w:p w:rsidR="001655FE" w:rsidRDefault="001655FE" w:rsidP="006939A3">
      <w:pPr>
        <w:pStyle w:val="ListParagraph"/>
        <w:jc w:val="both"/>
        <w:rPr>
          <w:lang w:val="en-NZ" w:eastAsia="ko-KR"/>
        </w:rPr>
      </w:pPr>
      <w:r>
        <w:rPr>
          <w:lang w:val="en-NZ" w:eastAsia="ko-KR"/>
        </w:rPr>
        <w:t>This section summarizes the views of each Member’s input contribution.</w:t>
      </w:r>
      <w:r w:rsidR="00EC76F8">
        <w:rPr>
          <w:lang w:val="en-NZ" w:eastAsia="ko-KR"/>
        </w:rPr>
        <w:t xml:space="preserve"> Preliminary Views from Members were quoted in this summary.  </w:t>
      </w:r>
    </w:p>
    <w:p w:rsidR="001655FE" w:rsidRPr="00E75714" w:rsidRDefault="001655FE" w:rsidP="006939A3">
      <w:pPr>
        <w:pStyle w:val="ListParagraph"/>
        <w:spacing w:after="120"/>
        <w:jc w:val="both"/>
        <w:rPr>
          <w:b/>
          <w:lang w:val="en-NZ" w:eastAsia="ko-KR"/>
        </w:rPr>
      </w:pPr>
    </w:p>
    <w:p w:rsidR="004A2F96" w:rsidRDefault="0065753B" w:rsidP="006939A3">
      <w:pPr>
        <w:pStyle w:val="ListParagraph"/>
        <w:numPr>
          <w:ilvl w:val="2"/>
          <w:numId w:val="22"/>
        </w:numPr>
        <w:ind w:left="0" w:firstLine="0"/>
        <w:jc w:val="both"/>
        <w:rPr>
          <w:b/>
          <w:lang w:val="en-NZ" w:eastAsia="ko-KR"/>
        </w:rPr>
      </w:pPr>
      <w:r>
        <w:rPr>
          <w:b/>
          <w:lang w:val="en-NZ" w:eastAsia="ko-KR"/>
        </w:rPr>
        <w:t xml:space="preserve">Republic of </w:t>
      </w:r>
      <w:r w:rsidR="000479D2">
        <w:rPr>
          <w:b/>
          <w:lang w:val="en-NZ" w:eastAsia="ko-KR"/>
        </w:rPr>
        <w:t>Korea (INP-08)</w:t>
      </w:r>
    </w:p>
    <w:p w:rsidR="000479D2" w:rsidRDefault="0065753B" w:rsidP="006939A3">
      <w:pPr>
        <w:pStyle w:val="ListParagraph"/>
        <w:jc w:val="both"/>
        <w:rPr>
          <w:lang w:val="en-NZ"/>
        </w:rPr>
      </w:pPr>
      <w:r>
        <w:rPr>
          <w:lang w:eastAsia="ko-KR"/>
        </w:rPr>
        <w:t xml:space="preserve">Korea supports the identification of </w:t>
      </w:r>
      <w:r>
        <w:rPr>
          <w:lang w:val="en-GB" w:eastAsia="ko-KR"/>
        </w:rPr>
        <w:t xml:space="preserve">frequency bands in the 275-450 GHz range for </w:t>
      </w:r>
      <w:r>
        <w:rPr>
          <w:noProof/>
          <w:lang w:val="en-GB" w:eastAsia="ko-KR"/>
        </w:rPr>
        <w:t>land-mobile</w:t>
      </w:r>
      <w:r>
        <w:rPr>
          <w:lang w:val="en-GB" w:eastAsia="ko-KR"/>
        </w:rPr>
        <w:t xml:space="preserve"> and fixed services applications under the condition that the protection of passive services identified in RR </w:t>
      </w:r>
      <w:r>
        <w:rPr>
          <w:bCs/>
          <w:lang w:val="en-GB" w:eastAsia="ko-KR"/>
        </w:rPr>
        <w:t xml:space="preserve">No. </w:t>
      </w:r>
      <w:r>
        <w:rPr>
          <w:b/>
          <w:bCs/>
          <w:lang w:val="en-GB" w:eastAsia="ko-KR"/>
        </w:rPr>
        <w:t xml:space="preserve">5.565 </w:t>
      </w:r>
      <w:r>
        <w:rPr>
          <w:noProof/>
          <w:lang w:val="en-GB" w:eastAsia="ko-KR"/>
        </w:rPr>
        <w:t>is ensured</w:t>
      </w:r>
      <w:r>
        <w:rPr>
          <w:lang w:val="en-GB" w:eastAsia="ko-KR"/>
        </w:rPr>
        <w:t>.</w:t>
      </w:r>
    </w:p>
    <w:p w:rsidR="000479D2" w:rsidRPr="00E75714" w:rsidRDefault="000479D2" w:rsidP="006939A3">
      <w:pPr>
        <w:pStyle w:val="ListParagraph"/>
        <w:spacing w:after="120"/>
        <w:ind w:left="0"/>
        <w:jc w:val="both"/>
        <w:rPr>
          <w:b/>
          <w:lang w:val="en-NZ" w:eastAsia="ko-KR"/>
        </w:rPr>
      </w:pPr>
    </w:p>
    <w:p w:rsidR="004A2F96" w:rsidRDefault="000479D2" w:rsidP="006939A3">
      <w:pPr>
        <w:pStyle w:val="ListParagraph"/>
        <w:numPr>
          <w:ilvl w:val="2"/>
          <w:numId w:val="22"/>
        </w:numPr>
        <w:ind w:left="0" w:firstLine="0"/>
        <w:jc w:val="both"/>
        <w:rPr>
          <w:b/>
          <w:lang w:val="en-NZ" w:eastAsia="ko-KR"/>
        </w:rPr>
      </w:pPr>
      <w:r>
        <w:rPr>
          <w:b/>
          <w:lang w:val="en-NZ" w:eastAsia="ko-KR"/>
        </w:rPr>
        <w:t>New Zealand (INP-20)</w:t>
      </w:r>
    </w:p>
    <w:p w:rsidR="000479D2" w:rsidRDefault="00673507" w:rsidP="006939A3">
      <w:pPr>
        <w:pStyle w:val="ListParagraph"/>
        <w:jc w:val="both"/>
        <w:rPr>
          <w:lang w:val="en-NZ" w:eastAsia="ko-KR"/>
        </w:rPr>
      </w:pPr>
      <w:r>
        <w:rPr>
          <w:lang w:val="en-NZ"/>
        </w:rPr>
        <w:t xml:space="preserve">New Zealand supports the studies undertaken by ITU-R WP 1A, which would facilitate the development of innovative radiocommunication technologies utilising frequency range above 275 GHz by active services, such as fixed and land-mobile services, as long as such active service applications would not cause harmful interference to those passive service applications as indicated in RR No. </w:t>
      </w:r>
      <w:r>
        <w:rPr>
          <w:b/>
          <w:lang w:val="en-NZ"/>
        </w:rPr>
        <w:t>5.565</w:t>
      </w:r>
      <w:r>
        <w:rPr>
          <w:lang w:val="en-NZ"/>
        </w:rPr>
        <w:t>.</w:t>
      </w:r>
    </w:p>
    <w:p w:rsidR="000479D2" w:rsidRPr="000479D2" w:rsidRDefault="000479D2" w:rsidP="006939A3">
      <w:pPr>
        <w:pStyle w:val="ListParagraph"/>
        <w:spacing w:after="120"/>
        <w:ind w:left="0"/>
        <w:jc w:val="both"/>
        <w:rPr>
          <w:lang w:val="en-NZ" w:eastAsia="ko-KR"/>
        </w:rPr>
      </w:pPr>
    </w:p>
    <w:p w:rsidR="004A2F96" w:rsidRDefault="000479D2" w:rsidP="006939A3">
      <w:pPr>
        <w:pStyle w:val="ListParagraph"/>
        <w:numPr>
          <w:ilvl w:val="2"/>
          <w:numId w:val="22"/>
        </w:numPr>
        <w:ind w:left="0" w:firstLine="0"/>
        <w:jc w:val="both"/>
        <w:rPr>
          <w:b/>
          <w:lang w:val="en-NZ" w:eastAsia="ko-KR"/>
        </w:rPr>
      </w:pPr>
      <w:r>
        <w:rPr>
          <w:b/>
          <w:lang w:val="en-NZ" w:eastAsia="ko-KR"/>
        </w:rPr>
        <w:t>Australia (INP-28)</w:t>
      </w:r>
    </w:p>
    <w:p w:rsidR="000479D2" w:rsidRDefault="00673507" w:rsidP="006939A3">
      <w:pPr>
        <w:pStyle w:val="ListParagraph"/>
        <w:jc w:val="both"/>
        <w:rPr>
          <w:lang w:val="en-NZ" w:eastAsia="ko-KR"/>
        </w:rPr>
      </w:pPr>
      <w:r>
        <w:rPr>
          <w:rFonts w:eastAsia="Times New Roman"/>
          <w:lang w:val="en-AU"/>
        </w:rPr>
        <w:t>Australia supports ITU-R studies to consider identification of frequency bands for use by administrations for the land-mobile and fixed services applications operating in the frequency range 275</w:t>
      </w:r>
      <w:r>
        <w:rPr>
          <w:rFonts w:eastAsia="Times New Roman"/>
          <w:lang w:val="en-AU"/>
        </w:rPr>
        <w:noBreakHyphen/>
        <w:t xml:space="preserve">450 GHz, in accordance with Resolution </w:t>
      </w:r>
      <w:r>
        <w:rPr>
          <w:rFonts w:eastAsia="Times New Roman"/>
          <w:b/>
          <w:lang w:val="en-AU"/>
        </w:rPr>
        <w:t xml:space="preserve">767 (WRC-15) </w:t>
      </w:r>
      <w:r>
        <w:rPr>
          <w:rFonts w:eastAsia="Times New Roman"/>
          <w:lang w:val="en-AU"/>
        </w:rPr>
        <w:t>noting the need to maintain protection of the passive services identified in Radio Regulations No.</w:t>
      </w:r>
      <w:r>
        <w:rPr>
          <w:rFonts w:eastAsia="Times New Roman"/>
          <w:b/>
          <w:lang w:val="en-AU"/>
        </w:rPr>
        <w:t xml:space="preserve"> 5.565</w:t>
      </w:r>
      <w:r>
        <w:rPr>
          <w:rFonts w:eastAsia="Times New Roman"/>
          <w:lang w:val="en-AU"/>
        </w:rPr>
        <w:t>.</w:t>
      </w:r>
    </w:p>
    <w:p w:rsidR="000479D2" w:rsidRDefault="000479D2" w:rsidP="006939A3">
      <w:pPr>
        <w:pStyle w:val="ListParagraph"/>
        <w:spacing w:after="120"/>
        <w:ind w:left="0"/>
        <w:jc w:val="both"/>
        <w:rPr>
          <w:b/>
          <w:lang w:val="en-NZ" w:eastAsia="ko-KR"/>
        </w:rPr>
      </w:pPr>
    </w:p>
    <w:p w:rsidR="000479D2" w:rsidRDefault="000479D2" w:rsidP="006939A3">
      <w:pPr>
        <w:pStyle w:val="ListParagraph"/>
        <w:numPr>
          <w:ilvl w:val="2"/>
          <w:numId w:val="22"/>
        </w:numPr>
        <w:ind w:left="0" w:firstLine="0"/>
        <w:jc w:val="both"/>
        <w:rPr>
          <w:b/>
          <w:lang w:val="en-NZ" w:eastAsia="ko-KR"/>
        </w:rPr>
      </w:pPr>
      <w:r>
        <w:rPr>
          <w:b/>
          <w:lang w:val="en-NZ" w:eastAsia="ko-KR"/>
        </w:rPr>
        <w:t>Republic of Indonesia (INP-39)</w:t>
      </w:r>
    </w:p>
    <w:p w:rsidR="000479D2" w:rsidRDefault="00B81270" w:rsidP="006939A3">
      <w:pPr>
        <w:pStyle w:val="ListParagraph"/>
        <w:jc w:val="both"/>
        <w:rPr>
          <w:b/>
          <w:lang w:val="en-NZ" w:eastAsia="ko-KR"/>
        </w:rPr>
      </w:pPr>
      <w:r>
        <w:t xml:space="preserve">Republic of Indonesia is of the view to support the identification of frequency bands for land-mobile and fixed service in the frequency range 275-450 GHz under the condition that protection of passive services identified in No. </w:t>
      </w:r>
      <w:r>
        <w:rPr>
          <w:b/>
        </w:rPr>
        <w:t>5.565</w:t>
      </w:r>
      <w:r>
        <w:t xml:space="preserve"> is ensured.</w:t>
      </w:r>
    </w:p>
    <w:p w:rsidR="000479D2" w:rsidRDefault="000479D2" w:rsidP="006939A3">
      <w:pPr>
        <w:pStyle w:val="ListParagraph"/>
        <w:spacing w:after="120"/>
        <w:ind w:left="0"/>
        <w:jc w:val="both"/>
        <w:rPr>
          <w:b/>
          <w:lang w:val="en-NZ" w:eastAsia="ko-KR"/>
        </w:rPr>
      </w:pPr>
    </w:p>
    <w:p w:rsidR="000479D2" w:rsidRDefault="000479D2" w:rsidP="006939A3">
      <w:pPr>
        <w:pStyle w:val="ListParagraph"/>
        <w:numPr>
          <w:ilvl w:val="2"/>
          <w:numId w:val="22"/>
        </w:numPr>
        <w:ind w:left="0" w:firstLine="0"/>
        <w:jc w:val="both"/>
        <w:rPr>
          <w:b/>
          <w:lang w:val="en-NZ" w:eastAsia="ko-KR"/>
        </w:rPr>
      </w:pPr>
      <w:r>
        <w:rPr>
          <w:b/>
          <w:lang w:val="en-NZ" w:eastAsia="ko-KR"/>
        </w:rPr>
        <w:t>People’s Republic of China (INP-49)</w:t>
      </w:r>
    </w:p>
    <w:p w:rsidR="000479D2" w:rsidRDefault="0099537F" w:rsidP="006939A3">
      <w:pPr>
        <w:pStyle w:val="ListParagraph"/>
        <w:jc w:val="both"/>
        <w:rPr>
          <w:b/>
          <w:lang w:val="en-NZ" w:eastAsia="ko-KR"/>
        </w:rPr>
      </w:pPr>
      <w:r>
        <w:rPr>
          <w:rFonts w:eastAsia="SimSun"/>
          <w:lang w:eastAsia="zh-CN"/>
        </w:rPr>
        <w:lastRenderedPageBreak/>
        <w:t>Sufficient protection for RAS and EESS (passive) should be provided due to the sensitivity of passive services, and the compatibility study should be fully conducted before any frequency bands would be identified for the land</w:t>
      </w:r>
      <w:r>
        <w:rPr>
          <w:rFonts w:eastAsia="SimSun"/>
          <w:lang w:eastAsia="zh-CN"/>
        </w:rPr>
        <w:noBreakHyphen/>
        <w:t>mobile and fixed services applications in the frequency range 275-450GHz.</w:t>
      </w:r>
    </w:p>
    <w:p w:rsidR="00B71BEC" w:rsidRDefault="00B71BEC" w:rsidP="006939A3">
      <w:pPr>
        <w:pStyle w:val="ListParagraph"/>
        <w:spacing w:after="120"/>
        <w:ind w:left="0"/>
        <w:jc w:val="both"/>
        <w:rPr>
          <w:b/>
          <w:lang w:val="en-NZ" w:eastAsia="ko-KR"/>
        </w:rPr>
      </w:pPr>
    </w:p>
    <w:p w:rsidR="000479D2" w:rsidRPr="000479D2" w:rsidRDefault="000479D2" w:rsidP="006939A3">
      <w:pPr>
        <w:pStyle w:val="ListParagraph"/>
        <w:numPr>
          <w:ilvl w:val="2"/>
          <w:numId w:val="22"/>
        </w:numPr>
        <w:ind w:left="0" w:firstLine="0"/>
        <w:jc w:val="both"/>
        <w:rPr>
          <w:b/>
          <w:lang w:val="en-NZ" w:eastAsia="ko-KR"/>
        </w:rPr>
      </w:pPr>
      <w:r>
        <w:rPr>
          <w:b/>
          <w:lang w:val="en-NZ" w:eastAsia="ko-KR"/>
        </w:rPr>
        <w:t>Japan (INP-55)</w:t>
      </w:r>
    </w:p>
    <w:p w:rsidR="008454C8" w:rsidRDefault="0099537F" w:rsidP="006939A3">
      <w:pPr>
        <w:pStyle w:val="ListParagraph"/>
        <w:jc w:val="both"/>
        <w:rPr>
          <w:lang w:val="en-NZ" w:eastAsia="ko-KR"/>
        </w:rPr>
      </w:pPr>
      <w:r>
        <w:rPr>
          <w:rFonts w:eastAsiaTheme="minorEastAsia"/>
          <w:lang w:eastAsia="ja-JP"/>
        </w:rPr>
        <w:t>Japan supports ITU-R studies to identify candidate frequency bands for use by systems in the land-mobile and fixed services conducted by WP1A. Japan is of the view that the passive services identified in No.</w:t>
      </w:r>
      <w:r>
        <w:rPr>
          <w:rFonts w:eastAsiaTheme="minorEastAsia"/>
          <w:b/>
          <w:lang w:eastAsia="ja-JP"/>
        </w:rPr>
        <w:t>5.565</w:t>
      </w:r>
      <w:r>
        <w:rPr>
          <w:rFonts w:eastAsiaTheme="minorEastAsia"/>
          <w:lang w:eastAsia="ja-JP"/>
        </w:rPr>
        <w:t xml:space="preserve"> should be protected from interference caused by LMS and FS applications planned to be operated.</w:t>
      </w:r>
    </w:p>
    <w:p w:rsidR="00B2765E" w:rsidRDefault="00B2765E" w:rsidP="006939A3">
      <w:pPr>
        <w:pStyle w:val="ListParagraph"/>
        <w:spacing w:after="120"/>
        <w:ind w:left="0"/>
        <w:jc w:val="both"/>
        <w:rPr>
          <w:b/>
          <w:lang w:val="en-NZ" w:eastAsia="ko-KR"/>
        </w:rPr>
      </w:pPr>
    </w:p>
    <w:p w:rsidR="008454C8" w:rsidRPr="00C951EA" w:rsidRDefault="008454C8" w:rsidP="006939A3">
      <w:pPr>
        <w:pStyle w:val="ListParagraph"/>
        <w:numPr>
          <w:ilvl w:val="1"/>
          <w:numId w:val="22"/>
        </w:numPr>
        <w:ind w:left="0" w:firstLine="0"/>
        <w:jc w:val="both"/>
        <w:rPr>
          <w:b/>
          <w:lang w:val="en-NZ"/>
        </w:rPr>
      </w:pPr>
      <w:proofErr w:type="spellStart"/>
      <w:r w:rsidRPr="00C951EA">
        <w:rPr>
          <w:b/>
          <w:lang w:val="en-NZ" w:eastAsia="ko-KR"/>
        </w:rPr>
        <w:t>Keypoints</w:t>
      </w:r>
      <w:proofErr w:type="spellEnd"/>
      <w:r w:rsidRPr="00C951EA">
        <w:rPr>
          <w:b/>
          <w:lang w:val="en-NZ"/>
        </w:rPr>
        <w:t xml:space="preserve"> raised during the meeting</w:t>
      </w:r>
    </w:p>
    <w:p w:rsidR="00AE0752" w:rsidRPr="004A2F96" w:rsidRDefault="00D568E7" w:rsidP="00540C96">
      <w:pPr>
        <w:ind w:left="720"/>
        <w:jc w:val="both"/>
        <w:rPr>
          <w:lang w:val="en-NZ"/>
        </w:rPr>
      </w:pPr>
      <w:r>
        <w:rPr>
          <w:lang w:val="en-NZ"/>
        </w:rPr>
        <w:t>None</w:t>
      </w:r>
    </w:p>
    <w:p w:rsidR="00ED52F0" w:rsidRDefault="00ED52F0" w:rsidP="006939A3">
      <w:pPr>
        <w:jc w:val="both"/>
        <w:rPr>
          <w:lang w:val="en-NZ"/>
        </w:rPr>
      </w:pPr>
    </w:p>
    <w:p w:rsidR="00B64A60" w:rsidRPr="00C951EA" w:rsidRDefault="004465AA" w:rsidP="006939A3">
      <w:pPr>
        <w:pStyle w:val="ListParagraph"/>
        <w:numPr>
          <w:ilvl w:val="0"/>
          <w:numId w:val="22"/>
        </w:numPr>
        <w:ind w:left="0" w:firstLine="0"/>
        <w:jc w:val="both"/>
        <w:rPr>
          <w:b/>
          <w:lang w:val="en-NZ" w:eastAsia="ko-KR"/>
        </w:rPr>
      </w:pPr>
      <w:r w:rsidRPr="00C951EA">
        <w:rPr>
          <w:b/>
          <w:lang w:val="en-NZ" w:eastAsia="ko-KR"/>
        </w:rPr>
        <w:t xml:space="preserve">APT </w:t>
      </w:r>
      <w:r w:rsidR="00B64A60" w:rsidRPr="00C951EA">
        <w:rPr>
          <w:b/>
          <w:lang w:val="en-NZ" w:eastAsia="ko-KR"/>
        </w:rPr>
        <w:t>Preliminary View</w:t>
      </w:r>
      <w:r w:rsidR="00D53688" w:rsidRPr="00C951EA">
        <w:rPr>
          <w:b/>
          <w:lang w:val="en-NZ" w:eastAsia="ko-KR"/>
        </w:rPr>
        <w:t>(s)</w:t>
      </w:r>
    </w:p>
    <w:p w:rsidR="00B64A60" w:rsidRPr="00B71BEC" w:rsidRDefault="006939A3" w:rsidP="006939A3">
      <w:pPr>
        <w:ind w:left="720"/>
        <w:jc w:val="both"/>
        <w:rPr>
          <w:lang w:val="en-NZ" w:eastAsia="ko-KR"/>
        </w:rPr>
      </w:pPr>
      <w:r>
        <w:rPr>
          <w:lang w:val="en-NZ" w:eastAsia="ko-KR"/>
        </w:rPr>
        <w:t xml:space="preserve">APT </w:t>
      </w:r>
      <w:r w:rsidR="004D031B">
        <w:rPr>
          <w:lang w:val="en-NZ" w:eastAsia="ko-KR"/>
        </w:rPr>
        <w:t xml:space="preserve">Members support </w:t>
      </w:r>
      <w:r w:rsidR="004D031B" w:rsidRPr="00B71BEC">
        <w:rPr>
          <w:lang w:val="en-NZ" w:eastAsia="ko-KR"/>
        </w:rPr>
        <w:t xml:space="preserve">the </w:t>
      </w:r>
      <w:r w:rsidR="00D568E7">
        <w:rPr>
          <w:lang w:val="en-NZ" w:eastAsia="ko-KR"/>
        </w:rPr>
        <w:t xml:space="preserve">ITU-R studies to consider identification of </w:t>
      </w:r>
      <w:r w:rsidR="00B71BEC" w:rsidRPr="00B71BEC">
        <w:t xml:space="preserve">frequency bands for use </w:t>
      </w:r>
      <w:r w:rsidR="00D568E7">
        <w:t>by</w:t>
      </w:r>
      <w:r w:rsidR="00983EEE">
        <w:t xml:space="preserve"> </w:t>
      </w:r>
      <w:r w:rsidR="00B71BEC" w:rsidRPr="00B71BEC">
        <w:t>the land-mobile and fixed service applications operating in the frequency range 275-450 GHz</w:t>
      </w:r>
      <w:r w:rsidR="00B71BEC">
        <w:t xml:space="preserve">, provided that the protection on passive services </w:t>
      </w:r>
      <w:r w:rsidR="00B71BEC">
        <w:rPr>
          <w:rFonts w:eastAsiaTheme="minorEastAsia"/>
          <w:lang w:eastAsia="ja-JP"/>
        </w:rPr>
        <w:t>identified in No.</w:t>
      </w:r>
      <w:r w:rsidR="00B71BEC">
        <w:rPr>
          <w:rFonts w:eastAsiaTheme="minorEastAsia"/>
          <w:b/>
          <w:lang w:eastAsia="ja-JP"/>
        </w:rPr>
        <w:t>5.565</w:t>
      </w:r>
      <w:r w:rsidR="00B71BEC" w:rsidRPr="00B71BEC">
        <w:rPr>
          <w:rFonts w:eastAsiaTheme="minorEastAsia"/>
          <w:lang w:eastAsia="ja-JP"/>
        </w:rPr>
        <w:t xml:space="preserve"> is </w:t>
      </w:r>
      <w:r w:rsidR="00D568E7">
        <w:rPr>
          <w:rFonts w:eastAsiaTheme="minorEastAsia"/>
          <w:lang w:eastAsia="ja-JP"/>
        </w:rPr>
        <w:t>ensured</w:t>
      </w:r>
      <w:r w:rsidR="00B71BEC">
        <w:rPr>
          <w:rFonts w:eastAsiaTheme="minorEastAsia"/>
          <w:lang w:eastAsia="ja-JP"/>
        </w:rPr>
        <w:t>.</w:t>
      </w:r>
    </w:p>
    <w:p w:rsidR="00AE0752" w:rsidRDefault="00AE0752" w:rsidP="006939A3">
      <w:pPr>
        <w:jc w:val="both"/>
        <w:rPr>
          <w:lang w:val="en-NZ" w:eastAsia="ko-KR"/>
        </w:rPr>
      </w:pPr>
    </w:p>
    <w:p w:rsidR="00FD6235" w:rsidRDefault="00FD6235" w:rsidP="006939A3">
      <w:pPr>
        <w:jc w:val="both"/>
        <w:rPr>
          <w:lang w:val="en-NZ"/>
        </w:rPr>
      </w:pPr>
    </w:p>
    <w:p w:rsidR="00B64A60" w:rsidRPr="00C951EA" w:rsidRDefault="00B64A60" w:rsidP="006939A3">
      <w:pPr>
        <w:pStyle w:val="ListParagraph"/>
        <w:numPr>
          <w:ilvl w:val="0"/>
          <w:numId w:val="22"/>
        </w:numPr>
        <w:ind w:left="0" w:firstLine="0"/>
        <w:jc w:val="both"/>
        <w:rPr>
          <w:b/>
          <w:lang w:val="en-NZ" w:eastAsia="ko-KR"/>
        </w:rPr>
      </w:pPr>
      <w:r w:rsidRPr="00C951EA">
        <w:rPr>
          <w:b/>
          <w:lang w:val="en-NZ" w:eastAsia="ko-KR"/>
        </w:rPr>
        <w:t>Other Views</w:t>
      </w:r>
    </w:p>
    <w:p w:rsidR="00C951EA" w:rsidRDefault="00D568E7" w:rsidP="006939A3">
      <w:pPr>
        <w:ind w:firstLine="720"/>
        <w:jc w:val="both"/>
        <w:rPr>
          <w:lang w:val="en-NZ"/>
        </w:rPr>
      </w:pPr>
      <w:r>
        <w:rPr>
          <w:lang w:val="en-NZ"/>
        </w:rPr>
        <w:t>None</w:t>
      </w:r>
    </w:p>
    <w:p w:rsidR="00AE0752" w:rsidRDefault="00AE0752" w:rsidP="006939A3">
      <w:pPr>
        <w:ind w:firstLine="720"/>
        <w:jc w:val="both"/>
        <w:rPr>
          <w:lang w:val="en-NZ"/>
        </w:rPr>
      </w:pPr>
    </w:p>
    <w:p w:rsidR="00B64A60" w:rsidRDefault="00B64A60" w:rsidP="006939A3">
      <w:pPr>
        <w:jc w:val="both"/>
        <w:rPr>
          <w:lang w:val="en-NZ"/>
        </w:rPr>
      </w:pPr>
    </w:p>
    <w:p w:rsidR="00D53688" w:rsidRPr="00C951EA" w:rsidRDefault="00D53688" w:rsidP="006939A3">
      <w:pPr>
        <w:pStyle w:val="ListParagraph"/>
        <w:numPr>
          <w:ilvl w:val="0"/>
          <w:numId w:val="22"/>
        </w:numPr>
        <w:ind w:left="0" w:firstLine="0"/>
        <w:jc w:val="both"/>
        <w:rPr>
          <w:b/>
          <w:lang w:val="en-NZ"/>
        </w:rPr>
      </w:pPr>
      <w:r w:rsidRPr="00C951EA">
        <w:rPr>
          <w:b/>
          <w:lang w:val="en-NZ"/>
        </w:rPr>
        <w:t xml:space="preserve">Views from Other </w:t>
      </w:r>
      <w:r w:rsidR="00A564FB" w:rsidRPr="00C951EA">
        <w:rPr>
          <w:b/>
          <w:lang w:val="en-NZ"/>
        </w:rPr>
        <w:t>Organisations</w:t>
      </w:r>
    </w:p>
    <w:p w:rsidR="00CD2E73" w:rsidRDefault="00CD2E73" w:rsidP="006939A3">
      <w:pPr>
        <w:ind w:left="720"/>
        <w:jc w:val="both"/>
        <w:rPr>
          <w:lang w:val="en-NZ"/>
        </w:rPr>
      </w:pPr>
      <w:r>
        <w:rPr>
          <w:lang w:val="en-NZ" w:eastAsia="ko-KR"/>
        </w:rPr>
        <w:t>This section summarizes the v</w:t>
      </w:r>
      <w:r>
        <w:rPr>
          <w:lang w:val="en-NZ"/>
        </w:rPr>
        <w:t>iews/positions of other regional groups and international organisations.</w:t>
      </w:r>
    </w:p>
    <w:p w:rsidR="00D53688" w:rsidRDefault="00D53688" w:rsidP="006939A3">
      <w:pPr>
        <w:jc w:val="both"/>
        <w:rPr>
          <w:lang w:val="en-NZ"/>
        </w:rPr>
      </w:pPr>
    </w:p>
    <w:p w:rsidR="00F369B2" w:rsidRDefault="00F369B2" w:rsidP="006939A3">
      <w:pPr>
        <w:pStyle w:val="ListParagraph"/>
        <w:numPr>
          <w:ilvl w:val="1"/>
          <w:numId w:val="22"/>
        </w:numPr>
        <w:ind w:left="0" w:firstLine="0"/>
        <w:jc w:val="both"/>
        <w:rPr>
          <w:b/>
          <w:lang w:val="en-NZ"/>
        </w:rPr>
      </w:pPr>
      <w:r>
        <w:rPr>
          <w:b/>
          <w:lang w:val="en-NZ"/>
        </w:rPr>
        <w:t>ASMG</w:t>
      </w:r>
    </w:p>
    <w:p w:rsidR="00F369B2" w:rsidRPr="00540C96" w:rsidRDefault="00F369B2" w:rsidP="00540C96">
      <w:pPr>
        <w:ind w:left="709"/>
        <w:jc w:val="both"/>
        <w:rPr>
          <w:lang w:val="en-NZ"/>
        </w:rPr>
      </w:pPr>
      <w:r w:rsidRPr="00F369B2">
        <w:rPr>
          <w:lang w:val="en-NZ"/>
        </w:rPr>
        <w:t xml:space="preserve">Follow up and support the current studies to consider identification of frequency bands for use by administrations for the land-mobile and fixed services applications operating in the frequency range 275-450 GHz, while ensuring the protection of passive services identified in No 5.565, and not adding any additional constraints on these services. </w:t>
      </w:r>
    </w:p>
    <w:p w:rsidR="00F369B2" w:rsidRDefault="00F369B2" w:rsidP="00540C96">
      <w:pPr>
        <w:pStyle w:val="ListParagraph"/>
        <w:ind w:left="0"/>
        <w:jc w:val="both"/>
        <w:rPr>
          <w:b/>
          <w:lang w:val="en-NZ"/>
        </w:rPr>
      </w:pPr>
    </w:p>
    <w:p w:rsidR="00F62391" w:rsidRDefault="00F62391" w:rsidP="00540C96">
      <w:pPr>
        <w:pStyle w:val="ListParagraph"/>
        <w:ind w:left="0"/>
        <w:jc w:val="both"/>
        <w:rPr>
          <w:b/>
          <w:lang w:val="en-NZ"/>
        </w:rPr>
      </w:pPr>
    </w:p>
    <w:p w:rsidR="00CD2E73" w:rsidRPr="00CD2E73" w:rsidRDefault="00CD2E73" w:rsidP="006939A3">
      <w:pPr>
        <w:pStyle w:val="ListParagraph"/>
        <w:numPr>
          <w:ilvl w:val="1"/>
          <w:numId w:val="22"/>
        </w:numPr>
        <w:ind w:left="0" w:firstLine="0"/>
        <w:jc w:val="both"/>
        <w:rPr>
          <w:b/>
          <w:lang w:val="en-NZ"/>
        </w:rPr>
      </w:pPr>
      <w:r w:rsidRPr="00CD2E73">
        <w:rPr>
          <w:b/>
          <w:lang w:val="en-NZ"/>
        </w:rPr>
        <w:t>RCC</w:t>
      </w:r>
    </w:p>
    <w:p w:rsidR="00EC76F8" w:rsidRDefault="00EC76F8" w:rsidP="006939A3">
      <w:pPr>
        <w:ind w:left="720"/>
        <w:jc w:val="both"/>
      </w:pPr>
      <w:r w:rsidRPr="00EC76F8">
        <w:rPr>
          <w:bCs/>
        </w:rPr>
        <w:t>The RCC Administrations consider it reasonable</w:t>
      </w:r>
      <w:r>
        <w:t xml:space="preserve"> that identification of frequency bands for land-mobile and fixed service applications in 275-450 GHz band in the RR No. 5.565 will facilitate global harmonization of radio frequencies for development and introduction of land mobile and fixed service applications above 275 GHz.</w:t>
      </w:r>
    </w:p>
    <w:p w:rsidR="00EC76F8" w:rsidRDefault="00EC76F8" w:rsidP="006939A3">
      <w:pPr>
        <w:ind w:left="720"/>
        <w:jc w:val="both"/>
      </w:pPr>
      <w:r w:rsidRPr="00EC76F8">
        <w:rPr>
          <w:bCs/>
        </w:rPr>
        <w:t xml:space="preserve">The RCC Administrations consider that when identifying </w:t>
      </w:r>
      <w:r>
        <w:t xml:space="preserve">frequency bands for active services in 275-450 GHz range, a balance of interests has to be observed in the use of this frequency range by both active and passive services, ensuring possibility for future development of new active service applications while excluding interferences to the passive services in the frequency bands already identified in No. </w:t>
      </w:r>
      <w:r w:rsidRPr="006B3C2C">
        <w:rPr>
          <w:b/>
        </w:rPr>
        <w:t>5.565</w:t>
      </w:r>
      <w:r>
        <w:t xml:space="preserve"> of the Radio Regulations.</w:t>
      </w:r>
    </w:p>
    <w:p w:rsidR="00CD2E73" w:rsidRDefault="00EC76F8" w:rsidP="006939A3">
      <w:pPr>
        <w:ind w:left="720"/>
        <w:jc w:val="both"/>
      </w:pPr>
      <w:r>
        <w:t xml:space="preserve">The RCC Administrations consider that to provide a balanced use of 275-450 GHz range, frequency bands could be identified for sharing between active and passive services, and also frequency bands for exclusive use by active and passive applications taking into </w:t>
      </w:r>
      <w:r>
        <w:lastRenderedPageBreak/>
        <w:t>account the frequency bands identified in No. 5.565 for passive services and effect of active applications in the main and adjacent frequency bands.</w:t>
      </w:r>
    </w:p>
    <w:p w:rsidR="00D568E7" w:rsidRDefault="00D568E7" w:rsidP="006939A3">
      <w:pPr>
        <w:ind w:left="720"/>
        <w:jc w:val="both"/>
      </w:pPr>
    </w:p>
    <w:p w:rsidR="00D568E7" w:rsidRPr="00EC76F8" w:rsidRDefault="00D568E7" w:rsidP="006939A3">
      <w:pPr>
        <w:ind w:left="720"/>
        <w:jc w:val="both"/>
        <w:rPr>
          <w:lang w:val="en-NZ"/>
        </w:rPr>
      </w:pPr>
    </w:p>
    <w:p w:rsidR="00D568E7" w:rsidRPr="00CD2E73" w:rsidRDefault="00D568E7" w:rsidP="00D568E7">
      <w:pPr>
        <w:pStyle w:val="ListParagraph"/>
        <w:numPr>
          <w:ilvl w:val="1"/>
          <w:numId w:val="22"/>
        </w:numPr>
        <w:ind w:left="0" w:firstLine="0"/>
        <w:jc w:val="both"/>
        <w:rPr>
          <w:b/>
          <w:lang w:val="en-NZ"/>
        </w:rPr>
      </w:pPr>
      <w:r w:rsidRPr="00CD2E73">
        <w:rPr>
          <w:b/>
          <w:lang w:val="en-NZ"/>
        </w:rPr>
        <w:t>CEPT</w:t>
      </w:r>
    </w:p>
    <w:p w:rsidR="00D568E7" w:rsidRDefault="00D568E7" w:rsidP="00D568E7">
      <w:pPr>
        <w:ind w:left="720"/>
        <w:jc w:val="both"/>
        <w:rPr>
          <w:lang w:val="en-NZ"/>
        </w:rPr>
      </w:pPr>
      <w:r>
        <w:rPr>
          <w:lang w:val="en-NZ"/>
        </w:rPr>
        <w:t xml:space="preserve">CEPT supports the identification for frequency bands for land-mobile and fixed services in the frequency range 275-450 GHz under the condition that the protection of passive services identified in No. </w:t>
      </w:r>
      <w:r w:rsidRPr="00EA383B">
        <w:rPr>
          <w:b/>
          <w:lang w:val="en-NZ"/>
        </w:rPr>
        <w:t>5.565</w:t>
      </w:r>
      <w:r>
        <w:rPr>
          <w:lang w:val="en-NZ"/>
        </w:rPr>
        <w:t xml:space="preserve"> is ensured.</w:t>
      </w:r>
    </w:p>
    <w:p w:rsidR="00CD2E73" w:rsidRDefault="00CD2E73" w:rsidP="006939A3">
      <w:pPr>
        <w:pStyle w:val="ListParagraph"/>
        <w:jc w:val="both"/>
        <w:rPr>
          <w:lang w:val="en-NZ"/>
        </w:rPr>
      </w:pPr>
    </w:p>
    <w:p w:rsidR="00CD2E73" w:rsidRPr="00CD2E73" w:rsidRDefault="00CD2E73" w:rsidP="006939A3">
      <w:pPr>
        <w:pStyle w:val="ListParagraph"/>
        <w:numPr>
          <w:ilvl w:val="1"/>
          <w:numId w:val="22"/>
        </w:numPr>
        <w:ind w:left="0" w:firstLine="0"/>
        <w:jc w:val="both"/>
        <w:rPr>
          <w:b/>
          <w:lang w:val="en-NZ"/>
        </w:rPr>
      </w:pPr>
      <w:r w:rsidRPr="00CD2E73">
        <w:rPr>
          <w:b/>
          <w:lang w:val="en-NZ"/>
        </w:rPr>
        <w:t>IARU</w:t>
      </w:r>
    </w:p>
    <w:p w:rsidR="00CD2E73" w:rsidRDefault="00C40D53" w:rsidP="006939A3">
      <w:pPr>
        <w:pStyle w:val="ListParagraph"/>
        <w:jc w:val="both"/>
        <w:rPr>
          <w:rFonts w:eastAsia="Times New Roman"/>
          <w:kern w:val="2"/>
          <w:lang w:eastAsia="ar-SA"/>
        </w:rPr>
      </w:pPr>
      <w:r>
        <w:rPr>
          <w:rFonts w:eastAsia="Times New Roman"/>
          <w:kern w:val="2"/>
          <w:lang w:eastAsia="ar-SA"/>
        </w:rPr>
        <w:t xml:space="preserve">Resolution </w:t>
      </w:r>
      <w:r w:rsidRPr="006B3C2C">
        <w:rPr>
          <w:rFonts w:eastAsia="Times New Roman"/>
          <w:b/>
          <w:kern w:val="2"/>
          <w:lang w:eastAsia="ar-SA"/>
        </w:rPr>
        <w:t>767</w:t>
      </w:r>
      <w:r>
        <w:rPr>
          <w:rFonts w:eastAsia="Times New Roman"/>
          <w:kern w:val="2"/>
          <w:lang w:eastAsia="ar-SA"/>
        </w:rPr>
        <w:t xml:space="preserve"> (WRC-15) recognizes that the amateur service is developing and demonstrating applications above 275 GHz. As studies proceed to identify candidate frequency bands for the land-mobile and fixed services in the frequency range 275-450 GHz, the IARU supports maintaining access for non-commercial experimentation by stations in the amateur service to as much of the frequency range as possible, consistent with the protection of the passive and other active services.</w:t>
      </w:r>
    </w:p>
    <w:p w:rsidR="00C40D53" w:rsidRDefault="00C40D53" w:rsidP="006939A3">
      <w:pPr>
        <w:pStyle w:val="ListParagraph"/>
        <w:jc w:val="both"/>
        <w:rPr>
          <w:lang w:val="en-NZ"/>
        </w:rPr>
      </w:pPr>
    </w:p>
    <w:p w:rsidR="00B64A60" w:rsidRPr="00B64A60" w:rsidRDefault="00B64A60" w:rsidP="006939A3">
      <w:pPr>
        <w:jc w:val="both"/>
        <w:rPr>
          <w:lang w:val="en-NZ"/>
        </w:rPr>
      </w:pPr>
      <w:bookmarkStart w:id="0" w:name="_GoBack"/>
      <w:bookmarkEnd w:id="0"/>
    </w:p>
    <w:p w:rsidR="00B64A60" w:rsidRPr="00C951EA" w:rsidRDefault="00B64A60" w:rsidP="006939A3">
      <w:pPr>
        <w:pStyle w:val="ListParagraph"/>
        <w:numPr>
          <w:ilvl w:val="0"/>
          <w:numId w:val="22"/>
        </w:numPr>
        <w:ind w:left="0" w:firstLine="0"/>
        <w:jc w:val="both"/>
        <w:rPr>
          <w:b/>
          <w:lang w:val="en-NZ" w:eastAsia="ko-KR"/>
        </w:rPr>
      </w:pPr>
      <w:r w:rsidRPr="00C951EA">
        <w:rPr>
          <w:b/>
          <w:lang w:val="en-NZ" w:eastAsia="ko-KR"/>
        </w:rPr>
        <w:t xml:space="preserve">Issues for </w:t>
      </w:r>
      <w:r w:rsidR="00585F3C" w:rsidRPr="00C951EA">
        <w:rPr>
          <w:b/>
          <w:lang w:val="en-NZ" w:eastAsia="ko-KR"/>
        </w:rPr>
        <w:t>C</w:t>
      </w:r>
      <w:r w:rsidRPr="00C951EA">
        <w:rPr>
          <w:b/>
          <w:lang w:val="en-NZ" w:eastAsia="ko-KR"/>
        </w:rPr>
        <w:t xml:space="preserve">onsideration </w:t>
      </w:r>
      <w:r w:rsidR="00F369B2">
        <w:rPr>
          <w:b/>
          <w:lang w:val="en-NZ" w:eastAsia="ko-KR"/>
        </w:rPr>
        <w:t>at next APG Meeting</w:t>
      </w:r>
    </w:p>
    <w:p w:rsidR="00F369B2" w:rsidRDefault="00F369B2" w:rsidP="00540C96">
      <w:pPr>
        <w:ind w:left="720"/>
        <w:jc w:val="both"/>
        <w:rPr>
          <w:lang w:val="en-NZ"/>
        </w:rPr>
      </w:pPr>
      <w:r>
        <w:rPr>
          <w:lang w:val="en-NZ"/>
        </w:rPr>
        <w:t xml:space="preserve">APT Members are encouraged </w:t>
      </w:r>
      <w:r w:rsidR="0029757D">
        <w:rPr>
          <w:rFonts w:eastAsiaTheme="minorEastAsia" w:hint="eastAsia"/>
          <w:lang w:val="en-NZ" w:eastAsia="zh-CN"/>
        </w:rPr>
        <w:t xml:space="preserve">to contribute to the APG19-3 meeting in </w:t>
      </w:r>
      <w:r>
        <w:rPr>
          <w:lang w:val="en-NZ"/>
        </w:rPr>
        <w:t>consider</w:t>
      </w:r>
      <w:r w:rsidR="0029757D">
        <w:rPr>
          <w:rFonts w:eastAsiaTheme="minorEastAsia" w:hint="eastAsia"/>
          <w:lang w:val="en-NZ" w:eastAsia="zh-CN"/>
        </w:rPr>
        <w:t>ing</w:t>
      </w:r>
      <w:r>
        <w:rPr>
          <w:lang w:val="en-NZ"/>
        </w:rPr>
        <w:t xml:space="preserve"> the Methods to satisfy AI 1.15.</w:t>
      </w:r>
    </w:p>
    <w:p w:rsidR="00F369B2" w:rsidRDefault="00F369B2" w:rsidP="00540C96">
      <w:pPr>
        <w:ind w:left="720"/>
        <w:jc w:val="both"/>
        <w:rPr>
          <w:lang w:val="en-NZ"/>
        </w:rPr>
      </w:pPr>
    </w:p>
    <w:p w:rsidR="00B64A60" w:rsidRPr="00710333" w:rsidRDefault="00B64A60" w:rsidP="00E75714">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E0" w:rsidRDefault="009604E0">
      <w:r>
        <w:separator/>
      </w:r>
    </w:p>
  </w:endnote>
  <w:endnote w:type="continuationSeparator" w:id="0">
    <w:p w:rsidR="009604E0" w:rsidRDefault="0096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B" w:rsidRDefault="00DB50BB" w:rsidP="002C07DA">
    <w:pPr>
      <w:pStyle w:val="Footer"/>
      <w:framePr w:wrap="around" w:vAnchor="text" w:hAnchor="margin" w:xAlign="right" w:y="1"/>
      <w:rPr>
        <w:rStyle w:val="PageNumber"/>
      </w:rPr>
    </w:pPr>
    <w:r>
      <w:rPr>
        <w:rStyle w:val="PageNumber"/>
      </w:rPr>
      <w:fldChar w:fldCharType="begin"/>
    </w:r>
    <w:r w:rsidR="004D031B">
      <w:rPr>
        <w:rStyle w:val="PageNumber"/>
      </w:rPr>
      <w:instrText xml:space="preserve">PAGE  </w:instrText>
    </w:r>
    <w:r>
      <w:rPr>
        <w:rStyle w:val="PageNumber"/>
      </w:rPr>
      <w:fldChar w:fldCharType="end"/>
    </w:r>
  </w:p>
  <w:p w:rsidR="004D031B" w:rsidRDefault="004D031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B" w:rsidRDefault="00993B3A" w:rsidP="00993B3A">
    <w:pPr>
      <w:pStyle w:val="Footer"/>
      <w:ind w:right="360"/>
    </w:pPr>
    <w:r>
      <w:rPr>
        <w:rFonts w:hint="eastAsia"/>
        <w:lang w:eastAsia="ko-KR"/>
      </w:rPr>
      <w:t>A</w:t>
    </w:r>
    <w:r>
      <w:rPr>
        <w:lang w:eastAsia="ko-KR"/>
      </w:rPr>
      <w:t>PG19-2/OUT-33</w:t>
    </w:r>
    <w:r>
      <w:rPr>
        <w:lang w:eastAsia="ko-KR"/>
      </w:rPr>
      <w:tab/>
    </w:r>
    <w:r>
      <w:rPr>
        <w:lang w:eastAsia="ko-KR"/>
      </w:rPr>
      <w:tab/>
    </w:r>
    <w:r w:rsidR="004D031B" w:rsidRPr="002C7EA9">
      <w:rPr>
        <w:rStyle w:val="PageNumber"/>
      </w:rPr>
      <w:t xml:space="preserve">Page </w:t>
    </w:r>
    <w:r w:rsidR="00DB50BB" w:rsidRPr="002C7EA9">
      <w:rPr>
        <w:rStyle w:val="PageNumber"/>
      </w:rPr>
      <w:fldChar w:fldCharType="begin"/>
    </w:r>
    <w:r w:rsidR="004D031B" w:rsidRPr="002C7EA9">
      <w:rPr>
        <w:rStyle w:val="PageNumber"/>
      </w:rPr>
      <w:instrText xml:space="preserve"> PAGE </w:instrText>
    </w:r>
    <w:r w:rsidR="00DB50BB" w:rsidRPr="002C7EA9">
      <w:rPr>
        <w:rStyle w:val="PageNumber"/>
      </w:rPr>
      <w:fldChar w:fldCharType="separate"/>
    </w:r>
    <w:r>
      <w:rPr>
        <w:rStyle w:val="PageNumber"/>
        <w:noProof/>
      </w:rPr>
      <w:t>4</w:t>
    </w:r>
    <w:r w:rsidR="00DB50BB" w:rsidRPr="002C7EA9">
      <w:rPr>
        <w:rStyle w:val="PageNumber"/>
      </w:rPr>
      <w:fldChar w:fldCharType="end"/>
    </w:r>
    <w:r w:rsidR="004D031B" w:rsidRPr="002C7EA9">
      <w:rPr>
        <w:rStyle w:val="PageNumber"/>
      </w:rPr>
      <w:t xml:space="preserve"> of </w:t>
    </w:r>
    <w:r w:rsidR="00DB50BB" w:rsidRPr="002C7EA9">
      <w:rPr>
        <w:rStyle w:val="PageNumber"/>
      </w:rPr>
      <w:fldChar w:fldCharType="begin"/>
    </w:r>
    <w:r w:rsidR="004D031B" w:rsidRPr="002C7EA9">
      <w:rPr>
        <w:rStyle w:val="PageNumber"/>
      </w:rPr>
      <w:instrText xml:space="preserve"> NUMPAGES </w:instrText>
    </w:r>
    <w:r w:rsidR="00DB50BB" w:rsidRPr="002C7EA9">
      <w:rPr>
        <w:rStyle w:val="PageNumber"/>
      </w:rPr>
      <w:fldChar w:fldCharType="separate"/>
    </w:r>
    <w:r>
      <w:rPr>
        <w:rStyle w:val="PageNumber"/>
        <w:noProof/>
      </w:rPr>
      <w:t>4</w:t>
    </w:r>
    <w:r w:rsidR="00DB50BB"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D031B">
      <w:trPr>
        <w:cantSplit/>
        <w:trHeight w:val="204"/>
        <w:jc w:val="center"/>
      </w:trPr>
      <w:tc>
        <w:tcPr>
          <w:tcW w:w="1617" w:type="dxa"/>
          <w:tcBorders>
            <w:top w:val="single" w:sz="12" w:space="0" w:color="auto"/>
          </w:tcBorders>
        </w:tcPr>
        <w:p w:rsidR="004D031B" w:rsidRDefault="004D031B" w:rsidP="00762576">
          <w:pPr>
            <w:rPr>
              <w:b/>
              <w:bCs/>
            </w:rPr>
          </w:pPr>
        </w:p>
      </w:tc>
      <w:tc>
        <w:tcPr>
          <w:tcW w:w="4394" w:type="dxa"/>
          <w:tcBorders>
            <w:top w:val="single" w:sz="12" w:space="0" w:color="auto"/>
          </w:tcBorders>
        </w:tcPr>
        <w:p w:rsidR="004D031B" w:rsidRDefault="004D031B" w:rsidP="00762576">
          <w:pPr>
            <w:rPr>
              <w:rFonts w:eastAsia="Batang"/>
            </w:rPr>
          </w:pPr>
        </w:p>
      </w:tc>
      <w:tc>
        <w:tcPr>
          <w:tcW w:w="3912" w:type="dxa"/>
          <w:tcBorders>
            <w:top w:val="single" w:sz="12" w:space="0" w:color="auto"/>
          </w:tcBorders>
        </w:tcPr>
        <w:p w:rsidR="004D031B" w:rsidRDefault="004D031B" w:rsidP="00762576">
          <w:pPr>
            <w:rPr>
              <w:lang w:eastAsia="ja-JP"/>
            </w:rPr>
          </w:pPr>
        </w:p>
      </w:tc>
    </w:tr>
  </w:tbl>
  <w:p w:rsidR="004D031B" w:rsidRDefault="004D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E0" w:rsidRDefault="009604E0">
      <w:r>
        <w:separator/>
      </w:r>
    </w:p>
  </w:footnote>
  <w:footnote w:type="continuationSeparator" w:id="0">
    <w:p w:rsidR="009604E0" w:rsidRDefault="0096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B" w:rsidRDefault="004D031B" w:rsidP="00C15633">
    <w:pPr>
      <w:pStyle w:val="Header"/>
      <w:tabs>
        <w:tab w:val="center" w:pos="4763"/>
        <w:tab w:val="left" w:pos="5820"/>
      </w:tabs>
      <w:rPr>
        <w:lang w:eastAsia="ko-KR"/>
      </w:rPr>
    </w:pPr>
    <w:r>
      <w:rPr>
        <w:lang w:eastAsia="ko-KR"/>
      </w:rPr>
      <w:tab/>
    </w:r>
  </w:p>
  <w:p w:rsidR="004D031B" w:rsidRDefault="004D031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3F7EA2"/>
    <w:multiLevelType w:val="hybridMultilevel"/>
    <w:tmpl w:val="A670B8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14D5F3D"/>
    <w:multiLevelType w:val="hybridMultilevel"/>
    <w:tmpl w:val="0C72EB7E"/>
    <w:lvl w:ilvl="0" w:tplc="1102E760">
      <w:start w:val="1"/>
      <w:numFmt w:val="decimal"/>
      <w:lvlText w:val="%1."/>
      <w:lvlJc w:val="right"/>
      <w:pPr>
        <w:ind w:left="800" w:hanging="400"/>
      </w:pPr>
      <w:rPr>
        <w:rFonts w:hint="default"/>
        <w:b w:val="0"/>
        <w:i/>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D2F97"/>
    <w:multiLevelType w:val="hybridMultilevel"/>
    <w:tmpl w:val="BB8691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3172F12"/>
    <w:multiLevelType w:val="hybridMultilevel"/>
    <w:tmpl w:val="01DEFB2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67AA30DB"/>
    <w:multiLevelType w:val="hybridMultilevel"/>
    <w:tmpl w:val="4112A29A"/>
    <w:lvl w:ilvl="0" w:tplc="D294FB6E">
      <w:start w:val="1"/>
      <w:numFmt w:val="bullet"/>
      <w:lvlText w:val="-"/>
      <w:lvlJc w:val="left"/>
      <w:pPr>
        <w:ind w:left="1080" w:hanging="360"/>
      </w:pPr>
      <w:rPr>
        <w:rFonts w:ascii="Times New Roman" w:eastAsia="Batang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2CD7B2D"/>
    <w:multiLevelType w:val="multilevel"/>
    <w:tmpl w:val="45E84C6E"/>
    <w:lvl w:ilvl="0">
      <w:start w:val="1"/>
      <w:numFmt w:val="decimal"/>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623936"/>
    <w:multiLevelType w:val="hybridMultilevel"/>
    <w:tmpl w:val="AF7C96B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20"/>
  </w:num>
  <w:num w:numId="5">
    <w:abstractNumId w:val="9"/>
  </w:num>
  <w:num w:numId="6">
    <w:abstractNumId w:val="11"/>
  </w:num>
  <w:num w:numId="7">
    <w:abstractNumId w:val="3"/>
  </w:num>
  <w:num w:numId="8">
    <w:abstractNumId w:val="1"/>
  </w:num>
  <w:num w:numId="9">
    <w:abstractNumId w:val="24"/>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15"/>
  </w:num>
  <w:num w:numId="18">
    <w:abstractNumId w:val="12"/>
  </w:num>
  <w:num w:numId="19">
    <w:abstractNumId w:val="23"/>
  </w:num>
  <w:num w:numId="20">
    <w:abstractNumId w:val="8"/>
  </w:num>
  <w:num w:numId="21">
    <w:abstractNumId w:val="17"/>
  </w:num>
  <w:num w:numId="22">
    <w:abstractNumId w:val="21"/>
  </w:num>
  <w:num w:numId="23">
    <w:abstractNumId w:val="19"/>
  </w:num>
  <w:num w:numId="24">
    <w:abstractNumId w:val="13"/>
  </w:num>
  <w:num w:numId="25">
    <w:abstractNumId w:val="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5F58"/>
    <w:rsid w:val="00036517"/>
    <w:rsid w:val="00036CC9"/>
    <w:rsid w:val="000479D2"/>
    <w:rsid w:val="00051FA5"/>
    <w:rsid w:val="00070642"/>
    <w:rsid w:val="000713CF"/>
    <w:rsid w:val="00075C14"/>
    <w:rsid w:val="000822B5"/>
    <w:rsid w:val="00094B87"/>
    <w:rsid w:val="000A012B"/>
    <w:rsid w:val="000A5418"/>
    <w:rsid w:val="000C7502"/>
    <w:rsid w:val="000E0308"/>
    <w:rsid w:val="000F345F"/>
    <w:rsid w:val="000F4ED2"/>
    <w:rsid w:val="000F4F36"/>
    <w:rsid w:val="000F517C"/>
    <w:rsid w:val="000F5540"/>
    <w:rsid w:val="00105F1A"/>
    <w:rsid w:val="00126DBD"/>
    <w:rsid w:val="001409B2"/>
    <w:rsid w:val="00152636"/>
    <w:rsid w:val="001539DD"/>
    <w:rsid w:val="00156782"/>
    <w:rsid w:val="001655FE"/>
    <w:rsid w:val="001731F4"/>
    <w:rsid w:val="00187974"/>
    <w:rsid w:val="00196568"/>
    <w:rsid w:val="00197C18"/>
    <w:rsid w:val="001A2F16"/>
    <w:rsid w:val="001B1804"/>
    <w:rsid w:val="001B18C2"/>
    <w:rsid w:val="001B4C3B"/>
    <w:rsid w:val="001C61A5"/>
    <w:rsid w:val="001C6707"/>
    <w:rsid w:val="001D5D7E"/>
    <w:rsid w:val="001E7296"/>
    <w:rsid w:val="001F5947"/>
    <w:rsid w:val="00202410"/>
    <w:rsid w:val="00214A0C"/>
    <w:rsid w:val="0021588B"/>
    <w:rsid w:val="002216AC"/>
    <w:rsid w:val="0024068F"/>
    <w:rsid w:val="002506D2"/>
    <w:rsid w:val="00250DE2"/>
    <w:rsid w:val="00254A1B"/>
    <w:rsid w:val="0026064A"/>
    <w:rsid w:val="0028454D"/>
    <w:rsid w:val="00291C9E"/>
    <w:rsid w:val="002926D4"/>
    <w:rsid w:val="00296AD5"/>
    <w:rsid w:val="002972FC"/>
    <w:rsid w:val="0029757D"/>
    <w:rsid w:val="002B06A3"/>
    <w:rsid w:val="002B435C"/>
    <w:rsid w:val="002B447F"/>
    <w:rsid w:val="002C07DA"/>
    <w:rsid w:val="002C7EA9"/>
    <w:rsid w:val="002D58F6"/>
    <w:rsid w:val="002F575D"/>
    <w:rsid w:val="003113D7"/>
    <w:rsid w:val="00320C85"/>
    <w:rsid w:val="003273CD"/>
    <w:rsid w:val="0033040E"/>
    <w:rsid w:val="00342F20"/>
    <w:rsid w:val="00343B44"/>
    <w:rsid w:val="00344612"/>
    <w:rsid w:val="00360377"/>
    <w:rsid w:val="00366548"/>
    <w:rsid w:val="003809C7"/>
    <w:rsid w:val="0038236C"/>
    <w:rsid w:val="003920C4"/>
    <w:rsid w:val="00395B40"/>
    <w:rsid w:val="003A6568"/>
    <w:rsid w:val="003B6263"/>
    <w:rsid w:val="003C29E6"/>
    <w:rsid w:val="003C64A7"/>
    <w:rsid w:val="003D1671"/>
    <w:rsid w:val="003D3FDA"/>
    <w:rsid w:val="003D6D00"/>
    <w:rsid w:val="003E166F"/>
    <w:rsid w:val="004001E5"/>
    <w:rsid w:val="00420822"/>
    <w:rsid w:val="00420C74"/>
    <w:rsid w:val="00424AE5"/>
    <w:rsid w:val="004465AA"/>
    <w:rsid w:val="00451DD5"/>
    <w:rsid w:val="0045458F"/>
    <w:rsid w:val="004633B4"/>
    <w:rsid w:val="00487CCC"/>
    <w:rsid w:val="004A2F96"/>
    <w:rsid w:val="004B3553"/>
    <w:rsid w:val="004B3F4B"/>
    <w:rsid w:val="004C7F7D"/>
    <w:rsid w:val="004D031B"/>
    <w:rsid w:val="004E5E2A"/>
    <w:rsid w:val="0050270C"/>
    <w:rsid w:val="00503189"/>
    <w:rsid w:val="00526D01"/>
    <w:rsid w:val="00530E8C"/>
    <w:rsid w:val="00540C96"/>
    <w:rsid w:val="00545933"/>
    <w:rsid w:val="00552105"/>
    <w:rsid w:val="005562F2"/>
    <w:rsid w:val="00557544"/>
    <w:rsid w:val="00565BBB"/>
    <w:rsid w:val="00585F3C"/>
    <w:rsid w:val="00586CA0"/>
    <w:rsid w:val="00587875"/>
    <w:rsid w:val="005A63EB"/>
    <w:rsid w:val="005C33B6"/>
    <w:rsid w:val="005D6202"/>
    <w:rsid w:val="005D6E98"/>
    <w:rsid w:val="005F6FE8"/>
    <w:rsid w:val="00607E2B"/>
    <w:rsid w:val="006139D6"/>
    <w:rsid w:val="00616D1B"/>
    <w:rsid w:val="00623CE1"/>
    <w:rsid w:val="0063062B"/>
    <w:rsid w:val="00637351"/>
    <w:rsid w:val="00646166"/>
    <w:rsid w:val="006506E5"/>
    <w:rsid w:val="00654896"/>
    <w:rsid w:val="0065753B"/>
    <w:rsid w:val="006621F0"/>
    <w:rsid w:val="006647BA"/>
    <w:rsid w:val="00667229"/>
    <w:rsid w:val="00673507"/>
    <w:rsid w:val="006823BE"/>
    <w:rsid w:val="00682BE5"/>
    <w:rsid w:val="00690F59"/>
    <w:rsid w:val="00690FED"/>
    <w:rsid w:val="0069397E"/>
    <w:rsid w:val="006939A3"/>
    <w:rsid w:val="006939A5"/>
    <w:rsid w:val="006B3C2C"/>
    <w:rsid w:val="006C2FCD"/>
    <w:rsid w:val="006D5223"/>
    <w:rsid w:val="006E12FC"/>
    <w:rsid w:val="006F2B2E"/>
    <w:rsid w:val="00705962"/>
    <w:rsid w:val="00706037"/>
    <w:rsid w:val="00707C21"/>
    <w:rsid w:val="00712451"/>
    <w:rsid w:val="00717DE9"/>
    <w:rsid w:val="0072518B"/>
    <w:rsid w:val="00731041"/>
    <w:rsid w:val="007329E4"/>
    <w:rsid w:val="00732F08"/>
    <w:rsid w:val="007342F0"/>
    <w:rsid w:val="0074190C"/>
    <w:rsid w:val="00746174"/>
    <w:rsid w:val="00762576"/>
    <w:rsid w:val="007673CA"/>
    <w:rsid w:val="00771A53"/>
    <w:rsid w:val="00791060"/>
    <w:rsid w:val="007B5626"/>
    <w:rsid w:val="007B6124"/>
    <w:rsid w:val="007D3C53"/>
    <w:rsid w:val="007F0A28"/>
    <w:rsid w:val="007F2628"/>
    <w:rsid w:val="007F2FBA"/>
    <w:rsid w:val="00800C3A"/>
    <w:rsid w:val="0080570B"/>
    <w:rsid w:val="008148E1"/>
    <w:rsid w:val="008200DB"/>
    <w:rsid w:val="008319BF"/>
    <w:rsid w:val="00832619"/>
    <w:rsid w:val="008433C2"/>
    <w:rsid w:val="00844457"/>
    <w:rsid w:val="008454C8"/>
    <w:rsid w:val="00851D78"/>
    <w:rsid w:val="00855320"/>
    <w:rsid w:val="00865488"/>
    <w:rsid w:val="00867C2E"/>
    <w:rsid w:val="00875753"/>
    <w:rsid w:val="00881F41"/>
    <w:rsid w:val="0088355F"/>
    <w:rsid w:val="008A1A0D"/>
    <w:rsid w:val="008A76ED"/>
    <w:rsid w:val="008B3C72"/>
    <w:rsid w:val="008B7F42"/>
    <w:rsid w:val="008D0E09"/>
    <w:rsid w:val="00903007"/>
    <w:rsid w:val="00913633"/>
    <w:rsid w:val="00923816"/>
    <w:rsid w:val="0093074B"/>
    <w:rsid w:val="00930E64"/>
    <w:rsid w:val="00942284"/>
    <w:rsid w:val="009569B7"/>
    <w:rsid w:val="00956F8C"/>
    <w:rsid w:val="0096036B"/>
    <w:rsid w:val="009604E0"/>
    <w:rsid w:val="00961D57"/>
    <w:rsid w:val="00976716"/>
    <w:rsid w:val="0097693B"/>
    <w:rsid w:val="00983EEE"/>
    <w:rsid w:val="00993355"/>
    <w:rsid w:val="00993B3A"/>
    <w:rsid w:val="0099537F"/>
    <w:rsid w:val="009963F7"/>
    <w:rsid w:val="009A4A6D"/>
    <w:rsid w:val="009E13DD"/>
    <w:rsid w:val="00A0503B"/>
    <w:rsid w:val="00A13265"/>
    <w:rsid w:val="00A139A8"/>
    <w:rsid w:val="00A14900"/>
    <w:rsid w:val="00A2159F"/>
    <w:rsid w:val="00A529BC"/>
    <w:rsid w:val="00A5346C"/>
    <w:rsid w:val="00A562F0"/>
    <w:rsid w:val="00A564FB"/>
    <w:rsid w:val="00A614C1"/>
    <w:rsid w:val="00A71136"/>
    <w:rsid w:val="00A809FF"/>
    <w:rsid w:val="00AA474C"/>
    <w:rsid w:val="00AB26DF"/>
    <w:rsid w:val="00AB316C"/>
    <w:rsid w:val="00AB7A16"/>
    <w:rsid w:val="00AC35EF"/>
    <w:rsid w:val="00AC74BD"/>
    <w:rsid w:val="00AD2697"/>
    <w:rsid w:val="00AD3C47"/>
    <w:rsid w:val="00AD7BD9"/>
    <w:rsid w:val="00AD7E5F"/>
    <w:rsid w:val="00AE0752"/>
    <w:rsid w:val="00AE3066"/>
    <w:rsid w:val="00AF6572"/>
    <w:rsid w:val="00AF68E4"/>
    <w:rsid w:val="00B01AA1"/>
    <w:rsid w:val="00B2765E"/>
    <w:rsid w:val="00B30C81"/>
    <w:rsid w:val="00B4793B"/>
    <w:rsid w:val="00B64A60"/>
    <w:rsid w:val="00B71BEC"/>
    <w:rsid w:val="00B81270"/>
    <w:rsid w:val="00B937D7"/>
    <w:rsid w:val="00B96B67"/>
    <w:rsid w:val="00BA599C"/>
    <w:rsid w:val="00BC57EF"/>
    <w:rsid w:val="00BF25F9"/>
    <w:rsid w:val="00C13FD5"/>
    <w:rsid w:val="00C15633"/>
    <w:rsid w:val="00C15799"/>
    <w:rsid w:val="00C32E84"/>
    <w:rsid w:val="00C35415"/>
    <w:rsid w:val="00C357AD"/>
    <w:rsid w:val="00C361AA"/>
    <w:rsid w:val="00C40D53"/>
    <w:rsid w:val="00C4219B"/>
    <w:rsid w:val="00C554CC"/>
    <w:rsid w:val="00C6069C"/>
    <w:rsid w:val="00C74745"/>
    <w:rsid w:val="00C85119"/>
    <w:rsid w:val="00C951EA"/>
    <w:rsid w:val="00CB4454"/>
    <w:rsid w:val="00CD2E73"/>
    <w:rsid w:val="00CD320B"/>
    <w:rsid w:val="00CD3F37"/>
    <w:rsid w:val="00CD5431"/>
    <w:rsid w:val="00CE4B93"/>
    <w:rsid w:val="00CF2491"/>
    <w:rsid w:val="00CF3963"/>
    <w:rsid w:val="00D1252E"/>
    <w:rsid w:val="00D13D9D"/>
    <w:rsid w:val="00D2365F"/>
    <w:rsid w:val="00D459A2"/>
    <w:rsid w:val="00D530FF"/>
    <w:rsid w:val="00D53688"/>
    <w:rsid w:val="00D5407A"/>
    <w:rsid w:val="00D568E7"/>
    <w:rsid w:val="00D57772"/>
    <w:rsid w:val="00D72AE3"/>
    <w:rsid w:val="00D75A4D"/>
    <w:rsid w:val="00D8478B"/>
    <w:rsid w:val="00D86151"/>
    <w:rsid w:val="00D908EE"/>
    <w:rsid w:val="00D9172D"/>
    <w:rsid w:val="00DA7595"/>
    <w:rsid w:val="00DB0A68"/>
    <w:rsid w:val="00DB3F76"/>
    <w:rsid w:val="00DB50BB"/>
    <w:rsid w:val="00DC43A3"/>
    <w:rsid w:val="00DC4CF3"/>
    <w:rsid w:val="00DC5C01"/>
    <w:rsid w:val="00DD4E81"/>
    <w:rsid w:val="00DD7C09"/>
    <w:rsid w:val="00E0124F"/>
    <w:rsid w:val="00E23F74"/>
    <w:rsid w:val="00E2791F"/>
    <w:rsid w:val="00E674D3"/>
    <w:rsid w:val="00E70FD0"/>
    <w:rsid w:val="00E75714"/>
    <w:rsid w:val="00E77C4B"/>
    <w:rsid w:val="00E9301F"/>
    <w:rsid w:val="00E9690A"/>
    <w:rsid w:val="00E97DC7"/>
    <w:rsid w:val="00EA383B"/>
    <w:rsid w:val="00EC76F8"/>
    <w:rsid w:val="00ED52F0"/>
    <w:rsid w:val="00F000EF"/>
    <w:rsid w:val="00F04E6C"/>
    <w:rsid w:val="00F2504E"/>
    <w:rsid w:val="00F2585B"/>
    <w:rsid w:val="00F369B2"/>
    <w:rsid w:val="00F4053F"/>
    <w:rsid w:val="00F516E7"/>
    <w:rsid w:val="00F57BF7"/>
    <w:rsid w:val="00F62391"/>
    <w:rsid w:val="00F6263E"/>
    <w:rsid w:val="00F627C2"/>
    <w:rsid w:val="00F72422"/>
    <w:rsid w:val="00F75122"/>
    <w:rsid w:val="00F84067"/>
    <w:rsid w:val="00FA50B4"/>
    <w:rsid w:val="00FC156A"/>
    <w:rsid w:val="00FD6235"/>
    <w:rsid w:val="00FE3DE5"/>
    <w:rsid w:val="00FF7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298BF5-8214-4D23-B1B5-697AC7F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936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P7C-C-0147/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WP5C-C-0292/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5A-C-0469/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5-WP1A-C-020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5-WP1A-C-0208/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D2B3-65F7-4BB1-9915-48A4C2E8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2017-07-21T05:57:00Z</dcterms:created>
  <dcterms:modified xsi:type="dcterms:W3CDTF">2017-07-24T03:51:00Z</dcterms:modified>
</cp:coreProperties>
</file>