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27CCB" w14:paraId="73E4C0C3" w14:textId="77777777" w:rsidTr="007D7378">
        <w:trPr>
          <w:cantSplit/>
        </w:trPr>
        <w:tc>
          <w:tcPr>
            <w:tcW w:w="1399" w:type="dxa"/>
            <w:vMerge w:val="restart"/>
          </w:tcPr>
          <w:p w14:paraId="41AAFC28" w14:textId="77777777" w:rsidR="00CF3963" w:rsidRPr="00827CCB" w:rsidRDefault="00CF3963" w:rsidP="007D7378">
            <w:pPr>
              <w:pStyle w:val="Note"/>
              <w:widowControl w:val="0"/>
              <w:tabs>
                <w:tab w:val="clear" w:pos="284"/>
                <w:tab w:val="clear" w:pos="1134"/>
                <w:tab w:val="clear" w:pos="1871"/>
                <w:tab w:val="clear" w:pos="2268"/>
              </w:tabs>
              <w:wordWrap w:val="0"/>
              <w:spacing w:before="0"/>
              <w:rPr>
                <w:noProof w:val="0"/>
                <w:kern w:val="2"/>
                <w:sz w:val="24"/>
                <w:szCs w:val="24"/>
              </w:rPr>
            </w:pPr>
            <w:r w:rsidRPr="00827CCB">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827CCB" w:rsidRDefault="00CF3963" w:rsidP="007D7378">
            <w:r w:rsidRPr="00827CCB">
              <w:t>ASIA-PACIFIC TELECOMMUNITY</w:t>
            </w:r>
          </w:p>
        </w:tc>
        <w:tc>
          <w:tcPr>
            <w:tcW w:w="2700" w:type="dxa"/>
          </w:tcPr>
          <w:p w14:paraId="0D82F459" w14:textId="77777777" w:rsidR="00CF3963" w:rsidRPr="00827CCB" w:rsidRDefault="00CF3963" w:rsidP="007D7378">
            <w:pPr>
              <w:rPr>
                <w:b/>
                <w:bCs/>
                <w:lang w:val="fr-FR"/>
              </w:rPr>
            </w:pPr>
            <w:r w:rsidRPr="00827CCB">
              <w:rPr>
                <w:b/>
                <w:lang w:val="fr-FR"/>
              </w:rPr>
              <w:t xml:space="preserve">Document: </w:t>
            </w:r>
          </w:p>
        </w:tc>
      </w:tr>
      <w:tr w:rsidR="00CF3963" w:rsidRPr="00827CCB" w14:paraId="448FBFF1" w14:textId="77777777" w:rsidTr="007D7378">
        <w:trPr>
          <w:cantSplit/>
        </w:trPr>
        <w:tc>
          <w:tcPr>
            <w:tcW w:w="1399" w:type="dxa"/>
            <w:vMerge/>
          </w:tcPr>
          <w:p w14:paraId="29C3EF27" w14:textId="77777777" w:rsidR="00CF3963" w:rsidRPr="00827CCB" w:rsidRDefault="00CF3963" w:rsidP="007D7378"/>
        </w:tc>
        <w:tc>
          <w:tcPr>
            <w:tcW w:w="5720" w:type="dxa"/>
          </w:tcPr>
          <w:p w14:paraId="5CBA7DD0" w14:textId="77777777" w:rsidR="00CF3963" w:rsidRPr="00827CCB" w:rsidRDefault="00CF3963" w:rsidP="007D7378">
            <w:pPr>
              <w:spacing w:line="0" w:lineRule="atLeast"/>
            </w:pPr>
            <w:r w:rsidRPr="00827CCB">
              <w:rPr>
                <w:b/>
              </w:rPr>
              <w:t>The 2nd Meeting of the APT Conference Preparatory  Group for WRC-19 (APG19-2)</w:t>
            </w:r>
          </w:p>
        </w:tc>
        <w:tc>
          <w:tcPr>
            <w:tcW w:w="2700" w:type="dxa"/>
          </w:tcPr>
          <w:p w14:paraId="79797BCF" w14:textId="5C6B6EC6" w:rsidR="00CF3963" w:rsidRPr="00E23125" w:rsidRDefault="004475A5" w:rsidP="00E67B88">
            <w:pPr>
              <w:rPr>
                <w:b/>
                <w:bCs/>
                <w:lang w:val="fr-FR" w:eastAsia="ja-JP"/>
              </w:rPr>
            </w:pPr>
            <w:r>
              <w:rPr>
                <w:b/>
                <w:bCs/>
                <w:lang w:val="fr-FR"/>
              </w:rPr>
              <w:t>APG19-2</w:t>
            </w:r>
            <w:r>
              <w:rPr>
                <w:rFonts w:ascii="MS Mincho" w:eastAsia="MS Mincho" w:hAnsi="MS Mincho" w:cs="MS Mincho" w:hint="eastAsia"/>
                <w:b/>
                <w:bCs/>
                <w:lang w:val="fr-FR" w:eastAsia="ja-JP"/>
              </w:rPr>
              <w:t>/</w:t>
            </w:r>
            <w:r w:rsidR="00E67B88">
              <w:rPr>
                <w:rFonts w:eastAsia="MS Mincho"/>
                <w:b/>
                <w:bCs/>
                <w:lang w:val="fr-FR" w:eastAsia="ja-JP"/>
              </w:rPr>
              <w:t>OUT</w:t>
            </w:r>
            <w:r w:rsidR="00E23125">
              <w:rPr>
                <w:rFonts w:eastAsia="MS Mincho"/>
                <w:b/>
                <w:bCs/>
                <w:lang w:val="fr-FR" w:eastAsia="ja-JP"/>
              </w:rPr>
              <w:t>-</w:t>
            </w:r>
            <w:r w:rsidR="00E33D00">
              <w:rPr>
                <w:rFonts w:eastAsia="MS Mincho"/>
                <w:b/>
                <w:bCs/>
                <w:lang w:val="fr-FR" w:eastAsia="ja-JP"/>
              </w:rPr>
              <w:t>18</w:t>
            </w:r>
          </w:p>
        </w:tc>
      </w:tr>
      <w:tr w:rsidR="00CF3963" w:rsidRPr="00827CCB" w14:paraId="53A9E6D1" w14:textId="77777777" w:rsidTr="007D7378">
        <w:trPr>
          <w:cantSplit/>
          <w:trHeight w:val="219"/>
        </w:trPr>
        <w:tc>
          <w:tcPr>
            <w:tcW w:w="1399" w:type="dxa"/>
            <w:vMerge/>
          </w:tcPr>
          <w:p w14:paraId="59C3513F" w14:textId="77777777" w:rsidR="00CF3963" w:rsidRPr="00827CCB" w:rsidRDefault="00CF3963" w:rsidP="007D7378">
            <w:pPr>
              <w:rPr>
                <w:lang w:val="fr-FR"/>
              </w:rPr>
            </w:pPr>
          </w:p>
        </w:tc>
        <w:tc>
          <w:tcPr>
            <w:tcW w:w="5720" w:type="dxa"/>
          </w:tcPr>
          <w:p w14:paraId="3510CFC7" w14:textId="77777777" w:rsidR="00CF3963" w:rsidRPr="00827CCB" w:rsidRDefault="00CF3963" w:rsidP="007D7378">
            <w:r w:rsidRPr="00827CCB">
              <w:t>17 – 21 July 2017, Bali, Republic of Indonesia</w:t>
            </w:r>
          </w:p>
        </w:tc>
        <w:tc>
          <w:tcPr>
            <w:tcW w:w="2700" w:type="dxa"/>
          </w:tcPr>
          <w:p w14:paraId="60FFE2BA" w14:textId="7484BBA9" w:rsidR="00CF3963" w:rsidRPr="00827CCB" w:rsidRDefault="00E23125" w:rsidP="00E67B88">
            <w:pPr>
              <w:rPr>
                <w:b/>
              </w:rPr>
            </w:pPr>
            <w:r>
              <w:rPr>
                <w:b/>
              </w:rPr>
              <w:t>2</w:t>
            </w:r>
            <w:r w:rsidR="00E67B88">
              <w:rPr>
                <w:b/>
              </w:rPr>
              <w:t>1</w:t>
            </w:r>
            <w:r w:rsidR="00CF3963" w:rsidRPr="00827CCB">
              <w:rPr>
                <w:b/>
              </w:rPr>
              <w:t xml:space="preserve"> July 2017</w:t>
            </w:r>
          </w:p>
        </w:tc>
      </w:tr>
    </w:tbl>
    <w:p w14:paraId="2E0E673C" w14:textId="77777777" w:rsidR="00D13D9D" w:rsidRPr="00827CCB" w:rsidRDefault="00D13D9D" w:rsidP="00DA7595">
      <w:pPr>
        <w:rPr>
          <w:lang w:val="en-NZ" w:eastAsia="ko-KR"/>
        </w:rPr>
      </w:pPr>
    </w:p>
    <w:p w14:paraId="7DE0A182" w14:textId="77777777" w:rsidR="00311E8A" w:rsidRPr="00827CCB" w:rsidRDefault="00311E8A" w:rsidP="0072518B">
      <w:pPr>
        <w:jc w:val="center"/>
        <w:rPr>
          <w:b/>
          <w:lang w:val="en-NZ"/>
        </w:rPr>
      </w:pPr>
    </w:p>
    <w:p w14:paraId="2E0E6744" w14:textId="043A1F4D" w:rsidR="00B64A60" w:rsidRPr="00E23125" w:rsidRDefault="00E67B88" w:rsidP="00170C14">
      <w:pPr>
        <w:spacing w:after="120"/>
        <w:jc w:val="center"/>
        <w:rPr>
          <w:lang w:val="en-NZ" w:eastAsia="ko-KR"/>
        </w:rPr>
      </w:pPr>
      <w:r>
        <w:rPr>
          <w:lang w:val="en-NZ" w:eastAsia="ko-KR"/>
        </w:rPr>
        <w:t>Working Party 5</w:t>
      </w:r>
    </w:p>
    <w:p w14:paraId="2E0E6746" w14:textId="05DF006D" w:rsidR="00B64A60" w:rsidRPr="00827CCB" w:rsidRDefault="00B64A60" w:rsidP="00170C14">
      <w:pPr>
        <w:spacing w:after="120"/>
        <w:jc w:val="center"/>
        <w:rPr>
          <w:b/>
          <w:bCs/>
          <w:caps/>
          <w:lang w:val="en-NZ"/>
        </w:rPr>
      </w:pPr>
      <w:r w:rsidRPr="00827CCB">
        <w:rPr>
          <w:b/>
          <w:bCs/>
          <w:caps/>
          <w:lang w:val="en-NZ"/>
        </w:rPr>
        <w:t xml:space="preserve">PRELIMINARY VIEWs on </w:t>
      </w:r>
      <w:r w:rsidR="00941EDE" w:rsidRPr="00827CCB">
        <w:rPr>
          <w:b/>
          <w:bCs/>
          <w:caps/>
          <w:lang w:val="en-NZ"/>
        </w:rPr>
        <w:t>WRC-19 agenda item 1.9.2</w:t>
      </w:r>
    </w:p>
    <w:p w14:paraId="2E0E6747" w14:textId="77777777" w:rsidR="00B64A60" w:rsidRPr="00827CCB" w:rsidRDefault="00B64A60" w:rsidP="00B64A60">
      <w:pPr>
        <w:rPr>
          <w:lang w:val="en-NZ"/>
        </w:rPr>
      </w:pPr>
    </w:p>
    <w:p w14:paraId="25B84F27" w14:textId="77777777" w:rsidR="00E23125" w:rsidRDefault="00E23125" w:rsidP="00B64A60">
      <w:pPr>
        <w:jc w:val="both"/>
        <w:rPr>
          <w:b/>
          <w:lang w:val="en-NZ"/>
        </w:rPr>
      </w:pPr>
    </w:p>
    <w:p w14:paraId="2E0E6748" w14:textId="49BF88CE" w:rsidR="00B64A60" w:rsidRPr="00827CCB" w:rsidRDefault="00941EDE" w:rsidP="00B64A60">
      <w:pPr>
        <w:jc w:val="both"/>
        <w:rPr>
          <w:lang w:val="en-NZ"/>
        </w:rPr>
      </w:pPr>
      <w:r w:rsidRPr="00827CCB">
        <w:rPr>
          <w:b/>
          <w:lang w:val="en-NZ"/>
        </w:rPr>
        <w:t>Agenda Item 1.9.2</w:t>
      </w:r>
      <w:r w:rsidR="00B64A60" w:rsidRPr="00827CCB">
        <w:rPr>
          <w:b/>
          <w:lang w:val="en-NZ"/>
        </w:rPr>
        <w:t xml:space="preserve">: </w:t>
      </w:r>
    </w:p>
    <w:p w14:paraId="70B5FBEB" w14:textId="77777777" w:rsidR="001677FC" w:rsidRPr="00827CCB" w:rsidRDefault="001677FC" w:rsidP="00941EDE">
      <w:pPr>
        <w:rPr>
          <w:i/>
        </w:rPr>
      </w:pPr>
    </w:p>
    <w:p w14:paraId="44305598" w14:textId="681109E8" w:rsidR="00941EDE" w:rsidRPr="00827CCB" w:rsidRDefault="00941EDE" w:rsidP="00941EDE">
      <w:pPr>
        <w:rPr>
          <w:i/>
        </w:rPr>
      </w:pPr>
      <w:r w:rsidRPr="00827CCB">
        <w:rPr>
          <w:i/>
        </w:rPr>
        <w:t>1.9</w:t>
      </w:r>
      <w:r w:rsidRPr="00827CCB">
        <w:rPr>
          <w:i/>
        </w:rPr>
        <w:tab/>
      </w:r>
      <w:r w:rsidRPr="00827CCB">
        <w:rPr>
          <w:i/>
          <w:lang w:eastAsia="nl-NL"/>
        </w:rPr>
        <w:t>to consider, based on the results of ITU</w:t>
      </w:r>
      <w:r w:rsidRPr="00827CCB">
        <w:rPr>
          <w:i/>
          <w:lang w:eastAsia="nl-NL"/>
        </w:rPr>
        <w:noBreakHyphen/>
        <w:t>R studies:</w:t>
      </w:r>
    </w:p>
    <w:p w14:paraId="49F23DC7" w14:textId="77777777" w:rsidR="00941EDE" w:rsidRPr="00827CCB" w:rsidRDefault="00941EDE" w:rsidP="00941EDE">
      <w:pPr>
        <w:rPr>
          <w:i/>
        </w:rPr>
      </w:pPr>
      <w:r w:rsidRPr="00827CCB">
        <w:rPr>
          <w:i/>
        </w:rPr>
        <w:t>1.9.2</w:t>
      </w:r>
      <w:r w:rsidRPr="00827CCB">
        <w:rPr>
          <w:i/>
        </w:rPr>
        <w:tab/>
      </w:r>
      <w:r w:rsidRPr="00827CCB">
        <w:rPr>
          <w:i/>
          <w:lang w:eastAsia="nl-NL"/>
        </w:rPr>
        <w:t>modifications of the Radio Regulations, including new spectrum allocations to the maritime mobile-satellite service (Earth</w:t>
      </w:r>
      <w:r w:rsidRPr="00827CCB">
        <w:rPr>
          <w:i/>
          <w:lang w:eastAsia="nl-NL"/>
        </w:rPr>
        <w:noBreakHyphen/>
        <w:t>to</w:t>
      </w:r>
      <w:r w:rsidRPr="00827CCB">
        <w:rPr>
          <w:i/>
          <w:lang w:eastAsia="nl-NL"/>
        </w:rPr>
        <w:noBreakHyphen/>
        <w:t xml:space="preserve">space and space-to-Earth), preferably within the frequency bands </w:t>
      </w:r>
      <w:r w:rsidRPr="00827CCB">
        <w:rPr>
          <w:i/>
        </w:rPr>
        <w:t>156.0125-157.4375 MHz and 160.6125-162.0375 MHz</w:t>
      </w:r>
      <w:r w:rsidRPr="00827CCB">
        <w:rPr>
          <w:i/>
          <w:lang w:eastAsia="nl-NL"/>
        </w:rPr>
        <w:t xml:space="preserve"> of Appendix</w:t>
      </w:r>
      <w:r w:rsidRPr="00827CCB">
        <w:rPr>
          <w:i/>
        </w:rPr>
        <w:t> </w:t>
      </w:r>
      <w:r w:rsidRPr="00827CCB">
        <w:rPr>
          <w:b/>
          <w:bCs/>
          <w:i/>
          <w:lang w:eastAsia="nl-NL"/>
        </w:rPr>
        <w:t>18</w:t>
      </w:r>
      <w:r w:rsidRPr="00827CCB">
        <w:rPr>
          <w:i/>
          <w:lang w:eastAsia="nl-NL"/>
        </w:rPr>
        <w:t>, to enable</w:t>
      </w:r>
      <w:r w:rsidRPr="00827CCB">
        <w:rPr>
          <w:i/>
        </w:rPr>
        <w:t xml:space="preserve"> a new VHF data exchange system (VDES) satellite component</w:t>
      </w:r>
      <w:r w:rsidRPr="00827CCB">
        <w:rPr>
          <w:i/>
          <w:lang w:eastAsia="nl-NL"/>
        </w:rPr>
        <w:t xml:space="preserve">, while ensuring that this component will not degrade the current terrestrial VDES components, applications specific messages (ASM) and AIS operations and </w:t>
      </w:r>
      <w:r w:rsidRPr="00827CCB">
        <w:rPr>
          <w:i/>
        </w:rPr>
        <w:t xml:space="preserve">not impose any additional constraints on existing services in these and adjacent frequency bands as stated in recognizing d) and e) </w:t>
      </w:r>
      <w:r w:rsidRPr="00827CCB">
        <w:rPr>
          <w:i/>
          <w:iCs/>
        </w:rPr>
        <w:t>of Resolution </w:t>
      </w:r>
      <w:r w:rsidRPr="00827CCB">
        <w:rPr>
          <w:b/>
          <w:bCs/>
          <w:i/>
          <w:iCs/>
        </w:rPr>
        <w:t>360</w:t>
      </w:r>
      <w:r w:rsidRPr="00827CCB">
        <w:rPr>
          <w:i/>
          <w:iCs/>
        </w:rPr>
        <w:t xml:space="preserve"> (</w:t>
      </w:r>
      <w:r w:rsidRPr="00827CCB">
        <w:rPr>
          <w:b/>
          <w:bCs/>
          <w:i/>
          <w:iCs/>
        </w:rPr>
        <w:t>Rev.WRC</w:t>
      </w:r>
      <w:r w:rsidRPr="00827CCB">
        <w:rPr>
          <w:b/>
          <w:bCs/>
          <w:i/>
          <w:iCs/>
        </w:rPr>
        <w:noBreakHyphen/>
        <w:t>15</w:t>
      </w:r>
      <w:r w:rsidRPr="00827CCB">
        <w:rPr>
          <w:i/>
          <w:iCs/>
        </w:rPr>
        <w:t>)</w:t>
      </w:r>
      <w:r w:rsidRPr="00827CCB">
        <w:rPr>
          <w:i/>
        </w:rPr>
        <w:t>;</w:t>
      </w:r>
    </w:p>
    <w:p w14:paraId="63865789" w14:textId="77777777" w:rsidR="00941EDE" w:rsidRPr="00827CCB" w:rsidRDefault="00941EDE" w:rsidP="00B64A60">
      <w:pPr>
        <w:jc w:val="both"/>
        <w:rPr>
          <w:lang w:val="en-NZ"/>
        </w:rPr>
      </w:pPr>
    </w:p>
    <w:p w14:paraId="2E0E674B" w14:textId="19618A11" w:rsidR="00B64A60" w:rsidRPr="00827CCB" w:rsidRDefault="00B64A60" w:rsidP="00B64A60">
      <w:pPr>
        <w:spacing w:after="120"/>
        <w:jc w:val="both"/>
        <w:rPr>
          <w:b/>
          <w:lang w:val="en-NZ" w:eastAsia="ko-KR"/>
        </w:rPr>
      </w:pPr>
      <w:r w:rsidRPr="00827CCB">
        <w:rPr>
          <w:b/>
          <w:lang w:val="en-NZ" w:eastAsia="ko-KR"/>
        </w:rPr>
        <w:t xml:space="preserve">1. </w:t>
      </w:r>
      <w:r w:rsidRPr="00827CCB">
        <w:rPr>
          <w:b/>
          <w:lang w:val="en-NZ" w:eastAsia="ko-KR"/>
        </w:rPr>
        <w:tab/>
        <w:t>Background</w:t>
      </w:r>
    </w:p>
    <w:p w14:paraId="0E4B28C2" w14:textId="5B5A95F3" w:rsidR="00836C88" w:rsidRPr="00B66AE5" w:rsidRDefault="00836C88" w:rsidP="00836C88">
      <w:pPr>
        <w:spacing w:after="120"/>
        <w:jc w:val="both"/>
      </w:pPr>
      <w:r w:rsidRPr="00B66AE5">
        <w:t xml:space="preserve">WRC-19 Agenda item 1.9.2 aims to address the satellite component of VDES. The issue of VDES satellite component was previously considered as one of the four issues under WRC-15 Agenda item 1.16 within the frequency bands as per RR Appendix </w:t>
      </w:r>
      <w:r w:rsidRPr="00B66AE5">
        <w:rPr>
          <w:b/>
        </w:rPr>
        <w:t>18</w:t>
      </w:r>
      <w:r w:rsidR="001C519D" w:rsidRPr="00B66AE5">
        <w:t>. However, some A</w:t>
      </w:r>
      <w:r w:rsidRPr="00B66AE5">
        <w:t>dministrations were of the view that the satellite component was outside the scope of WRC-15 Agenda item 1.16</w:t>
      </w:r>
      <w:r w:rsidR="00333F1D" w:rsidRPr="00B66AE5">
        <w:t>, and no consensus could be reached on the satellite component of the VDES.</w:t>
      </w:r>
      <w:r w:rsidRPr="00B66AE5">
        <w:t xml:space="preserve"> Therefore, it was deferred to WRC-19 with a revised scope under WRC-19 Agenda item 1.9.2, in accordance with Resolution </w:t>
      </w:r>
      <w:r w:rsidRPr="00B66AE5">
        <w:rPr>
          <w:b/>
        </w:rPr>
        <w:t>360 (Rev. WRC-15)</w:t>
      </w:r>
      <w:r w:rsidRPr="00B66AE5">
        <w:t>.</w:t>
      </w:r>
    </w:p>
    <w:p w14:paraId="04B420AF" w14:textId="1F4DFD8A" w:rsidR="00827CCB" w:rsidRPr="00B66AE5" w:rsidRDefault="00827CCB" w:rsidP="00836C88">
      <w:pPr>
        <w:spacing w:after="120"/>
        <w:jc w:val="both"/>
        <w:rPr>
          <w:rFonts w:eastAsiaTheme="minorEastAsia"/>
          <w:lang w:eastAsia="ja-JP"/>
        </w:rPr>
      </w:pPr>
      <w:r w:rsidRPr="00B66AE5">
        <w:t xml:space="preserve">Resolution </w:t>
      </w:r>
      <w:r w:rsidRPr="00B66AE5">
        <w:rPr>
          <w:b/>
        </w:rPr>
        <w:t>36</w:t>
      </w:r>
      <w:r w:rsidRPr="00B66AE5">
        <w:rPr>
          <w:rFonts w:eastAsiaTheme="minorEastAsia" w:hint="eastAsia"/>
          <w:b/>
          <w:lang w:eastAsia="ja-JP"/>
        </w:rPr>
        <w:t>0</w:t>
      </w:r>
      <w:r w:rsidRPr="00B66AE5">
        <w:rPr>
          <w:b/>
        </w:rPr>
        <w:t xml:space="preserve"> (</w:t>
      </w:r>
      <w:r w:rsidRPr="00B66AE5">
        <w:rPr>
          <w:rFonts w:eastAsiaTheme="minorEastAsia" w:hint="eastAsia"/>
          <w:b/>
          <w:lang w:eastAsia="ja-JP"/>
        </w:rPr>
        <w:t>Rev.</w:t>
      </w:r>
      <w:r w:rsidRPr="00B66AE5">
        <w:rPr>
          <w:b/>
        </w:rPr>
        <w:t>WRC-15)</w:t>
      </w:r>
      <w:r w:rsidRPr="00B66AE5">
        <w:rPr>
          <w:i/>
        </w:rPr>
        <w:t xml:space="preserve"> resolves to invite the 2019 World Radiocommunication Conference </w:t>
      </w:r>
      <w:r w:rsidRPr="00B66AE5">
        <w:t>to consider, based on the results of ITU</w:t>
      </w:r>
      <w:r w:rsidRPr="00B66AE5">
        <w:rPr>
          <w:rFonts w:eastAsiaTheme="minorEastAsia" w:hint="eastAsia"/>
          <w:lang w:eastAsia="ja-JP"/>
        </w:rPr>
        <w:t>-</w:t>
      </w:r>
      <w:r w:rsidRPr="00B66AE5">
        <w:t xml:space="preserve">R studies, modifications of the Radio Regulations, including new spectrum allocations to the maritime mobile-satellite service (MMSS) (Earth-to-space and space-to-Earth), preferably within the frequency bands 156.0125-157.4375 MHz and 160.6125 162.0375 MHz of Appendix </w:t>
      </w:r>
      <w:r w:rsidRPr="00B66AE5">
        <w:rPr>
          <w:b/>
        </w:rPr>
        <w:t>18</w:t>
      </w:r>
      <w:r w:rsidRPr="00B66AE5">
        <w:t>, to enable a new VDES satellite component, while ensuring that this component will not degrade the current terrestrial VDES components, ASM and AIS operations and not impose any additional constraints on existing services in these and adjacent frequency bands</w:t>
      </w:r>
      <w:r w:rsidRPr="00B66AE5">
        <w:rPr>
          <w:rFonts w:eastAsiaTheme="minorEastAsia" w:hint="eastAsia"/>
          <w:lang w:eastAsia="ja-JP"/>
        </w:rPr>
        <w:t>.</w:t>
      </w:r>
    </w:p>
    <w:p w14:paraId="01D3DAFB" w14:textId="375A2786" w:rsidR="00836C88" w:rsidRPr="00B66AE5" w:rsidRDefault="00836C88" w:rsidP="00836C88">
      <w:pPr>
        <w:spacing w:after="120"/>
        <w:jc w:val="both"/>
        <w:rPr>
          <w:rFonts w:eastAsiaTheme="minorEastAsia"/>
          <w:b/>
          <w:lang w:eastAsia="ja-JP"/>
        </w:rPr>
      </w:pPr>
      <w:r w:rsidRPr="00B66AE5">
        <w:rPr>
          <w:rFonts w:eastAsiaTheme="minorEastAsia"/>
          <w:b/>
          <w:lang w:eastAsia="ja-JP"/>
        </w:rPr>
        <w:t xml:space="preserve">Recent ITU-R developments </w:t>
      </w:r>
    </w:p>
    <w:p w14:paraId="012F89D7" w14:textId="1DC511E5" w:rsidR="00007A74" w:rsidRPr="00B66AE5" w:rsidRDefault="00007A74" w:rsidP="00836C88">
      <w:pPr>
        <w:spacing w:after="120"/>
        <w:jc w:val="both"/>
        <w:rPr>
          <w:rFonts w:eastAsiaTheme="minorEastAsia"/>
          <w:lang w:eastAsia="ja-JP"/>
        </w:rPr>
      </w:pPr>
      <w:r w:rsidRPr="00B66AE5">
        <w:rPr>
          <w:rFonts w:eastAsiaTheme="minorEastAsia"/>
          <w:lang w:eastAsia="ja-JP"/>
        </w:rPr>
        <w:t>ITU-R Working Party 5B as the responsible group for Agenda Item 1.9.2 has developed a working document towards a preliminary draft new Report ITU-R M</w:t>
      </w:r>
      <w:proofErr w:type="gramStart"/>
      <w:r w:rsidRPr="00B66AE5">
        <w:rPr>
          <w:rFonts w:eastAsiaTheme="minorEastAsia"/>
          <w:lang w:eastAsia="ja-JP"/>
        </w:rPr>
        <w:t>.[</w:t>
      </w:r>
      <w:proofErr w:type="gramEnd"/>
      <w:r w:rsidRPr="00B66AE5">
        <w:rPr>
          <w:rFonts w:eastAsiaTheme="minorEastAsia"/>
          <w:lang w:eastAsia="ja-JP"/>
        </w:rPr>
        <w:t>VDES-SAT] to provide an overview of the needs for VDES satellite component, spectrum requirements, technical description and the appropriate sharing and compatibility studies based on the input contributions from International Association of Lighthouse Authorities (IALA) and ITU-R Member States.</w:t>
      </w:r>
    </w:p>
    <w:p w14:paraId="378492EB" w14:textId="0E0458A0" w:rsidR="00836C88" w:rsidRPr="00B66AE5" w:rsidRDefault="00836C88" w:rsidP="00836C88">
      <w:pPr>
        <w:spacing w:after="120"/>
        <w:jc w:val="both"/>
        <w:rPr>
          <w:rFonts w:eastAsiaTheme="minorEastAsia"/>
          <w:lang w:eastAsia="ja-JP"/>
        </w:rPr>
      </w:pPr>
      <w:r w:rsidRPr="00B66AE5">
        <w:rPr>
          <w:rFonts w:eastAsiaTheme="minorEastAsia"/>
          <w:lang w:eastAsia="ja-JP"/>
        </w:rPr>
        <w:t>At its May/June 2017 meeting, WP 5B continued to develop the working document towards a preliminary draft new Report ITU-R M</w:t>
      </w:r>
      <w:proofErr w:type="gramStart"/>
      <w:r w:rsidRPr="00B66AE5">
        <w:rPr>
          <w:rFonts w:eastAsiaTheme="minorEastAsia"/>
          <w:lang w:eastAsia="ja-JP"/>
        </w:rPr>
        <w:t>.[</w:t>
      </w:r>
      <w:proofErr w:type="gramEnd"/>
      <w:r w:rsidRPr="00B66AE5">
        <w:rPr>
          <w:rFonts w:eastAsiaTheme="minorEastAsia"/>
          <w:lang w:eastAsia="ja-JP"/>
        </w:rPr>
        <w:t xml:space="preserve">VDES-SAT]. This document currently contains: </w:t>
      </w:r>
    </w:p>
    <w:p w14:paraId="5DF06FA3" w14:textId="4436F3C3" w:rsidR="00836C88" w:rsidRPr="00B66AE5" w:rsidRDefault="00836C88" w:rsidP="00836C88">
      <w:pPr>
        <w:pStyle w:val="ListParagraph"/>
        <w:ind w:left="709" w:hanging="425"/>
        <w:jc w:val="both"/>
        <w:rPr>
          <w:lang w:val="en-NZ"/>
        </w:rPr>
      </w:pPr>
      <w:r w:rsidRPr="00B66AE5">
        <w:rPr>
          <w:lang w:val="en-NZ"/>
        </w:rPr>
        <w:t>-</w:t>
      </w:r>
      <w:r w:rsidRPr="00B66AE5">
        <w:rPr>
          <w:lang w:val="en-NZ"/>
        </w:rPr>
        <w:tab/>
      </w:r>
      <w:proofErr w:type="gramStart"/>
      <w:r w:rsidRPr="00B66AE5">
        <w:rPr>
          <w:rFonts w:eastAsiaTheme="minorEastAsia"/>
          <w:lang w:eastAsia="ja-JP"/>
        </w:rPr>
        <w:t>two</w:t>
      </w:r>
      <w:proofErr w:type="gramEnd"/>
      <w:r w:rsidRPr="00B66AE5">
        <w:rPr>
          <w:rFonts w:eastAsiaTheme="minorEastAsia"/>
          <w:lang w:eastAsia="ja-JP"/>
        </w:rPr>
        <w:t xml:space="preserve"> alternate frequency plan options; and</w:t>
      </w:r>
    </w:p>
    <w:p w14:paraId="6BF7A3A4" w14:textId="57C89C29" w:rsidR="00836C88" w:rsidRPr="00B66AE5" w:rsidRDefault="00836C88" w:rsidP="00836C88">
      <w:pPr>
        <w:pStyle w:val="ListParagraph"/>
        <w:spacing w:after="120"/>
        <w:ind w:left="709" w:hanging="426"/>
        <w:jc w:val="both"/>
        <w:rPr>
          <w:lang w:val="en-NZ"/>
        </w:rPr>
      </w:pPr>
      <w:r w:rsidRPr="00B66AE5">
        <w:rPr>
          <w:lang w:val="en-NZ"/>
        </w:rPr>
        <w:t>-</w:t>
      </w:r>
      <w:r w:rsidRPr="00B66AE5">
        <w:rPr>
          <w:lang w:val="en-NZ"/>
        </w:rPr>
        <w:tab/>
      </w:r>
      <w:proofErr w:type="gramStart"/>
      <w:r w:rsidRPr="00B66AE5">
        <w:rPr>
          <w:lang w:val="en-NZ"/>
        </w:rPr>
        <w:t>three</w:t>
      </w:r>
      <w:proofErr w:type="gramEnd"/>
      <w:r w:rsidRPr="00B66AE5">
        <w:rPr>
          <w:lang w:val="en-NZ"/>
        </w:rPr>
        <w:t xml:space="preserve"> different </w:t>
      </w:r>
      <w:proofErr w:type="spellStart"/>
      <w:r w:rsidRPr="00B66AE5">
        <w:rPr>
          <w:lang w:val="en-NZ"/>
        </w:rPr>
        <w:t>pfd</w:t>
      </w:r>
      <w:proofErr w:type="spellEnd"/>
      <w:r w:rsidRPr="00B66AE5">
        <w:rPr>
          <w:lang w:val="en-NZ"/>
        </w:rPr>
        <w:t xml:space="preserve"> mask</w:t>
      </w:r>
      <w:r w:rsidR="00B66AE5">
        <w:rPr>
          <w:rFonts w:eastAsia="MS Mincho" w:hint="eastAsia"/>
          <w:lang w:val="en-NZ" w:eastAsia="ja-JP"/>
        </w:rPr>
        <w:t>s</w:t>
      </w:r>
      <w:r w:rsidR="001A7C79" w:rsidRPr="00B66AE5">
        <w:rPr>
          <w:lang w:val="en-NZ"/>
        </w:rPr>
        <w:t xml:space="preserve"> for protect </w:t>
      </w:r>
      <w:r w:rsidR="00333F1D" w:rsidRPr="00B66AE5">
        <w:rPr>
          <w:lang w:val="en-NZ"/>
        </w:rPr>
        <w:t>land</w:t>
      </w:r>
      <w:r w:rsidR="001A7C79" w:rsidRPr="00B66AE5">
        <w:rPr>
          <w:lang w:val="en-NZ"/>
        </w:rPr>
        <w:t xml:space="preserve"> mobile </w:t>
      </w:r>
      <w:r w:rsidR="00333F1D" w:rsidRPr="00B66AE5">
        <w:rPr>
          <w:lang w:val="en-NZ"/>
        </w:rPr>
        <w:t>system</w:t>
      </w:r>
      <w:r w:rsidRPr="00B66AE5">
        <w:rPr>
          <w:lang w:val="en-NZ"/>
        </w:rPr>
        <w:t>.</w:t>
      </w:r>
    </w:p>
    <w:p w14:paraId="35A1884B" w14:textId="77777777" w:rsidR="00007A74" w:rsidRPr="00B66AE5" w:rsidRDefault="00007A74" w:rsidP="00007A74">
      <w:pPr>
        <w:pStyle w:val="NormalWeb"/>
        <w:spacing w:before="0" w:beforeAutospacing="0"/>
      </w:pPr>
      <w:r w:rsidRPr="00B66AE5">
        <w:lastRenderedPageBreak/>
        <w:t xml:space="preserve">Working Party 5B also updated its work plan, and sent a liaison statement to WP 4C detailing the progress of this agenda item (Document </w:t>
      </w:r>
      <w:hyperlink r:id="rId9" w:history="1">
        <w:r w:rsidRPr="00B66AE5">
          <w:rPr>
            <w:rStyle w:val="Hyperlink"/>
            <w:rFonts w:eastAsia="BatangChe"/>
          </w:rPr>
          <w:t>4C/205</w:t>
        </w:r>
      </w:hyperlink>
      <w:r w:rsidRPr="00B66AE5">
        <w:t xml:space="preserve">). To date, WP 5B has not developed any draft CPM text on the agenda item. </w:t>
      </w:r>
    </w:p>
    <w:p w14:paraId="20595974" w14:textId="4DB3EDAB" w:rsidR="00827CCB" w:rsidRPr="00B66AE5" w:rsidRDefault="008602B4" w:rsidP="00007A74">
      <w:pPr>
        <w:spacing w:after="120"/>
        <w:jc w:val="both"/>
        <w:rPr>
          <w:rFonts w:eastAsiaTheme="minorEastAsia"/>
          <w:b/>
          <w:lang w:eastAsia="ja-JP"/>
        </w:rPr>
      </w:pPr>
      <w:r w:rsidRPr="00B66AE5">
        <w:rPr>
          <w:rFonts w:eastAsiaTheme="minorEastAsia"/>
          <w:b/>
          <w:lang w:eastAsia="ja-JP"/>
        </w:rPr>
        <w:t>List of relevant ITU-</w:t>
      </w:r>
      <w:r w:rsidR="00007A74" w:rsidRPr="00B66AE5">
        <w:rPr>
          <w:rFonts w:eastAsiaTheme="minorEastAsia"/>
          <w:b/>
          <w:lang w:eastAsia="ja-JP"/>
        </w:rPr>
        <w:t>R Reports/Recommendations</w:t>
      </w:r>
    </w:p>
    <w:p w14:paraId="4D399599" w14:textId="360B5FC9" w:rsidR="00007A74" w:rsidRPr="00B66AE5" w:rsidRDefault="00E36E86" w:rsidP="00E36E86">
      <w:pPr>
        <w:pStyle w:val="ListParagraph"/>
        <w:spacing w:after="120"/>
        <w:ind w:left="709" w:hanging="426"/>
        <w:jc w:val="both"/>
        <w:rPr>
          <w:lang w:val="en-NZ"/>
        </w:rPr>
      </w:pPr>
      <w:r w:rsidRPr="00B66AE5">
        <w:rPr>
          <w:lang w:val="en-NZ"/>
        </w:rPr>
        <w:t>-</w:t>
      </w:r>
      <w:r w:rsidRPr="00B66AE5">
        <w:rPr>
          <w:lang w:val="en-NZ"/>
        </w:rPr>
        <w:tab/>
      </w:r>
      <w:r w:rsidR="00C6217B" w:rsidRPr="00B66AE5">
        <w:rPr>
          <w:rFonts w:hint="eastAsia"/>
          <w:lang w:val="en-NZ"/>
        </w:rPr>
        <w:t>Recommendation ITU-R M.2092-0</w:t>
      </w:r>
      <w:r w:rsidR="00173620" w:rsidRPr="00B66AE5">
        <w:rPr>
          <w:lang w:val="en-NZ"/>
        </w:rPr>
        <w:t>:</w:t>
      </w:r>
      <w:r w:rsidR="00C6217B" w:rsidRPr="00B66AE5">
        <w:rPr>
          <w:lang w:val="en-NZ"/>
        </w:rPr>
        <w:t xml:space="preserve"> Technical characteristics for a VHF data exchange system in the VHF maritime mobile band</w:t>
      </w:r>
    </w:p>
    <w:p w14:paraId="30329787" w14:textId="77777777" w:rsidR="00E254D2" w:rsidRDefault="00E36E86" w:rsidP="00E254D2">
      <w:pPr>
        <w:ind w:leftChars="119" w:left="708" w:hangingChars="176" w:hanging="422"/>
        <w:jc w:val="both"/>
        <w:rPr>
          <w:lang w:val="en-NZ"/>
        </w:rPr>
      </w:pPr>
      <w:r w:rsidRPr="00B66AE5">
        <w:rPr>
          <w:lang w:val="en-NZ"/>
        </w:rPr>
        <w:t>-</w:t>
      </w:r>
      <w:r w:rsidRPr="00B66AE5">
        <w:rPr>
          <w:lang w:val="en-NZ"/>
        </w:rPr>
        <w:tab/>
        <w:t>Working document towards a preliminary draft new Report ITU-R M</w:t>
      </w:r>
      <w:proofErr w:type="gramStart"/>
      <w:r w:rsidRPr="00B66AE5">
        <w:rPr>
          <w:lang w:val="en-NZ"/>
        </w:rPr>
        <w:t>.[</w:t>
      </w:r>
      <w:proofErr w:type="gramEnd"/>
      <w:r w:rsidRPr="00B66AE5">
        <w:rPr>
          <w:lang w:val="en-NZ"/>
        </w:rPr>
        <w:t>VDES-SAT]</w:t>
      </w:r>
      <w:r w:rsidR="00F700A3" w:rsidRPr="00B66AE5">
        <w:rPr>
          <w:lang w:val="en-NZ"/>
        </w:rPr>
        <w:br/>
      </w:r>
      <w:r w:rsidR="00F700A3" w:rsidRPr="00E254D2">
        <w:rPr>
          <w:lang w:val="en-NZ"/>
        </w:rPr>
        <w:t xml:space="preserve"> </w:t>
      </w:r>
      <w:r w:rsidR="00F700A3" w:rsidRPr="00B66AE5">
        <w:rPr>
          <w:lang w:val="en-NZ"/>
        </w:rPr>
        <w:t xml:space="preserve">(Document </w:t>
      </w:r>
      <w:hyperlink r:id="rId10" w:history="1">
        <w:r w:rsidR="00F700A3" w:rsidRPr="00E254D2">
          <w:rPr>
            <w:lang w:val="en-NZ"/>
          </w:rPr>
          <w:t>5B/305</w:t>
        </w:r>
      </w:hyperlink>
      <w:r w:rsidR="00F700A3" w:rsidRPr="00B66AE5">
        <w:rPr>
          <w:lang w:val="en-NZ"/>
        </w:rPr>
        <w:t>/Annex 24)</w:t>
      </w:r>
    </w:p>
    <w:p w14:paraId="14BD587B" w14:textId="76B1EB0B" w:rsidR="00E254D2" w:rsidRDefault="00E254D2" w:rsidP="00E254D2">
      <w:pPr>
        <w:jc w:val="both"/>
        <w:rPr>
          <w:b/>
          <w:lang w:val="en-NZ" w:eastAsia="ko-KR"/>
        </w:rPr>
      </w:pPr>
    </w:p>
    <w:p w14:paraId="2E0E6752" w14:textId="112D5FB5" w:rsidR="00B64A60" w:rsidRPr="00E254D2" w:rsidRDefault="00B64A60" w:rsidP="00DE64D6">
      <w:pPr>
        <w:jc w:val="both"/>
        <w:rPr>
          <w:b/>
          <w:lang w:val="en-NZ" w:eastAsia="ko-KR"/>
        </w:rPr>
      </w:pPr>
      <w:r w:rsidRPr="00E254D2">
        <w:rPr>
          <w:b/>
          <w:lang w:val="en-NZ" w:eastAsia="ko-KR"/>
        </w:rPr>
        <w:t xml:space="preserve">2. </w:t>
      </w:r>
      <w:r w:rsidRPr="00E254D2">
        <w:rPr>
          <w:b/>
          <w:lang w:val="en-NZ" w:eastAsia="ko-KR"/>
        </w:rPr>
        <w:tab/>
        <w:t>Documents</w:t>
      </w:r>
    </w:p>
    <w:p w14:paraId="0C61CC2E" w14:textId="77777777" w:rsidR="00173620" w:rsidRPr="00173620" w:rsidRDefault="00B64A60" w:rsidP="00173620">
      <w:pPr>
        <w:rPr>
          <w:b/>
          <w:lang w:val="en-NZ"/>
        </w:rPr>
      </w:pPr>
      <w:r w:rsidRPr="00173620">
        <w:rPr>
          <w:b/>
          <w:lang w:val="en-NZ"/>
        </w:rPr>
        <w:t>Input Documents</w:t>
      </w:r>
      <w:r w:rsidR="00173620" w:rsidRPr="00173620">
        <w:rPr>
          <w:b/>
          <w:lang w:val="en-NZ"/>
        </w:rPr>
        <w:t>:</w:t>
      </w:r>
    </w:p>
    <w:p w14:paraId="47B6BA9C" w14:textId="7E706043" w:rsidR="00B24132" w:rsidRPr="00827CCB" w:rsidRDefault="00B24132" w:rsidP="00173620">
      <w:pPr>
        <w:spacing w:after="120"/>
      </w:pPr>
      <w:r w:rsidRPr="00827CCB">
        <w:t>APG19-1/INP-21 (CHN), APG19-2/INP-12 (KOR), APG19-2/INP-24 (NZL), APG19-2/INP-32 (AUS), APG19-2/INP-43 (INA), APG19-2/INP-48 (VTN), APG19-2/INP-53 (CHN), APG19-2/INP-59 (J)</w:t>
      </w:r>
    </w:p>
    <w:p w14:paraId="08C04D05" w14:textId="77777777" w:rsidR="00173620" w:rsidRPr="00173620" w:rsidRDefault="00B64A60" w:rsidP="00173620">
      <w:pPr>
        <w:rPr>
          <w:b/>
          <w:lang w:val="en-NZ"/>
        </w:rPr>
      </w:pPr>
      <w:r w:rsidRPr="00173620">
        <w:rPr>
          <w:b/>
          <w:lang w:val="en-NZ"/>
        </w:rPr>
        <w:t>Information Documents</w:t>
      </w:r>
      <w:r w:rsidR="00173620" w:rsidRPr="00173620">
        <w:rPr>
          <w:b/>
          <w:lang w:val="en-NZ"/>
        </w:rPr>
        <w:t>:</w:t>
      </w:r>
    </w:p>
    <w:p w14:paraId="2E0E6754" w14:textId="02A1A6C4" w:rsidR="00B64A60" w:rsidRPr="00827CCB" w:rsidRDefault="002053AF" w:rsidP="00173620">
      <w:pPr>
        <w:rPr>
          <w:lang w:val="en-NZ"/>
        </w:rPr>
      </w:pPr>
      <w:r w:rsidRPr="00827CCB">
        <w:t>APG19-2/INF-01 (ASMG), APG19-2/INF-02 (ICAO), APG19-2/INF-04 (CITEL),</w:t>
      </w:r>
      <w:r w:rsidR="00B24132" w:rsidRPr="00827CCB">
        <w:t xml:space="preserve"> </w:t>
      </w:r>
      <w:r w:rsidRPr="00827CCB">
        <w:t>APG19-2/INF-05 (RCC), APG19-2/INF-07 (ATU), APG19-2/INF-14 (CEPT)</w:t>
      </w:r>
    </w:p>
    <w:p w14:paraId="2E0E6756" w14:textId="77777777" w:rsidR="00B64A60" w:rsidRPr="00827CCB" w:rsidRDefault="00B64A60" w:rsidP="00B64A60">
      <w:pPr>
        <w:jc w:val="both"/>
        <w:rPr>
          <w:lang w:val="en-NZ"/>
        </w:rPr>
      </w:pPr>
    </w:p>
    <w:p w14:paraId="2E0E6757" w14:textId="77777777" w:rsidR="00B64A60" w:rsidRPr="00827CCB" w:rsidRDefault="00B64A60" w:rsidP="00B64A60">
      <w:pPr>
        <w:spacing w:after="120"/>
        <w:jc w:val="both"/>
        <w:rPr>
          <w:b/>
          <w:lang w:val="en-NZ" w:eastAsia="ko-KR"/>
        </w:rPr>
      </w:pPr>
      <w:r w:rsidRPr="00827CCB">
        <w:rPr>
          <w:b/>
          <w:lang w:val="en-NZ" w:eastAsia="ko-KR"/>
        </w:rPr>
        <w:t xml:space="preserve">3. </w:t>
      </w:r>
      <w:r w:rsidRPr="00827CCB">
        <w:rPr>
          <w:b/>
          <w:lang w:val="en-NZ" w:eastAsia="ko-KR"/>
        </w:rPr>
        <w:tab/>
        <w:t>Summary of Discussions</w:t>
      </w:r>
    </w:p>
    <w:p w14:paraId="304F9937" w14:textId="31EFCC4C" w:rsidR="004A2F96" w:rsidRPr="00827CCB" w:rsidRDefault="004A2F96" w:rsidP="00B64A60">
      <w:pPr>
        <w:spacing w:after="120"/>
        <w:jc w:val="both"/>
        <w:rPr>
          <w:b/>
          <w:lang w:val="en-NZ" w:eastAsia="ko-KR"/>
        </w:rPr>
      </w:pPr>
      <w:r w:rsidRPr="00827CCB">
        <w:rPr>
          <w:b/>
          <w:lang w:val="en-NZ" w:eastAsia="ko-KR"/>
        </w:rPr>
        <w:t>3.1</w:t>
      </w:r>
      <w:r w:rsidRPr="00827CCB">
        <w:rPr>
          <w:b/>
          <w:lang w:val="en-NZ" w:eastAsia="ko-KR"/>
        </w:rPr>
        <w:tab/>
        <w:t xml:space="preserve"> Summary of Members’ view</w:t>
      </w:r>
    </w:p>
    <w:p w14:paraId="7993A39D" w14:textId="2B2F9E0F" w:rsidR="004A2F96" w:rsidRPr="00827CCB" w:rsidRDefault="00240319" w:rsidP="00B64A60">
      <w:pPr>
        <w:spacing w:after="120"/>
        <w:jc w:val="both"/>
        <w:rPr>
          <w:b/>
          <w:lang w:val="en-NZ" w:eastAsia="ko-KR"/>
        </w:rPr>
      </w:pPr>
      <w:r w:rsidRPr="00827CCB">
        <w:rPr>
          <w:b/>
          <w:lang w:val="en-NZ" w:eastAsia="ko-KR"/>
        </w:rPr>
        <w:t>3.1.1</w:t>
      </w:r>
      <w:r w:rsidRPr="00827CCB">
        <w:rPr>
          <w:b/>
          <w:lang w:val="en-NZ" w:eastAsia="ko-KR"/>
        </w:rPr>
        <w:tab/>
      </w:r>
      <w:r w:rsidR="003C0F92" w:rsidRPr="00827CCB">
        <w:rPr>
          <w:b/>
          <w:lang w:val="en-NZ" w:eastAsia="ko-KR"/>
        </w:rPr>
        <w:t>Korea (Rep. of)</w:t>
      </w:r>
    </w:p>
    <w:p w14:paraId="45A3A7FD" w14:textId="7768E38F" w:rsidR="003C0F92" w:rsidRPr="00827CCB" w:rsidRDefault="003C0F92" w:rsidP="00C22B11">
      <w:pPr>
        <w:pStyle w:val="ListParagraph"/>
        <w:spacing w:after="120"/>
        <w:ind w:left="0"/>
        <w:jc w:val="both"/>
        <w:rPr>
          <w:b/>
          <w:lang w:val="en-NZ"/>
        </w:rPr>
      </w:pPr>
      <w:r w:rsidRPr="00827CCB">
        <w:rPr>
          <w:lang w:val="en-NZ"/>
        </w:rPr>
        <w:t>The Republic of Korea supports ITU-R studies to introduce satellite component of VDES while ensuring that this component should not degrade the current terrestrial VDES components, ASM and AIS operations and should not impose any undue constraints on existing services.</w:t>
      </w:r>
    </w:p>
    <w:p w14:paraId="6C0308E7" w14:textId="51ADD540" w:rsidR="004A2F96" w:rsidRPr="00827CCB" w:rsidRDefault="00240319" w:rsidP="00B64A60">
      <w:pPr>
        <w:spacing w:after="120"/>
        <w:jc w:val="both"/>
        <w:rPr>
          <w:b/>
          <w:lang w:val="en-NZ" w:eastAsia="ko-KR"/>
        </w:rPr>
      </w:pPr>
      <w:r w:rsidRPr="00827CCB">
        <w:rPr>
          <w:b/>
          <w:lang w:val="en-NZ" w:eastAsia="ko-KR"/>
        </w:rPr>
        <w:t>3.1.2</w:t>
      </w:r>
      <w:r w:rsidRPr="00827CCB">
        <w:rPr>
          <w:b/>
          <w:lang w:val="en-NZ" w:eastAsia="ko-KR"/>
        </w:rPr>
        <w:tab/>
      </w:r>
      <w:r w:rsidR="003C0F92" w:rsidRPr="00827CCB">
        <w:rPr>
          <w:b/>
          <w:lang w:val="en-NZ" w:eastAsia="ko-KR"/>
        </w:rPr>
        <w:t>New Zealand</w:t>
      </w:r>
    </w:p>
    <w:p w14:paraId="78D33E60" w14:textId="6B1CF195" w:rsidR="003C0F92" w:rsidRPr="00827CCB" w:rsidRDefault="003C0F92" w:rsidP="00C22B11">
      <w:pPr>
        <w:pStyle w:val="ListParagraph"/>
        <w:spacing w:after="120"/>
        <w:ind w:left="0"/>
        <w:jc w:val="both"/>
        <w:rPr>
          <w:lang w:val="en-NZ"/>
        </w:rPr>
      </w:pPr>
      <w:r w:rsidRPr="00827CCB">
        <w:rPr>
          <w:lang w:val="en-NZ"/>
        </w:rPr>
        <w:t xml:space="preserve">New Zealand supports the studies undertaken in accordance with Resolution </w:t>
      </w:r>
      <w:r w:rsidRPr="005E07F8">
        <w:rPr>
          <w:b/>
          <w:lang w:val="en-NZ"/>
        </w:rPr>
        <w:t>360 (Rev. WRC-15)</w:t>
      </w:r>
      <w:r w:rsidRPr="00827CCB">
        <w:rPr>
          <w:lang w:val="en-NZ"/>
        </w:rPr>
        <w:t xml:space="preserve"> to identify possible new allocations to the maritime mobile-satellite service for VDES satellite component. </w:t>
      </w:r>
    </w:p>
    <w:p w14:paraId="4B9840F3" w14:textId="17B5A8D8" w:rsidR="003C0F92" w:rsidRPr="00827CCB" w:rsidRDefault="003C0F92" w:rsidP="00C22B11">
      <w:pPr>
        <w:pStyle w:val="ListParagraph"/>
        <w:spacing w:after="120"/>
        <w:ind w:left="0"/>
        <w:jc w:val="both"/>
        <w:rPr>
          <w:b/>
          <w:lang w:val="en-NZ"/>
        </w:rPr>
      </w:pPr>
      <w:r w:rsidRPr="00827CCB">
        <w:rPr>
          <w:lang w:val="en-NZ"/>
        </w:rPr>
        <w:t>New Zealand is of the view that the candidate band for this possible new allocation to the maritime mobile-satellite service should be within the existing frequency range already assigned to VHF maritime mobile channels in accordance with RR Appendix 18. If a candidate band to be considered is outside of, or immediately adjacent to, the frequency range of RR Appendix 18, this consideration should be carefully studied due to the heavy use of these adjacent frequency ranges by existing terrestrial services.</w:t>
      </w:r>
    </w:p>
    <w:p w14:paraId="7501F671" w14:textId="3CADC45F" w:rsidR="003C0F92" w:rsidRPr="00827CCB" w:rsidRDefault="003C0F92" w:rsidP="003C0F92">
      <w:pPr>
        <w:spacing w:after="120"/>
        <w:jc w:val="both"/>
        <w:rPr>
          <w:b/>
          <w:lang w:val="en-NZ" w:eastAsia="ko-KR"/>
        </w:rPr>
      </w:pPr>
      <w:r w:rsidRPr="00827CCB">
        <w:rPr>
          <w:b/>
          <w:lang w:val="en-NZ" w:eastAsia="ko-KR"/>
        </w:rPr>
        <w:t>3.1.</w:t>
      </w:r>
      <w:r w:rsidRPr="00827CCB">
        <w:rPr>
          <w:rFonts w:eastAsia="MS Mincho"/>
          <w:b/>
          <w:lang w:val="en-NZ" w:eastAsia="ja-JP"/>
        </w:rPr>
        <w:t>3</w:t>
      </w:r>
      <w:r w:rsidR="00240319" w:rsidRPr="00827CCB">
        <w:rPr>
          <w:b/>
          <w:lang w:val="en-NZ" w:eastAsia="ko-KR"/>
        </w:rPr>
        <w:tab/>
      </w:r>
      <w:r w:rsidRPr="00827CCB">
        <w:rPr>
          <w:b/>
          <w:lang w:val="en-NZ" w:eastAsia="ko-KR"/>
        </w:rPr>
        <w:t>Australia</w:t>
      </w:r>
    </w:p>
    <w:p w14:paraId="67583AF8" w14:textId="133BA7BE" w:rsidR="003C0F92" w:rsidRPr="00827CCB" w:rsidRDefault="00E46D47" w:rsidP="00C22B11">
      <w:pPr>
        <w:pStyle w:val="ListParagraph"/>
        <w:spacing w:after="120"/>
        <w:ind w:left="0"/>
        <w:jc w:val="both"/>
        <w:rPr>
          <w:b/>
          <w:lang w:val="en-NZ"/>
        </w:rPr>
      </w:pPr>
      <w:r w:rsidRPr="00827CCB">
        <w:rPr>
          <w:lang w:val="en-NZ"/>
        </w:rPr>
        <w:t xml:space="preserve">Australia supports ITU-R studies to enable a new VHF data exchange system (VDES) satellite component consistent with Resolution </w:t>
      </w:r>
      <w:r w:rsidRPr="005E07F8">
        <w:rPr>
          <w:b/>
          <w:lang w:val="en-NZ"/>
        </w:rPr>
        <w:t>360 (Rev.WRC-15)</w:t>
      </w:r>
      <w:r w:rsidRPr="00827CCB">
        <w:rPr>
          <w:lang w:val="en-NZ"/>
        </w:rPr>
        <w:t>. The Australian Maritime Safety Authority (AMSA) is an active participant in the International Association of Marine Aids to Navigation and Lighthouse Authorities (IALA) e-NAV Committee which is contributing to ITU-R WP 5B meetings with regards to studies for satellite VDES and agenda item 1.9.2.</w:t>
      </w:r>
    </w:p>
    <w:p w14:paraId="75EE71BE" w14:textId="1DB947A1" w:rsidR="003C0F92" w:rsidRPr="00827CCB" w:rsidRDefault="003C0F92" w:rsidP="00C22B11">
      <w:pPr>
        <w:spacing w:after="120"/>
        <w:jc w:val="both"/>
        <w:rPr>
          <w:b/>
          <w:lang w:val="en-NZ" w:eastAsia="ko-KR"/>
        </w:rPr>
      </w:pPr>
      <w:r w:rsidRPr="00827CCB">
        <w:rPr>
          <w:b/>
          <w:lang w:val="en-NZ" w:eastAsia="ko-KR"/>
        </w:rPr>
        <w:t>3.1.4</w:t>
      </w:r>
      <w:r w:rsidR="00240319" w:rsidRPr="00827CCB">
        <w:rPr>
          <w:b/>
          <w:lang w:val="en-NZ" w:eastAsia="ko-KR"/>
        </w:rPr>
        <w:tab/>
      </w:r>
      <w:r w:rsidR="00E46D47" w:rsidRPr="00827CCB">
        <w:rPr>
          <w:b/>
          <w:lang w:val="en-NZ" w:eastAsia="ko-KR"/>
        </w:rPr>
        <w:t>Indonesia, Republic of</w:t>
      </w:r>
    </w:p>
    <w:p w14:paraId="578E6BA0" w14:textId="1E9AD5C8" w:rsidR="003C0F92" w:rsidRPr="00827CCB" w:rsidRDefault="00E46D47" w:rsidP="00C22B11">
      <w:pPr>
        <w:pStyle w:val="ListParagraph"/>
        <w:spacing w:after="120"/>
        <w:ind w:left="0"/>
        <w:jc w:val="both"/>
        <w:rPr>
          <w:b/>
          <w:lang w:val="en-NZ"/>
        </w:rPr>
      </w:pPr>
      <w:r w:rsidRPr="00827CCB">
        <w:rPr>
          <w:lang w:val="en-NZ"/>
        </w:rPr>
        <w:t xml:space="preserve">Indonesia supports that activities of WP 5B to consider of regulatory provisions and spectrum allocations to the maritime mobile-satellite service to enable the satellite component of the VHF Data Exchange System and enhanced maritime radiocommunication. Indonesia support that recognizing that the VDES satellite component should not bring any harmful interference and </w:t>
      </w:r>
      <w:r w:rsidRPr="00827CCB">
        <w:rPr>
          <w:lang w:val="en-NZ"/>
        </w:rPr>
        <w:lastRenderedPageBreak/>
        <w:t>identification of the frequencies for the VDES satellite component should protect the integrity of the original operational purpose of AIS on the existing AIS frequencies</w:t>
      </w:r>
      <w:r w:rsidR="003C0F92" w:rsidRPr="00827CCB">
        <w:rPr>
          <w:lang w:val="en-NZ"/>
        </w:rPr>
        <w:t>.</w:t>
      </w:r>
    </w:p>
    <w:p w14:paraId="230AD059" w14:textId="512672B0" w:rsidR="003C0F92" w:rsidRPr="00827CCB" w:rsidRDefault="003C0F92" w:rsidP="003C0F92">
      <w:pPr>
        <w:spacing w:after="120"/>
        <w:jc w:val="both"/>
        <w:rPr>
          <w:b/>
          <w:lang w:val="en-NZ" w:eastAsia="ko-KR"/>
        </w:rPr>
      </w:pPr>
      <w:r w:rsidRPr="00827CCB">
        <w:rPr>
          <w:b/>
          <w:lang w:val="en-NZ" w:eastAsia="ko-KR"/>
        </w:rPr>
        <w:t>3.1.5</w:t>
      </w:r>
      <w:r w:rsidR="00240319" w:rsidRPr="00827CCB">
        <w:rPr>
          <w:b/>
          <w:lang w:val="en-NZ" w:eastAsia="ko-KR"/>
        </w:rPr>
        <w:tab/>
      </w:r>
      <w:r w:rsidR="00E46D47" w:rsidRPr="00827CCB">
        <w:rPr>
          <w:b/>
          <w:lang w:val="en-NZ" w:eastAsia="ko-KR"/>
        </w:rPr>
        <w:t>Socialist Republic of Viet Nam</w:t>
      </w:r>
    </w:p>
    <w:p w14:paraId="0D9346B8" w14:textId="02996380" w:rsidR="00E46D47" w:rsidRPr="00827CCB" w:rsidRDefault="00E46D47" w:rsidP="00C22B11">
      <w:pPr>
        <w:pStyle w:val="ListParagraph"/>
        <w:ind w:left="0"/>
        <w:jc w:val="both"/>
        <w:rPr>
          <w:lang w:val="en-NZ"/>
        </w:rPr>
      </w:pPr>
      <w:r w:rsidRPr="00827CCB">
        <w:rPr>
          <w:lang w:val="en-NZ"/>
        </w:rPr>
        <w:t>Viet Nam Administration supports the activities of ITU-R and IALA which are related to th</w:t>
      </w:r>
      <w:r w:rsidR="00E814CD" w:rsidRPr="00827CCB">
        <w:rPr>
          <w:lang w:val="en-NZ"/>
        </w:rPr>
        <w:t xml:space="preserve">e satellite component of VDES. </w:t>
      </w:r>
    </w:p>
    <w:p w14:paraId="660CC57A" w14:textId="77777777" w:rsidR="00E46D47" w:rsidRPr="00827CCB" w:rsidRDefault="00E46D47" w:rsidP="00C22B11">
      <w:pPr>
        <w:pStyle w:val="ListParagraph"/>
        <w:spacing w:after="120"/>
        <w:ind w:left="0"/>
        <w:jc w:val="both"/>
        <w:rPr>
          <w:lang w:val="en-NZ"/>
        </w:rPr>
      </w:pPr>
      <w:r w:rsidRPr="00827CCB">
        <w:rPr>
          <w:lang w:val="en-NZ"/>
        </w:rPr>
        <w:t>In regarding the modification of the Radio Regulations under WRC-19 Agenda Item 1.9.2, this Administration is of the view that:</w:t>
      </w:r>
      <w:bookmarkStart w:id="0" w:name="_GoBack"/>
      <w:bookmarkEnd w:id="0"/>
    </w:p>
    <w:p w14:paraId="1300C1D9" w14:textId="77777777" w:rsidR="00E46D47" w:rsidRPr="00827CCB" w:rsidRDefault="00E46D47" w:rsidP="00C22B11">
      <w:pPr>
        <w:pStyle w:val="ListParagraph"/>
        <w:ind w:left="426" w:hanging="425"/>
        <w:jc w:val="both"/>
        <w:rPr>
          <w:lang w:val="en-NZ"/>
        </w:rPr>
      </w:pPr>
      <w:r w:rsidRPr="00827CCB">
        <w:rPr>
          <w:lang w:val="en-NZ"/>
        </w:rPr>
        <w:t>-</w:t>
      </w:r>
      <w:r w:rsidRPr="00827CCB">
        <w:rPr>
          <w:lang w:val="en-NZ"/>
        </w:rPr>
        <w:tab/>
        <w:t>Existing allocations and systems in same and adjacent bands, especially the AIS, must be protected, which include but not limit to, avoid any modification requested to existing AIS equipment on board existing vessels,</w:t>
      </w:r>
    </w:p>
    <w:p w14:paraId="70E7B574" w14:textId="3480D93E" w:rsidR="003C0F92" w:rsidRPr="00827CCB" w:rsidRDefault="00E46D47" w:rsidP="00C22B11">
      <w:pPr>
        <w:pStyle w:val="ListParagraph"/>
        <w:spacing w:after="120"/>
        <w:ind w:left="426" w:hanging="426"/>
        <w:jc w:val="both"/>
        <w:rPr>
          <w:lang w:val="en-NZ"/>
        </w:rPr>
      </w:pPr>
      <w:r w:rsidRPr="00827CCB">
        <w:rPr>
          <w:lang w:val="en-NZ"/>
        </w:rPr>
        <w:t>-</w:t>
      </w:r>
      <w:r w:rsidRPr="00827CCB">
        <w:rPr>
          <w:lang w:val="en-NZ"/>
        </w:rPr>
        <w:tab/>
        <w:t>Search and rescue aircraft system operating in maritime frequencies must be protected.</w:t>
      </w:r>
    </w:p>
    <w:p w14:paraId="01C15783" w14:textId="21740290" w:rsidR="003C0F92" w:rsidRPr="00827CCB" w:rsidRDefault="003C0F92" w:rsidP="003C0F92">
      <w:pPr>
        <w:spacing w:after="120"/>
        <w:jc w:val="both"/>
        <w:rPr>
          <w:b/>
          <w:lang w:val="en-NZ" w:eastAsia="ko-KR"/>
        </w:rPr>
      </w:pPr>
      <w:r w:rsidRPr="00827CCB">
        <w:rPr>
          <w:b/>
          <w:lang w:val="en-NZ" w:eastAsia="ko-KR"/>
        </w:rPr>
        <w:t>3.1.6</w:t>
      </w:r>
      <w:r w:rsidR="00240319" w:rsidRPr="00827CCB">
        <w:rPr>
          <w:b/>
          <w:lang w:val="en-NZ" w:eastAsia="ko-KR"/>
        </w:rPr>
        <w:tab/>
      </w:r>
      <w:r w:rsidR="00E814CD" w:rsidRPr="00827CCB">
        <w:rPr>
          <w:b/>
          <w:lang w:val="en-NZ" w:eastAsia="ko-KR"/>
        </w:rPr>
        <w:t>China (People’s Republic of)</w:t>
      </w:r>
    </w:p>
    <w:p w14:paraId="0F2D04BF" w14:textId="24583A9F" w:rsidR="00E814CD" w:rsidRPr="00827CCB" w:rsidRDefault="00E814CD" w:rsidP="00C22B11">
      <w:pPr>
        <w:pStyle w:val="ListParagraph"/>
        <w:ind w:left="0"/>
        <w:jc w:val="both"/>
        <w:rPr>
          <w:lang w:val="en-NZ"/>
        </w:rPr>
      </w:pPr>
      <w:r w:rsidRPr="00827CCB">
        <w:rPr>
          <w:lang w:val="en-NZ"/>
        </w:rPr>
        <w:t xml:space="preserve">China supports ITU-R technical and spectrum needs studies on VDES satellite components, as well as sharing and compatibility studies between VDES satellite components and incumbent services in the same and adjacent frequency bands in accordance with ITU-R Resolution </w:t>
      </w:r>
      <w:r w:rsidRPr="005E07F8">
        <w:rPr>
          <w:b/>
          <w:lang w:val="en-NZ"/>
        </w:rPr>
        <w:t>360</w:t>
      </w:r>
      <w:r w:rsidRPr="00827CCB">
        <w:rPr>
          <w:lang w:val="en-NZ"/>
        </w:rPr>
        <w:t xml:space="preserve">. </w:t>
      </w:r>
    </w:p>
    <w:p w14:paraId="4D1BC48A" w14:textId="77777777" w:rsidR="00E814CD" w:rsidRPr="00827CCB" w:rsidRDefault="00E814CD" w:rsidP="00C22B11">
      <w:pPr>
        <w:pStyle w:val="ListParagraph"/>
        <w:spacing w:after="120"/>
        <w:ind w:left="0"/>
        <w:jc w:val="both"/>
        <w:rPr>
          <w:lang w:val="en-NZ"/>
        </w:rPr>
      </w:pPr>
      <w:r w:rsidRPr="00827CCB">
        <w:rPr>
          <w:lang w:val="en-NZ"/>
        </w:rPr>
        <w:t>It is also recognized that VDES satellite components could provide ship traffic related information to ships in the maritime environment outside the coverage of VDES coastal stations.</w:t>
      </w:r>
    </w:p>
    <w:p w14:paraId="37D106C9" w14:textId="77777777" w:rsidR="00E814CD" w:rsidRPr="00827CCB" w:rsidRDefault="00E814CD" w:rsidP="00C22B11">
      <w:pPr>
        <w:pStyle w:val="ListParagraph"/>
        <w:ind w:left="0"/>
        <w:jc w:val="both"/>
        <w:rPr>
          <w:lang w:val="en-NZ"/>
        </w:rPr>
      </w:pPr>
      <w:r w:rsidRPr="00827CCB">
        <w:rPr>
          <w:lang w:val="en-NZ"/>
        </w:rPr>
        <w:t xml:space="preserve">This administration is of the views that: </w:t>
      </w:r>
    </w:p>
    <w:p w14:paraId="68FE0FA1" w14:textId="77777777" w:rsidR="00E814CD" w:rsidRPr="00827CCB" w:rsidRDefault="00E814CD" w:rsidP="00C22B11">
      <w:pPr>
        <w:pStyle w:val="ListParagraph"/>
        <w:ind w:left="426" w:hanging="425"/>
        <w:jc w:val="both"/>
        <w:rPr>
          <w:lang w:val="en-NZ"/>
        </w:rPr>
      </w:pPr>
      <w:r w:rsidRPr="00827CCB">
        <w:rPr>
          <w:lang w:val="en-NZ"/>
        </w:rPr>
        <w:t>–</w:t>
      </w:r>
      <w:r w:rsidRPr="00827CCB">
        <w:rPr>
          <w:lang w:val="en-NZ"/>
        </w:rPr>
        <w:tab/>
        <w:t>VDES satellite components downlink transmission should not degrade the current terrestrial VDES components, ASM and AIS operations.</w:t>
      </w:r>
    </w:p>
    <w:p w14:paraId="75AA7FAF" w14:textId="77777777" w:rsidR="00E814CD" w:rsidRPr="00827CCB" w:rsidRDefault="00E814CD" w:rsidP="00C22B11">
      <w:pPr>
        <w:pStyle w:val="ListParagraph"/>
        <w:ind w:left="426" w:hanging="425"/>
        <w:jc w:val="both"/>
        <w:rPr>
          <w:lang w:val="en-NZ"/>
        </w:rPr>
      </w:pPr>
      <w:r w:rsidRPr="00827CCB">
        <w:rPr>
          <w:lang w:val="en-NZ"/>
        </w:rPr>
        <w:t>–</w:t>
      </w:r>
      <w:r w:rsidRPr="00827CCB">
        <w:rPr>
          <w:lang w:val="en-NZ"/>
        </w:rPr>
        <w:tab/>
        <w:t>VDES satellite components downlink transmission should not cause harmful interference nor constrain the future development of land mobile service in the same frequency band.</w:t>
      </w:r>
    </w:p>
    <w:p w14:paraId="28F14181" w14:textId="77777777" w:rsidR="00E814CD" w:rsidRPr="00827CCB" w:rsidRDefault="00E814CD" w:rsidP="00C22B11">
      <w:pPr>
        <w:pStyle w:val="ListParagraph"/>
        <w:ind w:left="426" w:hanging="425"/>
        <w:jc w:val="both"/>
        <w:rPr>
          <w:lang w:val="en-NZ"/>
        </w:rPr>
      </w:pPr>
      <w:r w:rsidRPr="00827CCB">
        <w:rPr>
          <w:lang w:val="en-NZ"/>
        </w:rPr>
        <w:t>–</w:t>
      </w:r>
      <w:r w:rsidRPr="00827CCB">
        <w:rPr>
          <w:lang w:val="en-NZ"/>
        </w:rPr>
        <w:tab/>
        <w:t>VDES satellite components should not claim protection from harmful interference caused by stations of a primary service to which frequencies are already assigned.</w:t>
      </w:r>
    </w:p>
    <w:p w14:paraId="7146F04A" w14:textId="4A6ABF1D" w:rsidR="003C0F92" w:rsidRPr="00827CCB" w:rsidRDefault="00E814CD" w:rsidP="00C22B11">
      <w:pPr>
        <w:pStyle w:val="ListParagraph"/>
        <w:spacing w:after="120"/>
        <w:ind w:left="426" w:hanging="426"/>
        <w:jc w:val="both"/>
        <w:rPr>
          <w:b/>
          <w:lang w:val="en-NZ"/>
        </w:rPr>
      </w:pPr>
      <w:r w:rsidRPr="00827CCB">
        <w:rPr>
          <w:lang w:val="en-NZ"/>
        </w:rPr>
        <w:t>–</w:t>
      </w:r>
      <w:r w:rsidRPr="00827CCB">
        <w:rPr>
          <w:lang w:val="en-NZ"/>
        </w:rPr>
        <w:tab/>
        <w:t>If the spectrum needs were appropriate justified, new spectrum allocations could be identified to the maritime mobile-satellite service (MMSS) (Earth-to-space and space-to-Earth) with the provisions ensuring not cause harmful interference and no claim protection from incumbent service on a primary basis in the same and adjacent frequency bands.</w:t>
      </w:r>
    </w:p>
    <w:p w14:paraId="581721FD" w14:textId="0413C342" w:rsidR="003C0F92" w:rsidRPr="00827CCB" w:rsidRDefault="003C0F92" w:rsidP="003C0F92">
      <w:pPr>
        <w:spacing w:after="120"/>
        <w:jc w:val="both"/>
        <w:rPr>
          <w:b/>
          <w:lang w:val="en-NZ" w:eastAsia="ko-KR"/>
        </w:rPr>
      </w:pPr>
      <w:r w:rsidRPr="00827CCB">
        <w:rPr>
          <w:b/>
          <w:lang w:val="en-NZ" w:eastAsia="ko-KR"/>
        </w:rPr>
        <w:t>3.1.7</w:t>
      </w:r>
      <w:r w:rsidR="00E1593F" w:rsidRPr="00827CCB">
        <w:rPr>
          <w:b/>
          <w:lang w:val="en-NZ" w:eastAsia="ko-KR"/>
        </w:rPr>
        <w:tab/>
        <w:t>Japan</w:t>
      </w:r>
    </w:p>
    <w:p w14:paraId="0A7FC087" w14:textId="2C0E9761" w:rsidR="003C0F92" w:rsidRPr="00827CCB" w:rsidRDefault="00E1593F" w:rsidP="00C22B11">
      <w:pPr>
        <w:pStyle w:val="ListParagraph"/>
        <w:spacing w:after="120"/>
        <w:ind w:left="0"/>
        <w:jc w:val="both"/>
        <w:rPr>
          <w:b/>
          <w:lang w:val="en-NZ"/>
        </w:rPr>
      </w:pPr>
      <w:r w:rsidRPr="00827CCB">
        <w:rPr>
          <w:lang w:val="en-NZ"/>
        </w:rPr>
        <w:t xml:space="preserve">Japan is of the view that only the frequencies channelized in RR Appendix </w:t>
      </w:r>
      <w:r w:rsidRPr="00827CCB">
        <w:rPr>
          <w:b/>
          <w:lang w:val="en-NZ"/>
        </w:rPr>
        <w:t>18</w:t>
      </w:r>
      <w:r w:rsidRPr="00827CCB">
        <w:rPr>
          <w:lang w:val="en-NZ"/>
        </w:rPr>
        <w:t xml:space="preserve"> should be considered for the satellite component of the VDES. The frequencies not channelized in RR Appendix </w:t>
      </w:r>
      <w:r w:rsidRPr="00827CCB">
        <w:rPr>
          <w:b/>
          <w:lang w:val="en-NZ"/>
        </w:rPr>
        <w:t>18</w:t>
      </w:r>
      <w:r w:rsidRPr="00827CCB">
        <w:rPr>
          <w:lang w:val="en-NZ"/>
        </w:rPr>
        <w:t xml:space="preserve"> are used for terrestrial services other than maritime mobile service, and existing stations in these services need to be protected. Therefore, Japan supports ITU-R studies for the introduction of the satellite component of the VDES in the frequency bands channelized in RR Appendix </w:t>
      </w:r>
      <w:r w:rsidRPr="00827CCB">
        <w:rPr>
          <w:b/>
          <w:lang w:val="en-NZ"/>
        </w:rPr>
        <w:t>18</w:t>
      </w:r>
      <w:r w:rsidRPr="00827CCB">
        <w:rPr>
          <w:lang w:val="en-NZ"/>
        </w:rPr>
        <w:t>.</w:t>
      </w:r>
    </w:p>
    <w:p w14:paraId="30F0C444" w14:textId="4F46DB24" w:rsidR="00197C18" w:rsidRPr="00827CCB" w:rsidRDefault="00197C18" w:rsidP="00E1593F">
      <w:pPr>
        <w:jc w:val="both"/>
        <w:rPr>
          <w:b/>
          <w:lang w:val="en-NZ"/>
        </w:rPr>
      </w:pPr>
    </w:p>
    <w:p w14:paraId="7E81F481" w14:textId="725FCE4B" w:rsidR="008454C8" w:rsidRPr="00827CCB" w:rsidRDefault="008454C8" w:rsidP="008454C8">
      <w:pPr>
        <w:spacing w:after="120"/>
        <w:jc w:val="both"/>
        <w:rPr>
          <w:b/>
          <w:lang w:val="en-NZ"/>
        </w:rPr>
      </w:pPr>
      <w:r w:rsidRPr="00827CCB">
        <w:rPr>
          <w:b/>
          <w:lang w:val="en-NZ"/>
        </w:rPr>
        <w:t xml:space="preserve">3.2 </w:t>
      </w:r>
      <w:r w:rsidRPr="00827CCB">
        <w:rPr>
          <w:b/>
          <w:lang w:val="en-NZ"/>
        </w:rPr>
        <w:tab/>
      </w:r>
      <w:r w:rsidRPr="00827CCB">
        <w:rPr>
          <w:b/>
          <w:lang w:val="en-NZ" w:eastAsia="ko-KR"/>
        </w:rPr>
        <w:t>Key</w:t>
      </w:r>
      <w:r w:rsidRPr="00827CCB">
        <w:rPr>
          <w:b/>
          <w:lang w:val="en-NZ"/>
        </w:rPr>
        <w:t xml:space="preserve"> </w:t>
      </w:r>
      <w:r w:rsidRPr="00827CCB">
        <w:rPr>
          <w:b/>
          <w:lang w:val="en-NZ" w:eastAsia="ko-KR"/>
        </w:rPr>
        <w:t>points</w:t>
      </w:r>
      <w:r w:rsidRPr="00827CCB">
        <w:rPr>
          <w:b/>
          <w:lang w:val="en-NZ"/>
        </w:rPr>
        <w:t xml:space="preserve"> raised during the meeting</w:t>
      </w:r>
    </w:p>
    <w:p w14:paraId="64253100" w14:textId="1F047D2E" w:rsidR="00AE46F2" w:rsidRDefault="00AE46F2" w:rsidP="00B64A60">
      <w:pPr>
        <w:jc w:val="both"/>
        <w:rPr>
          <w:rFonts w:eastAsia="MS Mincho"/>
          <w:lang w:val="en-NZ" w:eastAsia="ja-JP"/>
        </w:rPr>
      </w:pPr>
      <w:r>
        <w:rPr>
          <w:rFonts w:eastAsia="MS Mincho"/>
          <w:lang w:val="en-NZ" w:eastAsia="ja-JP"/>
        </w:rPr>
        <w:t>Existing services need to be protected</w:t>
      </w:r>
      <w:r w:rsidR="00544B87">
        <w:rPr>
          <w:rFonts w:eastAsia="MS Mincho"/>
          <w:lang w:val="en-NZ" w:eastAsia="ja-JP"/>
        </w:rPr>
        <w:t xml:space="preserve"> from the VDES satellite component</w:t>
      </w:r>
      <w:r>
        <w:rPr>
          <w:rFonts w:eastAsia="MS Mincho"/>
          <w:lang w:val="en-NZ" w:eastAsia="ja-JP"/>
        </w:rPr>
        <w:t>.</w:t>
      </w:r>
    </w:p>
    <w:p w14:paraId="6EADB45C" w14:textId="77777777" w:rsidR="00AE46F2" w:rsidRPr="00DE64D6" w:rsidRDefault="00AE46F2" w:rsidP="00B64A60">
      <w:pPr>
        <w:jc w:val="both"/>
        <w:rPr>
          <w:rFonts w:eastAsia="MS Mincho"/>
          <w:lang w:val="en-NZ" w:eastAsia="ja-JP"/>
        </w:rPr>
      </w:pPr>
    </w:p>
    <w:p w14:paraId="2E0E675B" w14:textId="46368A45" w:rsidR="00B64A60" w:rsidRPr="00827CCB" w:rsidRDefault="00B64A60" w:rsidP="00B64A60">
      <w:pPr>
        <w:spacing w:after="120"/>
        <w:jc w:val="both"/>
        <w:rPr>
          <w:b/>
          <w:lang w:val="en-NZ" w:eastAsia="ko-KR"/>
        </w:rPr>
      </w:pPr>
      <w:r w:rsidRPr="00827CCB">
        <w:rPr>
          <w:b/>
          <w:lang w:val="en-NZ" w:eastAsia="ko-KR"/>
        </w:rPr>
        <w:t xml:space="preserve">4. </w:t>
      </w:r>
      <w:r w:rsidRPr="00827CCB">
        <w:rPr>
          <w:b/>
          <w:lang w:val="en-NZ" w:eastAsia="ko-KR"/>
        </w:rPr>
        <w:tab/>
      </w:r>
      <w:r w:rsidR="004465AA" w:rsidRPr="00827CCB">
        <w:rPr>
          <w:b/>
          <w:lang w:val="en-NZ" w:eastAsia="ko-KR"/>
        </w:rPr>
        <w:t xml:space="preserve">APT </w:t>
      </w:r>
      <w:r w:rsidRPr="00827CCB">
        <w:rPr>
          <w:b/>
          <w:lang w:val="en-NZ" w:eastAsia="ko-KR"/>
        </w:rPr>
        <w:t>Preliminary View</w:t>
      </w:r>
      <w:r w:rsidR="00D53688" w:rsidRPr="00827CCB">
        <w:rPr>
          <w:b/>
          <w:lang w:val="en-NZ" w:eastAsia="ko-KR"/>
        </w:rPr>
        <w:t>(s)</w:t>
      </w:r>
    </w:p>
    <w:p w14:paraId="6CDB999E" w14:textId="4DFA7595" w:rsidR="009B7263" w:rsidRPr="00DE64D6" w:rsidRDefault="009B7263" w:rsidP="009B7263">
      <w:pPr>
        <w:rPr>
          <w:rFonts w:eastAsia="MS Mincho"/>
          <w:lang w:val="en-NZ" w:eastAsia="ja-JP"/>
        </w:rPr>
      </w:pPr>
      <w:r w:rsidRPr="00DE64D6">
        <w:rPr>
          <w:rFonts w:eastAsia="MS Mincho"/>
          <w:lang w:val="en-NZ" w:eastAsia="ja-JP"/>
        </w:rPr>
        <w:t xml:space="preserve">APT </w:t>
      </w:r>
      <w:r w:rsidR="00544B87">
        <w:rPr>
          <w:rFonts w:eastAsia="MS Mincho"/>
          <w:lang w:val="en-NZ" w:eastAsia="ja-JP"/>
        </w:rPr>
        <w:t xml:space="preserve">Members </w:t>
      </w:r>
      <w:r w:rsidRPr="00DE64D6">
        <w:rPr>
          <w:rFonts w:eastAsia="MS Mincho"/>
          <w:lang w:val="en-NZ" w:eastAsia="ja-JP"/>
        </w:rPr>
        <w:t xml:space="preserve">support the </w:t>
      </w:r>
      <w:r w:rsidR="008602B4" w:rsidRPr="00DE64D6">
        <w:rPr>
          <w:rFonts w:eastAsia="MS Mincho"/>
          <w:lang w:val="en-NZ" w:eastAsia="ja-JP"/>
        </w:rPr>
        <w:t xml:space="preserve">ITU-R </w:t>
      </w:r>
      <w:r w:rsidRPr="00DE64D6">
        <w:rPr>
          <w:rFonts w:eastAsia="MS Mincho"/>
          <w:lang w:val="en-NZ" w:eastAsia="ja-JP"/>
        </w:rPr>
        <w:t xml:space="preserve">studies undertaken in accordance with Resolution </w:t>
      </w:r>
      <w:r w:rsidRPr="00DE64D6">
        <w:rPr>
          <w:rFonts w:eastAsia="MS Mincho"/>
          <w:b/>
          <w:lang w:val="en-NZ" w:eastAsia="ja-JP"/>
        </w:rPr>
        <w:t>360 (Rev. WRC-15)</w:t>
      </w:r>
      <w:r w:rsidRPr="00DE64D6">
        <w:rPr>
          <w:rFonts w:eastAsia="MS Mincho"/>
          <w:lang w:val="en-NZ" w:eastAsia="ja-JP"/>
        </w:rPr>
        <w:t xml:space="preserve"> to identify possible new allocations to the maritime mobile-satellite service for VDES satellite component.</w:t>
      </w:r>
    </w:p>
    <w:p w14:paraId="7A53744B" w14:textId="77777777" w:rsidR="0068050C" w:rsidRDefault="0068050C" w:rsidP="008602B4">
      <w:pPr>
        <w:rPr>
          <w:lang w:val="en-NZ"/>
        </w:rPr>
      </w:pPr>
    </w:p>
    <w:p w14:paraId="624B8CDF" w14:textId="1C7DB2F1" w:rsidR="008602B4" w:rsidRPr="00DE64D6" w:rsidRDefault="008602B4" w:rsidP="008602B4">
      <w:pPr>
        <w:rPr>
          <w:lang w:val="en-NZ"/>
        </w:rPr>
      </w:pPr>
      <w:r w:rsidRPr="00DE64D6">
        <w:rPr>
          <w:lang w:val="en-NZ"/>
        </w:rPr>
        <w:t>In regard</w:t>
      </w:r>
      <w:r w:rsidR="000D5495">
        <w:rPr>
          <w:rFonts w:eastAsia="MS Mincho" w:hint="eastAsia"/>
          <w:lang w:val="en-NZ" w:eastAsia="ja-JP"/>
        </w:rPr>
        <w:t xml:space="preserve">s </w:t>
      </w:r>
      <w:r w:rsidR="000D5495">
        <w:rPr>
          <w:rFonts w:eastAsia="MS Mincho"/>
          <w:lang w:val="en-NZ" w:eastAsia="ja-JP"/>
        </w:rPr>
        <w:t>to</w:t>
      </w:r>
      <w:r w:rsidRPr="00DE64D6">
        <w:rPr>
          <w:lang w:val="en-NZ"/>
        </w:rPr>
        <w:t xml:space="preserve"> the </w:t>
      </w:r>
      <w:r w:rsidR="00544B87">
        <w:rPr>
          <w:lang w:val="en-NZ"/>
        </w:rPr>
        <w:t xml:space="preserve">possible </w:t>
      </w:r>
      <w:r w:rsidRPr="00DE64D6">
        <w:rPr>
          <w:lang w:val="en-NZ"/>
        </w:rPr>
        <w:t xml:space="preserve">modification of the Radio Regulations under WRC-19 Agenda Item 1.9.2, APT </w:t>
      </w:r>
      <w:r w:rsidR="00544B87">
        <w:rPr>
          <w:lang w:val="en-NZ"/>
        </w:rPr>
        <w:t>Members are</w:t>
      </w:r>
      <w:r w:rsidR="00544B87" w:rsidRPr="00DE64D6">
        <w:rPr>
          <w:lang w:val="en-NZ"/>
        </w:rPr>
        <w:t xml:space="preserve"> </w:t>
      </w:r>
      <w:r w:rsidRPr="00DE64D6">
        <w:rPr>
          <w:lang w:val="en-NZ"/>
        </w:rPr>
        <w:t>of the view that:</w:t>
      </w:r>
    </w:p>
    <w:p w14:paraId="07682F64" w14:textId="1D468AEA" w:rsidR="008602B4" w:rsidRPr="00DE64D6" w:rsidRDefault="008602B4" w:rsidP="008602B4">
      <w:pPr>
        <w:pStyle w:val="ListParagraph"/>
        <w:ind w:left="426" w:hanging="425"/>
        <w:jc w:val="both"/>
        <w:rPr>
          <w:lang w:val="en-NZ"/>
        </w:rPr>
      </w:pPr>
      <w:r w:rsidRPr="00DE64D6">
        <w:rPr>
          <w:lang w:val="en-NZ"/>
        </w:rPr>
        <w:lastRenderedPageBreak/>
        <w:t>-</w:t>
      </w:r>
      <w:r w:rsidRPr="00DE64D6">
        <w:rPr>
          <w:lang w:val="en-NZ"/>
        </w:rPr>
        <w:tab/>
        <w:t xml:space="preserve">Existing allocations and systems in </w:t>
      </w:r>
      <w:r w:rsidR="00C71332">
        <w:rPr>
          <w:lang w:val="en-NZ"/>
        </w:rPr>
        <w:t xml:space="preserve">the </w:t>
      </w:r>
      <w:r w:rsidRPr="00DE64D6">
        <w:rPr>
          <w:lang w:val="en-NZ"/>
        </w:rPr>
        <w:t>same and adjacent bands, especially the AIS, must be protected</w:t>
      </w:r>
      <w:r w:rsidR="009D4245">
        <w:rPr>
          <w:lang w:val="en-NZ"/>
        </w:rPr>
        <w:t xml:space="preserve"> from harmful interference or any constrain</w:t>
      </w:r>
      <w:r w:rsidR="00544B87">
        <w:rPr>
          <w:lang w:val="en-NZ"/>
        </w:rPr>
        <w:t>t</w:t>
      </w:r>
      <w:r w:rsidR="009D4245">
        <w:rPr>
          <w:lang w:val="en-NZ"/>
        </w:rPr>
        <w:t>s</w:t>
      </w:r>
      <w:r w:rsidRPr="00DE64D6">
        <w:rPr>
          <w:lang w:val="en-NZ"/>
        </w:rPr>
        <w:t xml:space="preserve">, which include but </w:t>
      </w:r>
      <w:r w:rsidR="00544B87">
        <w:rPr>
          <w:lang w:val="en-NZ"/>
        </w:rPr>
        <w:t xml:space="preserve">are </w:t>
      </w:r>
      <w:r w:rsidRPr="00DE64D6">
        <w:rPr>
          <w:lang w:val="en-NZ"/>
        </w:rPr>
        <w:t>not limit</w:t>
      </w:r>
      <w:r w:rsidR="000D5495">
        <w:rPr>
          <w:lang w:val="en-NZ"/>
        </w:rPr>
        <w:t>ed</w:t>
      </w:r>
      <w:r w:rsidRPr="00DE64D6">
        <w:rPr>
          <w:lang w:val="en-NZ"/>
        </w:rPr>
        <w:t xml:space="preserve"> to, any modification requested to existing AIS equi</w:t>
      </w:r>
      <w:r w:rsidR="000A1210" w:rsidRPr="00DE64D6">
        <w:rPr>
          <w:lang w:val="en-NZ"/>
        </w:rPr>
        <w:t>pment;</w:t>
      </w:r>
    </w:p>
    <w:p w14:paraId="525062FF" w14:textId="5E1A4951" w:rsidR="009B7263" w:rsidRPr="00DE64D6" w:rsidRDefault="008602B4" w:rsidP="008602B4">
      <w:pPr>
        <w:pStyle w:val="ListParagraph"/>
        <w:ind w:left="426" w:hanging="425"/>
        <w:jc w:val="both"/>
        <w:rPr>
          <w:lang w:val="en-NZ"/>
        </w:rPr>
      </w:pPr>
      <w:r w:rsidRPr="00DE64D6">
        <w:rPr>
          <w:lang w:val="en-NZ"/>
        </w:rPr>
        <w:t>-</w:t>
      </w:r>
      <w:r w:rsidRPr="00DE64D6">
        <w:rPr>
          <w:lang w:val="en-NZ"/>
        </w:rPr>
        <w:tab/>
        <w:t>Search and rescue aircraft system operating in maritime</w:t>
      </w:r>
      <w:r w:rsidR="000A1210" w:rsidRPr="00DE64D6">
        <w:rPr>
          <w:lang w:val="en-NZ"/>
        </w:rPr>
        <w:t xml:space="preserve"> frequencies must be protected;</w:t>
      </w:r>
    </w:p>
    <w:p w14:paraId="1A43F507" w14:textId="64E8207F" w:rsidR="003016A3" w:rsidRPr="00DE64D6" w:rsidRDefault="003016A3" w:rsidP="003016A3">
      <w:pPr>
        <w:pStyle w:val="ListParagraph"/>
        <w:ind w:left="426" w:hanging="425"/>
        <w:jc w:val="both"/>
        <w:rPr>
          <w:lang w:val="en-NZ"/>
        </w:rPr>
      </w:pPr>
      <w:r w:rsidRPr="00DE64D6">
        <w:rPr>
          <w:lang w:val="en-NZ"/>
        </w:rPr>
        <w:t>-</w:t>
      </w:r>
      <w:r w:rsidRPr="00DE64D6">
        <w:rPr>
          <w:lang w:val="en-NZ"/>
        </w:rPr>
        <w:tab/>
        <w:t>VDES satellite components downlink transmission should not degrade the terrestrial VDES com</w:t>
      </w:r>
      <w:r w:rsidR="000A1210" w:rsidRPr="00DE64D6">
        <w:rPr>
          <w:lang w:val="en-NZ"/>
        </w:rPr>
        <w:t>ponents, ASM and AIS operations;</w:t>
      </w:r>
    </w:p>
    <w:p w14:paraId="0F305559" w14:textId="5E2753D7" w:rsidR="003016A3" w:rsidRPr="00DE64D6" w:rsidRDefault="003016A3" w:rsidP="003016A3">
      <w:pPr>
        <w:pStyle w:val="ListParagraph"/>
        <w:ind w:left="426" w:hanging="425"/>
        <w:jc w:val="both"/>
        <w:rPr>
          <w:lang w:val="en-NZ"/>
        </w:rPr>
      </w:pPr>
      <w:r w:rsidRPr="00DE64D6">
        <w:rPr>
          <w:rFonts w:hint="eastAsia"/>
          <w:lang w:val="en-NZ"/>
        </w:rPr>
        <w:t>–</w:t>
      </w:r>
      <w:r w:rsidRPr="00DE64D6">
        <w:rPr>
          <w:lang w:val="en-NZ"/>
        </w:rPr>
        <w:tab/>
        <w:t xml:space="preserve">VDES satellite components should not claim protection from harmful interference caused by stations of a </w:t>
      </w:r>
      <w:r w:rsidR="00F97A4A">
        <w:rPr>
          <w:lang w:val="en-NZ"/>
        </w:rPr>
        <w:t>land mobile</w:t>
      </w:r>
      <w:r w:rsidRPr="00DE64D6">
        <w:rPr>
          <w:lang w:val="en-NZ"/>
        </w:rPr>
        <w:t xml:space="preserve"> service to which f</w:t>
      </w:r>
      <w:r w:rsidR="000A1210" w:rsidRPr="00DE64D6">
        <w:rPr>
          <w:lang w:val="en-NZ"/>
        </w:rPr>
        <w:t>requencies are already assigned; and</w:t>
      </w:r>
    </w:p>
    <w:p w14:paraId="75507CD6" w14:textId="25C84B74" w:rsidR="009B7263" w:rsidRDefault="003016A3" w:rsidP="003016A3">
      <w:pPr>
        <w:pStyle w:val="ListParagraph"/>
        <w:ind w:left="426" w:hanging="425"/>
        <w:jc w:val="both"/>
        <w:rPr>
          <w:lang w:val="en-NZ"/>
        </w:rPr>
      </w:pPr>
      <w:r w:rsidRPr="00DE64D6">
        <w:rPr>
          <w:rFonts w:hint="eastAsia"/>
          <w:lang w:val="en-NZ"/>
        </w:rPr>
        <w:t>–</w:t>
      </w:r>
      <w:r w:rsidRPr="00DE64D6">
        <w:rPr>
          <w:lang w:val="en-NZ"/>
        </w:rPr>
        <w:tab/>
        <w:t>If the spectrum needs were appropriate</w:t>
      </w:r>
      <w:r w:rsidR="00833A9A">
        <w:rPr>
          <w:lang w:val="en-NZ"/>
        </w:rPr>
        <w:t>ly</w:t>
      </w:r>
      <w:r w:rsidRPr="00DE64D6">
        <w:rPr>
          <w:lang w:val="en-NZ"/>
        </w:rPr>
        <w:t xml:space="preserve"> justified, new spectrum allocations could be identified to the maritime mobile-satellite service (MMSS) (Earth-to-space and space-to-Earth) with the provisions ensuring not </w:t>
      </w:r>
      <w:r w:rsidR="00833A9A">
        <w:rPr>
          <w:lang w:val="en-NZ"/>
        </w:rPr>
        <w:t xml:space="preserve">to </w:t>
      </w:r>
      <w:r w:rsidRPr="00DE64D6">
        <w:rPr>
          <w:lang w:val="en-NZ"/>
        </w:rPr>
        <w:t xml:space="preserve">cause harmful interference and no claim </w:t>
      </w:r>
      <w:r w:rsidR="00833A9A">
        <w:rPr>
          <w:lang w:val="en-NZ"/>
        </w:rPr>
        <w:t xml:space="preserve">of </w:t>
      </w:r>
      <w:r w:rsidRPr="00DE64D6">
        <w:rPr>
          <w:lang w:val="en-NZ"/>
        </w:rPr>
        <w:t>protection from incumbent service on a primary basis in the same and adjacent frequency bands.</w:t>
      </w:r>
    </w:p>
    <w:p w14:paraId="2E0E675E" w14:textId="77777777" w:rsidR="00FD6235" w:rsidRPr="00827CCB" w:rsidRDefault="00FD6235" w:rsidP="00B64A60">
      <w:pPr>
        <w:rPr>
          <w:lang w:val="en-NZ"/>
        </w:rPr>
      </w:pPr>
    </w:p>
    <w:p w14:paraId="2E0E675F" w14:textId="77777777" w:rsidR="00B64A60" w:rsidRPr="00827CCB" w:rsidRDefault="00B64A60" w:rsidP="00B64A60">
      <w:pPr>
        <w:spacing w:after="120"/>
        <w:jc w:val="both"/>
        <w:rPr>
          <w:b/>
          <w:lang w:val="en-NZ" w:eastAsia="ko-KR"/>
        </w:rPr>
      </w:pPr>
      <w:r w:rsidRPr="00827CCB">
        <w:rPr>
          <w:b/>
          <w:lang w:val="en-NZ" w:eastAsia="ko-KR"/>
        </w:rPr>
        <w:t xml:space="preserve">5. </w:t>
      </w:r>
      <w:r w:rsidRPr="00827CCB">
        <w:rPr>
          <w:b/>
          <w:lang w:val="en-NZ" w:eastAsia="ko-KR"/>
        </w:rPr>
        <w:tab/>
        <w:t>Other Views</w:t>
      </w:r>
    </w:p>
    <w:p w14:paraId="65C9833E" w14:textId="6E9217DF" w:rsidR="008602B4" w:rsidRPr="008602B4" w:rsidRDefault="008602B4" w:rsidP="008602B4">
      <w:pPr>
        <w:rPr>
          <w:rFonts w:eastAsia="MS Mincho"/>
          <w:lang w:val="en-NZ" w:eastAsia="ja-JP"/>
        </w:rPr>
      </w:pPr>
      <w:r w:rsidRPr="00E254D2">
        <w:rPr>
          <w:rFonts w:eastAsia="MS Mincho"/>
          <w:lang w:val="en-NZ" w:eastAsia="ja-JP"/>
        </w:rPr>
        <w:t>None.</w:t>
      </w:r>
    </w:p>
    <w:p w14:paraId="2E0E6761" w14:textId="77777777" w:rsidR="00B64A60" w:rsidRPr="00827CCB" w:rsidRDefault="00B64A60" w:rsidP="00B64A60">
      <w:pPr>
        <w:rPr>
          <w:lang w:val="en-NZ"/>
        </w:rPr>
      </w:pPr>
    </w:p>
    <w:p w14:paraId="11DF0159" w14:textId="3267A27E" w:rsidR="00D53688" w:rsidRPr="00827CCB" w:rsidRDefault="00D53688" w:rsidP="00D53688">
      <w:pPr>
        <w:rPr>
          <w:b/>
          <w:lang w:val="en-NZ"/>
        </w:rPr>
      </w:pPr>
      <w:r w:rsidRPr="00827CCB">
        <w:rPr>
          <w:b/>
          <w:lang w:val="en-NZ"/>
        </w:rPr>
        <w:t xml:space="preserve">6. </w:t>
      </w:r>
      <w:r w:rsidRPr="00827CCB">
        <w:rPr>
          <w:b/>
          <w:lang w:val="en-NZ"/>
        </w:rPr>
        <w:tab/>
        <w:t xml:space="preserve">Views from Other </w:t>
      </w:r>
      <w:r w:rsidR="00A564FB" w:rsidRPr="00827CCB">
        <w:rPr>
          <w:b/>
          <w:lang w:val="en-NZ"/>
        </w:rPr>
        <w:t>Organisations</w:t>
      </w:r>
    </w:p>
    <w:p w14:paraId="2042F741" w14:textId="77777777" w:rsidR="00B24132" w:rsidRPr="00827CCB" w:rsidRDefault="00B24132" w:rsidP="00D53688">
      <w:pPr>
        <w:numPr>
          <w:ilvl w:val="0"/>
          <w:numId w:val="18"/>
        </w:numPr>
        <w:ind w:leftChars="145" w:left="708"/>
        <w:rPr>
          <w:lang w:val="en-NZ"/>
        </w:rPr>
      </w:pPr>
      <w:r w:rsidRPr="00827CCB">
        <w:rPr>
          <w:lang w:val="en-NZ"/>
        </w:rPr>
        <w:t>ASMG</w:t>
      </w:r>
    </w:p>
    <w:p w14:paraId="334375DF" w14:textId="6C5F76B9" w:rsidR="00D53688" w:rsidRPr="00827CCB" w:rsidRDefault="00B24132" w:rsidP="00BD48B7">
      <w:pPr>
        <w:spacing w:after="120"/>
        <w:ind w:left="709"/>
        <w:rPr>
          <w:lang w:val="en-NZ"/>
        </w:rPr>
      </w:pPr>
      <w:r w:rsidRPr="00827CCB">
        <w:rPr>
          <w:lang w:val="en-NZ"/>
        </w:rPr>
        <w:t>Support the ongoing studies in ITU-R on the development of the necessary protection criteria for the satellite receiving equipment of VDES system while ensuring the protection of services allocated to the candidate frequency bands and adjacent bands.</w:t>
      </w:r>
    </w:p>
    <w:p w14:paraId="6CE6EB5B" w14:textId="07DDDC11" w:rsidR="00B24132" w:rsidRPr="00827CCB" w:rsidRDefault="00406D6A" w:rsidP="00B24132">
      <w:pPr>
        <w:numPr>
          <w:ilvl w:val="0"/>
          <w:numId w:val="18"/>
        </w:numPr>
        <w:ind w:leftChars="145" w:left="708"/>
        <w:rPr>
          <w:lang w:val="en-NZ"/>
        </w:rPr>
      </w:pPr>
      <w:r w:rsidRPr="00827CCB">
        <w:rPr>
          <w:lang w:val="en-NZ"/>
        </w:rPr>
        <w:t>ICAO</w:t>
      </w:r>
    </w:p>
    <w:p w14:paraId="6E388019" w14:textId="218C731B" w:rsidR="00406D6A" w:rsidRPr="00827CCB" w:rsidRDefault="00406D6A" w:rsidP="00BD48B7">
      <w:pPr>
        <w:spacing w:after="120"/>
        <w:ind w:left="709"/>
        <w:rPr>
          <w:lang w:val="en-NZ"/>
        </w:rPr>
      </w:pPr>
      <w:r w:rsidRPr="00827CCB">
        <w:rPr>
          <w:lang w:val="en-NZ"/>
        </w:rPr>
        <w:t>To ensure that any change to the regulatory provisions and spectrum allocations resulting from this agenda item do not adversely impact aviation systems, including the capability of search and rescue aircraft to effectively communicate with vessels during disaster relief operations.</w:t>
      </w:r>
    </w:p>
    <w:p w14:paraId="033B9276" w14:textId="445F5646" w:rsidR="00406D6A" w:rsidRPr="00827CCB" w:rsidRDefault="00406D6A" w:rsidP="00406D6A">
      <w:pPr>
        <w:numPr>
          <w:ilvl w:val="0"/>
          <w:numId w:val="18"/>
        </w:numPr>
        <w:ind w:leftChars="145" w:left="708"/>
        <w:rPr>
          <w:lang w:val="en-NZ"/>
        </w:rPr>
      </w:pPr>
      <w:r w:rsidRPr="00827CCB">
        <w:rPr>
          <w:rFonts w:eastAsia="MS Mincho"/>
          <w:lang w:val="en-NZ" w:eastAsia="ja-JP"/>
        </w:rPr>
        <w:t>CITEL</w:t>
      </w:r>
    </w:p>
    <w:p w14:paraId="5227BB12" w14:textId="77777777" w:rsidR="00406D6A" w:rsidRPr="00827CCB" w:rsidRDefault="00406D6A" w:rsidP="00406D6A">
      <w:pPr>
        <w:ind w:left="708"/>
        <w:rPr>
          <w:lang w:val="en-NZ"/>
        </w:rPr>
      </w:pPr>
      <w:r w:rsidRPr="00827CCB">
        <w:rPr>
          <w:lang w:val="en-NZ"/>
        </w:rPr>
        <w:t>CAN</w:t>
      </w:r>
    </w:p>
    <w:p w14:paraId="14B7D295" w14:textId="39029A95" w:rsidR="00406D6A" w:rsidRPr="00827CCB" w:rsidRDefault="00406D6A" w:rsidP="00406D6A">
      <w:pPr>
        <w:ind w:left="708"/>
        <w:rPr>
          <w:lang w:val="en-NZ"/>
        </w:rPr>
      </w:pPr>
      <w:r w:rsidRPr="00827CCB">
        <w:rPr>
          <w:lang w:val="en-NZ"/>
        </w:rPr>
        <w:t>Noting that the proposed alternatives are being discussed, Canada believes that other alternative channel plans must be explored. In order to establish a comprehensive VDES channel plan for all VDES components, Autonomous Maritime Radio Devices (AMRDs) operating within the same frequency band must also be taken into account.</w:t>
      </w:r>
    </w:p>
    <w:p w14:paraId="764E225C" w14:textId="13146402" w:rsidR="00406D6A" w:rsidRDefault="00406D6A" w:rsidP="00406D6A">
      <w:pPr>
        <w:ind w:left="708"/>
        <w:rPr>
          <w:lang w:val="en-NZ"/>
        </w:rPr>
      </w:pPr>
      <w:r w:rsidRPr="00827CCB">
        <w:rPr>
          <w:lang w:val="en-NZ"/>
        </w:rPr>
        <w:t>These devices may use AIS technology; digital selective calling (DSC) technology; or transmit synthetic voice messages. Combinations of these technologies can be found in equipment already available on the market. AMRDs are being addressed under Agenda Item 1.9.1. In view of this, VDES channel plans should take into account frequencies for AMRDs.</w:t>
      </w:r>
    </w:p>
    <w:p w14:paraId="104D6BCF" w14:textId="5E260FF7" w:rsidR="00586EFB" w:rsidRPr="00827CCB" w:rsidRDefault="00586EFB" w:rsidP="00586EFB">
      <w:pPr>
        <w:spacing w:after="120"/>
        <w:ind w:left="709"/>
        <w:rPr>
          <w:lang w:val="en-NZ"/>
        </w:rPr>
      </w:pPr>
      <w:r w:rsidRPr="00586EFB">
        <w:rPr>
          <w:lang w:val="en-NZ"/>
        </w:rPr>
        <w:t>Source: Original text is from document 4281</w:t>
      </w:r>
    </w:p>
    <w:p w14:paraId="2E89214E" w14:textId="77777777" w:rsidR="00406D6A" w:rsidRPr="00827CCB" w:rsidRDefault="00406D6A" w:rsidP="00406D6A">
      <w:pPr>
        <w:ind w:left="708"/>
        <w:rPr>
          <w:lang w:val="en-NZ"/>
        </w:rPr>
      </w:pPr>
      <w:r w:rsidRPr="00827CCB">
        <w:rPr>
          <w:lang w:val="en-NZ"/>
        </w:rPr>
        <w:t>USA</w:t>
      </w:r>
    </w:p>
    <w:p w14:paraId="1F6E794F" w14:textId="756791E3" w:rsidR="00406D6A" w:rsidRPr="00827CCB" w:rsidRDefault="00406D6A" w:rsidP="00BD48B7">
      <w:pPr>
        <w:spacing w:after="120"/>
        <w:ind w:left="709"/>
        <w:rPr>
          <w:lang w:val="en-NZ"/>
        </w:rPr>
      </w:pPr>
      <w:r w:rsidRPr="00827CCB">
        <w:rPr>
          <w:lang w:val="en-NZ"/>
        </w:rPr>
        <w:t>The United States supports the ITU-R studies prescribed in Resolution 360 (Rev. WRC-15) and these studies should also take into account the protection of existing terrestrial services which operate in these and adjacent frequency bands.</w:t>
      </w:r>
    </w:p>
    <w:p w14:paraId="47BE5C11" w14:textId="7AE38D30" w:rsidR="00406D6A" w:rsidRPr="00827CCB" w:rsidRDefault="00406D6A" w:rsidP="00406D6A">
      <w:pPr>
        <w:numPr>
          <w:ilvl w:val="0"/>
          <w:numId w:val="18"/>
        </w:numPr>
        <w:ind w:leftChars="145" w:left="708"/>
        <w:rPr>
          <w:lang w:val="en-NZ"/>
        </w:rPr>
      </w:pPr>
      <w:r w:rsidRPr="00827CCB">
        <w:rPr>
          <w:rFonts w:eastAsia="MS Mincho"/>
          <w:lang w:val="en-NZ" w:eastAsia="ja-JP"/>
        </w:rPr>
        <w:t>RCC</w:t>
      </w:r>
    </w:p>
    <w:p w14:paraId="6CDEDB14" w14:textId="0704DEE4" w:rsidR="00406D6A" w:rsidRPr="00827CCB" w:rsidRDefault="008144C7" w:rsidP="00BD48B7">
      <w:pPr>
        <w:spacing w:after="120"/>
        <w:ind w:left="709"/>
        <w:rPr>
          <w:lang w:val="en-NZ"/>
        </w:rPr>
      </w:pPr>
      <w:r w:rsidRPr="00827CCB">
        <w:rPr>
          <w:lang w:val="en-NZ"/>
        </w:rPr>
        <w:t>The RCC Administrations consider that introduction of the VDES satellite component shall not result in imposing constraints on existing and planned systems of services which have allocations in the common and adjacent frequency bands.</w:t>
      </w:r>
    </w:p>
    <w:p w14:paraId="4EBC9327" w14:textId="58BB172E" w:rsidR="00406D6A" w:rsidRPr="00827CCB" w:rsidRDefault="00406D6A" w:rsidP="00406D6A">
      <w:pPr>
        <w:numPr>
          <w:ilvl w:val="0"/>
          <w:numId w:val="18"/>
        </w:numPr>
        <w:ind w:leftChars="145" w:left="708"/>
        <w:rPr>
          <w:lang w:val="en-NZ"/>
        </w:rPr>
      </w:pPr>
      <w:r w:rsidRPr="00827CCB">
        <w:rPr>
          <w:rFonts w:eastAsia="MS Mincho"/>
          <w:lang w:val="en-NZ" w:eastAsia="ja-JP"/>
        </w:rPr>
        <w:lastRenderedPageBreak/>
        <w:t>ATU</w:t>
      </w:r>
    </w:p>
    <w:p w14:paraId="336611E4" w14:textId="3CBAB92A" w:rsidR="00406D6A" w:rsidRPr="00827CCB" w:rsidRDefault="008144C7" w:rsidP="00BD48B7">
      <w:pPr>
        <w:spacing w:after="120"/>
        <w:ind w:left="709"/>
        <w:rPr>
          <w:lang w:val="en-NZ"/>
        </w:rPr>
      </w:pPr>
      <w:r w:rsidRPr="00827CCB">
        <w:rPr>
          <w:lang w:val="en-NZ"/>
        </w:rPr>
        <w:t>No preliminary position on this agenda item yet.</w:t>
      </w:r>
    </w:p>
    <w:p w14:paraId="540059CC" w14:textId="359316DE" w:rsidR="00406D6A" w:rsidRPr="00827CCB" w:rsidRDefault="00406D6A" w:rsidP="00406D6A">
      <w:pPr>
        <w:numPr>
          <w:ilvl w:val="0"/>
          <w:numId w:val="18"/>
        </w:numPr>
        <w:ind w:leftChars="145" w:left="708"/>
        <w:rPr>
          <w:lang w:val="en-NZ"/>
        </w:rPr>
      </w:pPr>
      <w:r w:rsidRPr="00827CCB">
        <w:rPr>
          <w:rFonts w:eastAsia="MS Mincho"/>
          <w:lang w:val="en-NZ" w:eastAsia="ja-JP"/>
        </w:rPr>
        <w:t>CEPT</w:t>
      </w:r>
    </w:p>
    <w:p w14:paraId="6F5AA716" w14:textId="2BA1B67B" w:rsidR="008144C7" w:rsidRPr="00827CCB" w:rsidRDefault="008144C7" w:rsidP="008144C7">
      <w:pPr>
        <w:ind w:left="708"/>
        <w:rPr>
          <w:lang w:val="en-NZ"/>
        </w:rPr>
      </w:pPr>
      <w:r w:rsidRPr="00827CCB">
        <w:rPr>
          <w:lang w:val="en-NZ"/>
        </w:rPr>
        <w:t>CEPT supports sharing and compatibility studies between the proposed VDES satellite component and the</w:t>
      </w:r>
      <w:r w:rsidRPr="00827CCB">
        <w:rPr>
          <w:rFonts w:eastAsia="MS Mincho"/>
          <w:lang w:val="en-NZ" w:eastAsia="ja-JP"/>
        </w:rPr>
        <w:t xml:space="preserve"> </w:t>
      </w:r>
      <w:r w:rsidRPr="00827CCB">
        <w:rPr>
          <w:lang w:val="en-NZ"/>
        </w:rPr>
        <w:t>systems in the radiocommunication services allocated in the same and in adjacent frequency bands.</w:t>
      </w:r>
    </w:p>
    <w:p w14:paraId="19209CDD" w14:textId="102B19E8" w:rsidR="008144C7" w:rsidRPr="00827CCB" w:rsidRDefault="008144C7" w:rsidP="008144C7">
      <w:pPr>
        <w:ind w:left="708"/>
        <w:rPr>
          <w:lang w:val="en-NZ"/>
        </w:rPr>
      </w:pPr>
      <w:r w:rsidRPr="00827CCB">
        <w:rPr>
          <w:lang w:val="en-NZ"/>
        </w:rPr>
        <w:t xml:space="preserve">CEPT is of the view that </w:t>
      </w:r>
      <w:r w:rsidR="00E67B88" w:rsidRPr="00827CCB">
        <w:rPr>
          <w:lang w:val="en-NZ"/>
        </w:rPr>
        <w:t>implement ability</w:t>
      </w:r>
      <w:r w:rsidRPr="00827CCB">
        <w:rPr>
          <w:lang w:val="en-NZ"/>
        </w:rPr>
        <w:t xml:space="preserve"> of the VDES satellite component and feasibility of its sharing and compatibility with the systems in the radiocommunication services allocated in the same and adjacent frequency bands without imposing any limitations on those services shall be confirmed by appropriate study results.</w:t>
      </w:r>
    </w:p>
    <w:p w14:paraId="132E778B" w14:textId="6BFFEB45" w:rsidR="008144C7" w:rsidRPr="00827CCB" w:rsidRDefault="008144C7" w:rsidP="008144C7">
      <w:pPr>
        <w:ind w:left="708"/>
        <w:rPr>
          <w:lang w:val="en-NZ"/>
        </w:rPr>
      </w:pPr>
      <w:r w:rsidRPr="00827CCB">
        <w:rPr>
          <w:lang w:val="en-NZ"/>
        </w:rPr>
        <w:t>Subject to the results of relevant studies, CEPT is considering two options:</w:t>
      </w:r>
    </w:p>
    <w:p w14:paraId="3AE0E29C" w14:textId="070A84DC" w:rsidR="008144C7" w:rsidRPr="00827CCB" w:rsidRDefault="008144C7" w:rsidP="008144C7">
      <w:pPr>
        <w:pStyle w:val="ListParagraph"/>
        <w:ind w:leftChars="450" w:left="1560" w:hangingChars="200" w:hanging="480"/>
        <w:rPr>
          <w:lang w:val="en-NZ"/>
        </w:rPr>
      </w:pPr>
      <w:r w:rsidRPr="00827CCB">
        <w:rPr>
          <w:lang w:val="en-NZ"/>
        </w:rPr>
        <w:t>•</w:t>
      </w:r>
      <w:r w:rsidRPr="00827CCB">
        <w:rPr>
          <w:lang w:val="en-NZ"/>
        </w:rPr>
        <w:tab/>
        <w:t>the introduction of a new maritime mobile-satellite (space-to-Earth) service allocation within the frequency bands 160.9625-161.4875 MHz which is not channelized in RR Appendix 18 and the introduction of a new maritime mobile-satellite (Earth-to-space) service allocation for the channels 24, 84, 25, 85, 26 and 86 of RR Appendix 18</w:t>
      </w:r>
    </w:p>
    <w:p w14:paraId="193C4986" w14:textId="5644C056" w:rsidR="008144C7" w:rsidRPr="00827CCB" w:rsidRDefault="008144C7" w:rsidP="008144C7">
      <w:pPr>
        <w:pStyle w:val="ListParagraph"/>
        <w:ind w:leftChars="450" w:left="1560" w:hangingChars="200" w:hanging="480"/>
        <w:rPr>
          <w:lang w:val="en-NZ"/>
        </w:rPr>
      </w:pPr>
      <w:r w:rsidRPr="00827CCB">
        <w:rPr>
          <w:lang w:val="en-NZ"/>
        </w:rPr>
        <w:t>•</w:t>
      </w:r>
      <w:r w:rsidRPr="00827CCB">
        <w:rPr>
          <w:lang w:val="en-NZ"/>
        </w:rPr>
        <w:tab/>
        <w:t>the introduction of a new maritime mobile satellite service for the channels 1024, 1084, 1025, 1085, 1026, 1086 (Earth-to-space) of RR Appendix 18 and for the channels 2024, 2084, 2025, 2085, 2026 and 2086 (space-to-Earth) of RR Appendix 18;</w:t>
      </w:r>
    </w:p>
    <w:p w14:paraId="2C81C4EC" w14:textId="44DA4E35" w:rsidR="00406D6A" w:rsidRDefault="008144C7" w:rsidP="005E07F8">
      <w:pPr>
        <w:spacing w:after="120"/>
        <w:ind w:left="709"/>
        <w:rPr>
          <w:lang w:val="en-NZ"/>
        </w:rPr>
      </w:pPr>
      <w:r w:rsidRPr="00827CCB">
        <w:rPr>
          <w:lang w:val="en-NZ"/>
        </w:rPr>
        <w:t xml:space="preserve">For both options the </w:t>
      </w:r>
      <w:proofErr w:type="spellStart"/>
      <w:r w:rsidRPr="00827CCB">
        <w:rPr>
          <w:lang w:val="en-NZ"/>
        </w:rPr>
        <w:t>pfd</w:t>
      </w:r>
      <w:proofErr w:type="spellEnd"/>
      <w:r w:rsidRPr="00827CCB">
        <w:rPr>
          <w:lang w:val="en-NZ"/>
        </w:rPr>
        <w:t xml:space="preserve"> mask defined in Recommendation ITU-R M.2092, applies to the satellite component of VDES in order to ensure protection of the terrestrial services.</w:t>
      </w:r>
    </w:p>
    <w:p w14:paraId="48CC4FCD" w14:textId="77777777" w:rsidR="005E07F8" w:rsidRPr="005E07F8" w:rsidRDefault="005E07F8" w:rsidP="005E07F8">
      <w:pPr>
        <w:ind w:left="708"/>
        <w:rPr>
          <w:lang w:val="en-NZ"/>
        </w:rPr>
      </w:pPr>
      <w:r w:rsidRPr="005E07F8">
        <w:rPr>
          <w:lang w:val="en-NZ"/>
        </w:rPr>
        <w:t>Subject to the finalisation of relevant studies, CEPT is considering:</w:t>
      </w:r>
    </w:p>
    <w:p w14:paraId="563989E2" w14:textId="3D7B18DA" w:rsidR="005E07F8" w:rsidRPr="005E07F8" w:rsidRDefault="005E07F8" w:rsidP="005E07F8">
      <w:pPr>
        <w:pStyle w:val="ListParagraph"/>
        <w:ind w:leftChars="450" w:left="1560" w:hangingChars="200" w:hanging="480"/>
        <w:rPr>
          <w:lang w:val="en-NZ"/>
        </w:rPr>
      </w:pPr>
      <w:r w:rsidRPr="00827CCB">
        <w:rPr>
          <w:lang w:val="en-NZ"/>
        </w:rPr>
        <w:t>•</w:t>
      </w:r>
      <w:r w:rsidRPr="00827CCB">
        <w:rPr>
          <w:lang w:val="en-NZ"/>
        </w:rPr>
        <w:tab/>
      </w:r>
      <w:r w:rsidRPr="005E07F8">
        <w:rPr>
          <w:lang w:val="en-NZ"/>
        </w:rPr>
        <w:t>the introduction of a new maritime mobile-satellite (space-to-Earth) service allocation</w:t>
      </w:r>
      <w:r>
        <w:rPr>
          <w:lang w:val="en-NZ"/>
        </w:rPr>
        <w:t xml:space="preserve"> </w:t>
      </w:r>
      <w:r w:rsidRPr="005E07F8">
        <w:rPr>
          <w:lang w:val="en-NZ"/>
        </w:rPr>
        <w:t>within the frequency bands 160.9625 - 161.4875 MHz which is not channelized in RR</w:t>
      </w:r>
      <w:r>
        <w:rPr>
          <w:lang w:val="en-NZ"/>
        </w:rPr>
        <w:t xml:space="preserve"> </w:t>
      </w:r>
      <w:r w:rsidRPr="005E07F8">
        <w:rPr>
          <w:lang w:val="en-NZ"/>
        </w:rPr>
        <w:t>Appendix 18, or channels 2024, 2084, 2025, 2085, 2026 and 2086 of RR Appendix 18;</w:t>
      </w:r>
    </w:p>
    <w:p w14:paraId="509924B8" w14:textId="692FA07A" w:rsidR="005E07F8" w:rsidRPr="005E07F8" w:rsidRDefault="005E07F8" w:rsidP="005E07F8">
      <w:pPr>
        <w:pStyle w:val="ListParagraph"/>
        <w:ind w:leftChars="450" w:left="1560" w:hangingChars="200" w:hanging="480"/>
        <w:rPr>
          <w:lang w:val="en-NZ"/>
        </w:rPr>
      </w:pPr>
      <w:r w:rsidRPr="00827CCB">
        <w:rPr>
          <w:lang w:val="en-NZ"/>
        </w:rPr>
        <w:t>•</w:t>
      </w:r>
      <w:r w:rsidRPr="00827CCB">
        <w:rPr>
          <w:lang w:val="en-NZ"/>
        </w:rPr>
        <w:tab/>
      </w:r>
      <w:r w:rsidRPr="005E07F8">
        <w:rPr>
          <w:lang w:val="en-NZ"/>
        </w:rPr>
        <w:t>the introduction of a new maritime mobile-satellite (Earth-to-space) service allocation</w:t>
      </w:r>
      <w:r>
        <w:rPr>
          <w:lang w:val="en-NZ"/>
        </w:rPr>
        <w:t xml:space="preserve"> </w:t>
      </w:r>
      <w:r w:rsidRPr="005E07F8">
        <w:rPr>
          <w:lang w:val="en-NZ"/>
        </w:rPr>
        <w:t>for the channels 24, 84, 25, 85, 26 and 86 of RR Appendix 18;</w:t>
      </w:r>
    </w:p>
    <w:p w14:paraId="05F71A47" w14:textId="37B30668" w:rsidR="005E07F8" w:rsidRPr="00827CCB" w:rsidRDefault="005E07F8" w:rsidP="005E07F8">
      <w:pPr>
        <w:pStyle w:val="ListParagraph"/>
        <w:ind w:leftChars="450" w:left="1560" w:hangingChars="200" w:hanging="480"/>
        <w:rPr>
          <w:lang w:val="en-NZ"/>
        </w:rPr>
      </w:pPr>
      <w:r w:rsidRPr="00827CCB">
        <w:rPr>
          <w:lang w:val="en-NZ"/>
        </w:rPr>
        <w:t>•</w:t>
      </w:r>
      <w:r w:rsidRPr="00827CCB">
        <w:rPr>
          <w:lang w:val="en-NZ"/>
        </w:rPr>
        <w:tab/>
      </w:r>
      <w:r w:rsidRPr="005E07F8">
        <w:rPr>
          <w:lang w:val="en-NZ"/>
        </w:rPr>
        <w:t>the application of the PFD mask defined in Recommendation ITU-R M.2092, to the</w:t>
      </w:r>
      <w:r>
        <w:rPr>
          <w:lang w:val="en-NZ"/>
        </w:rPr>
        <w:t xml:space="preserve"> </w:t>
      </w:r>
      <w:r w:rsidRPr="005E07F8">
        <w:rPr>
          <w:lang w:val="en-NZ"/>
        </w:rPr>
        <w:t>satellite component of VDES in order to ensure protection of the terrestrial services.</w:t>
      </w:r>
    </w:p>
    <w:p w14:paraId="2E0E6762" w14:textId="77777777" w:rsidR="00B64A60" w:rsidRPr="00827CCB" w:rsidRDefault="00B64A60" w:rsidP="00B64A60">
      <w:pPr>
        <w:rPr>
          <w:lang w:val="en-NZ"/>
        </w:rPr>
      </w:pPr>
    </w:p>
    <w:p w14:paraId="2E0E6763" w14:textId="1327959E" w:rsidR="00B64A60" w:rsidRPr="00827CCB" w:rsidRDefault="00D53688" w:rsidP="00B64A60">
      <w:pPr>
        <w:spacing w:after="120"/>
        <w:jc w:val="both"/>
        <w:rPr>
          <w:b/>
          <w:lang w:val="en-NZ" w:eastAsia="ko-KR"/>
        </w:rPr>
      </w:pPr>
      <w:r w:rsidRPr="00827CCB">
        <w:rPr>
          <w:b/>
          <w:lang w:val="en-NZ" w:eastAsia="ko-KR"/>
        </w:rPr>
        <w:t>7</w:t>
      </w:r>
      <w:r w:rsidR="00B64A60" w:rsidRPr="00827CCB">
        <w:rPr>
          <w:b/>
          <w:lang w:val="en-NZ" w:eastAsia="ko-KR"/>
        </w:rPr>
        <w:t xml:space="preserve">. </w:t>
      </w:r>
      <w:r w:rsidR="00B64A60" w:rsidRPr="00827CCB">
        <w:rPr>
          <w:b/>
          <w:lang w:val="en-NZ" w:eastAsia="ko-KR"/>
        </w:rPr>
        <w:tab/>
        <w:t xml:space="preserve">Issues for </w:t>
      </w:r>
      <w:r w:rsidR="00585F3C" w:rsidRPr="00827CCB">
        <w:rPr>
          <w:b/>
          <w:lang w:val="en-NZ" w:eastAsia="ko-KR"/>
        </w:rPr>
        <w:t>C</w:t>
      </w:r>
      <w:r w:rsidR="00B64A60" w:rsidRPr="00827CCB">
        <w:rPr>
          <w:b/>
          <w:lang w:val="en-NZ" w:eastAsia="ko-KR"/>
        </w:rPr>
        <w:t xml:space="preserve">onsideration at </w:t>
      </w:r>
      <w:r w:rsidR="00585F3C" w:rsidRPr="00827CCB">
        <w:rPr>
          <w:b/>
          <w:lang w:val="en-NZ" w:eastAsia="ko-KR"/>
        </w:rPr>
        <w:t>N</w:t>
      </w:r>
      <w:r w:rsidR="00B64A60" w:rsidRPr="00827CCB">
        <w:rPr>
          <w:b/>
          <w:lang w:val="en-NZ" w:eastAsia="ko-KR"/>
        </w:rPr>
        <w:t xml:space="preserve">ext APG </w:t>
      </w:r>
      <w:r w:rsidR="00585F3C" w:rsidRPr="00827CCB">
        <w:rPr>
          <w:b/>
          <w:lang w:val="en-NZ" w:eastAsia="ko-KR"/>
        </w:rPr>
        <w:t>M</w:t>
      </w:r>
      <w:r w:rsidR="00B64A60" w:rsidRPr="00827CCB">
        <w:rPr>
          <w:b/>
          <w:lang w:val="en-NZ" w:eastAsia="ko-KR"/>
        </w:rPr>
        <w:t>eeting</w:t>
      </w:r>
    </w:p>
    <w:p w14:paraId="2E0E6764" w14:textId="55A2195B" w:rsidR="00B64A60" w:rsidRPr="00827CCB" w:rsidRDefault="00B11AE9" w:rsidP="00B11AE9">
      <w:pPr>
        <w:rPr>
          <w:lang w:val="en-NZ"/>
        </w:rPr>
      </w:pPr>
      <w:r w:rsidRPr="00DE64D6">
        <w:rPr>
          <w:lang w:val="en-NZ"/>
        </w:rPr>
        <w:t>APT Members are encouraged to contribute their views, taking into account</w:t>
      </w:r>
      <w:r w:rsidR="004B3DD9">
        <w:rPr>
          <w:rFonts w:ascii="MS Mincho" w:eastAsia="MS Mincho" w:hAnsi="MS Mincho" w:hint="eastAsia"/>
          <w:lang w:val="en-NZ" w:eastAsia="ja-JP"/>
        </w:rPr>
        <w:t xml:space="preserve"> </w:t>
      </w:r>
      <w:r w:rsidRPr="00DE64D6">
        <w:rPr>
          <w:lang w:val="en-NZ"/>
        </w:rPr>
        <w:t xml:space="preserve">the </w:t>
      </w:r>
      <w:r w:rsidR="00F97A4A">
        <w:rPr>
          <w:lang w:val="en-NZ"/>
        </w:rPr>
        <w:t>ITU-R stud</w:t>
      </w:r>
      <w:r w:rsidR="00C73C82">
        <w:rPr>
          <w:lang w:val="en-NZ"/>
        </w:rPr>
        <w:t>ies</w:t>
      </w:r>
      <w:r w:rsidR="00F97A4A">
        <w:rPr>
          <w:lang w:val="en-NZ"/>
        </w:rPr>
        <w:t xml:space="preserve"> and </w:t>
      </w:r>
      <w:r w:rsidRPr="00DE64D6">
        <w:rPr>
          <w:lang w:val="en-NZ"/>
        </w:rPr>
        <w:t>APT preliminary views</w:t>
      </w:r>
      <w:r w:rsidR="00C73C82">
        <w:rPr>
          <w:lang w:val="en-NZ"/>
        </w:rPr>
        <w:t>,</w:t>
      </w:r>
      <w:r w:rsidRPr="00DE64D6">
        <w:rPr>
          <w:lang w:val="en-NZ"/>
        </w:rPr>
        <w:t xml:space="preserve"> and submit contributions to AP</w:t>
      </w:r>
      <w:r w:rsidR="00A55886" w:rsidRPr="00DE64D6">
        <w:rPr>
          <w:lang w:val="en-NZ"/>
        </w:rPr>
        <w:t>G</w:t>
      </w:r>
      <w:r w:rsidRPr="00DE64D6">
        <w:rPr>
          <w:lang w:val="en-NZ"/>
        </w:rPr>
        <w:t>19-3.</w:t>
      </w:r>
    </w:p>
    <w:p w14:paraId="2E0E6766" w14:textId="77777777" w:rsidR="00B64A60" w:rsidRPr="00AE46F2" w:rsidRDefault="00B64A60" w:rsidP="00B64A60">
      <w:pPr>
        <w:jc w:val="both"/>
        <w:rPr>
          <w:lang w:val="en-NZ"/>
        </w:rPr>
      </w:pPr>
    </w:p>
    <w:p w14:paraId="2E0E6767" w14:textId="77777777" w:rsidR="00B64A60" w:rsidRPr="00827CCB" w:rsidRDefault="00B64A60" w:rsidP="00B64A60">
      <w:pPr>
        <w:jc w:val="both"/>
        <w:rPr>
          <w:lang w:val="en-NZ"/>
        </w:rPr>
      </w:pPr>
    </w:p>
    <w:p w14:paraId="2E0E676F" w14:textId="77777777" w:rsidR="00654896" w:rsidRPr="00827CCB" w:rsidRDefault="00654896" w:rsidP="00B64A60">
      <w:pPr>
        <w:rPr>
          <w:b/>
          <w:lang w:val="en-NZ"/>
        </w:rPr>
      </w:pPr>
    </w:p>
    <w:p w14:paraId="2E0E6770" w14:textId="77777777" w:rsidR="00B64A60" w:rsidRPr="00827CCB" w:rsidRDefault="00B64A60" w:rsidP="00B64A60">
      <w:pPr>
        <w:jc w:val="center"/>
        <w:rPr>
          <w:snapToGrid w:val="0"/>
          <w:lang w:val="en-NZ"/>
        </w:rPr>
      </w:pPr>
      <w:r w:rsidRPr="00827CCB">
        <w:rPr>
          <w:lang w:val="en-NZ"/>
        </w:rPr>
        <w:t>____________</w:t>
      </w:r>
    </w:p>
    <w:p w14:paraId="2E0E6771" w14:textId="77777777" w:rsidR="00930E64" w:rsidRPr="00827CCB" w:rsidRDefault="00930E64" w:rsidP="00D13D9D">
      <w:pPr>
        <w:jc w:val="both"/>
        <w:rPr>
          <w:lang w:val="en-NZ"/>
        </w:rPr>
      </w:pPr>
    </w:p>
    <w:sectPr w:rsidR="00930E64" w:rsidRPr="00827CCB" w:rsidSect="00DB0A68">
      <w:headerReference w:type="default" r:id="rId11"/>
      <w:footerReference w:type="even" r:id="rId12"/>
      <w:footerReference w:type="default" r:id="rId13"/>
      <w:footerReference w:type="first" r:id="rId14"/>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D41DD" w14:textId="77777777" w:rsidR="00715CC8" w:rsidRDefault="00715CC8">
      <w:r>
        <w:separator/>
      </w:r>
    </w:p>
  </w:endnote>
  <w:endnote w:type="continuationSeparator" w:id="0">
    <w:p w14:paraId="7B3A76BC" w14:textId="77777777" w:rsidR="00715CC8" w:rsidRDefault="0071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00000000"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1E8A81BF" w:rsidR="0097693B" w:rsidRDefault="00170C14" w:rsidP="00170C14">
    <w:pPr>
      <w:pStyle w:val="Footer"/>
      <w:ind w:right="360"/>
    </w:pPr>
    <w:r>
      <w:rPr>
        <w:rFonts w:hint="eastAsia"/>
        <w:lang w:eastAsia="ko-KR"/>
      </w:rPr>
      <w:t>A</w:t>
    </w:r>
    <w:r>
      <w:rPr>
        <w:lang w:eastAsia="ko-KR"/>
      </w:rPr>
      <w:t>PG19-2/OUT-18</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14:paraId="2E0E6780" w14:textId="77777777">
      <w:trPr>
        <w:cantSplit/>
        <w:trHeight w:val="204"/>
        <w:jc w:val="center"/>
      </w:trPr>
      <w:tc>
        <w:tcPr>
          <w:tcW w:w="1617" w:type="dxa"/>
          <w:tcBorders>
            <w:top w:val="single" w:sz="12" w:space="0" w:color="auto"/>
          </w:tcBorders>
        </w:tcPr>
        <w:p w14:paraId="2E0E677D" w14:textId="77777777" w:rsidR="0097693B" w:rsidRDefault="0097693B" w:rsidP="00762576">
          <w:pPr>
            <w:rPr>
              <w:b/>
              <w:bCs/>
            </w:rPr>
          </w:pPr>
        </w:p>
      </w:tc>
      <w:tc>
        <w:tcPr>
          <w:tcW w:w="4394" w:type="dxa"/>
          <w:tcBorders>
            <w:top w:val="single" w:sz="12" w:space="0" w:color="auto"/>
          </w:tcBorders>
        </w:tcPr>
        <w:p w14:paraId="2E0E677E" w14:textId="77777777" w:rsidR="0097693B" w:rsidRDefault="0097693B" w:rsidP="00762576">
          <w:pPr>
            <w:rPr>
              <w:rFonts w:eastAsia="Batang"/>
            </w:rPr>
          </w:pPr>
        </w:p>
      </w:tc>
      <w:tc>
        <w:tcPr>
          <w:tcW w:w="3912" w:type="dxa"/>
          <w:tcBorders>
            <w:top w:val="single" w:sz="12" w:space="0" w:color="auto"/>
          </w:tcBorders>
        </w:tcPr>
        <w:p w14:paraId="2E0E677F" w14:textId="77777777" w:rsidR="0097693B" w:rsidRDefault="0097693B" w:rsidP="00762576">
          <w:pPr>
            <w:rPr>
              <w:lang w:eastAsia="ja-JP"/>
            </w:rPr>
          </w:pPr>
        </w:p>
      </w:tc>
    </w:tr>
  </w:tbl>
  <w:p w14:paraId="2E0E6781" w14:textId="77777777"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2CE68" w14:textId="77777777" w:rsidR="00715CC8" w:rsidRDefault="00715CC8">
      <w:r>
        <w:separator/>
      </w:r>
    </w:p>
  </w:footnote>
  <w:footnote w:type="continuationSeparator" w:id="0">
    <w:p w14:paraId="4A7FFDE1" w14:textId="77777777" w:rsidR="00715CC8" w:rsidRDefault="00715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72EAE6FC" w:rsidR="0097693B" w:rsidRDefault="0097693B" w:rsidP="00C15633">
    <w:pPr>
      <w:pStyle w:val="Header"/>
      <w:tabs>
        <w:tab w:val="center" w:pos="4763"/>
        <w:tab w:val="left" w:pos="5820"/>
      </w:tabs>
      <w:rPr>
        <w:lang w:eastAsia="ko-KR"/>
      </w:rPr>
    </w:pPr>
    <w:r>
      <w:rPr>
        <w:lang w:eastAsia="ko-KR"/>
      </w:rPr>
      <w:tab/>
    </w:r>
  </w:p>
  <w:p w14:paraId="2E0E6779"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23A7C15"/>
    <w:multiLevelType w:val="hybridMultilevel"/>
    <w:tmpl w:val="0E46DFE8"/>
    <w:lvl w:ilvl="0" w:tplc="45FC5BEE">
      <w:start w:val="19"/>
      <w:numFmt w:val="bullet"/>
      <w:lvlText w:val="•"/>
      <w:lvlJc w:val="left"/>
      <w:pPr>
        <w:ind w:left="3240" w:hanging="360"/>
      </w:pPr>
      <w:rPr>
        <w:rFonts w:ascii="BatangChe" w:eastAsia="BatangChe" w:hAnsi="BatangChe" w:cs="Times New Roman" w:hint="eastAsia"/>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19"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0"/>
  </w:num>
  <w:num w:numId="2">
    <w:abstractNumId w:val="6"/>
  </w:num>
  <w:num w:numId="3">
    <w:abstractNumId w:val="5"/>
  </w:num>
  <w:num w:numId="4">
    <w:abstractNumId w:val="16"/>
  </w:num>
  <w:num w:numId="5">
    <w:abstractNumId w:val="9"/>
  </w:num>
  <w:num w:numId="6">
    <w:abstractNumId w:val="11"/>
  </w:num>
  <w:num w:numId="7">
    <w:abstractNumId w:val="3"/>
  </w:num>
  <w:num w:numId="8">
    <w:abstractNumId w:val="1"/>
  </w:num>
  <w:num w:numId="9">
    <w:abstractNumId w:val="18"/>
  </w:num>
  <w:num w:numId="10">
    <w:abstractNumId w:val="15"/>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9"/>
  </w:num>
  <w:num w:numId="17">
    <w:abstractNumId w:val="14"/>
  </w:num>
  <w:num w:numId="18">
    <w:abstractNumId w:val="12"/>
  </w:num>
  <w:num w:numId="19">
    <w:abstractNumId w:val="17"/>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7A74"/>
    <w:rsid w:val="00010C8E"/>
    <w:rsid w:val="0003595B"/>
    <w:rsid w:val="00036517"/>
    <w:rsid w:val="00036CC9"/>
    <w:rsid w:val="00070642"/>
    <w:rsid w:val="000713CF"/>
    <w:rsid w:val="00075C14"/>
    <w:rsid w:val="000822B5"/>
    <w:rsid w:val="00094B87"/>
    <w:rsid w:val="000A012B"/>
    <w:rsid w:val="000A1210"/>
    <w:rsid w:val="000A5418"/>
    <w:rsid w:val="000D5495"/>
    <w:rsid w:val="000D7B42"/>
    <w:rsid w:val="000F345F"/>
    <w:rsid w:val="000F517C"/>
    <w:rsid w:val="000F5540"/>
    <w:rsid w:val="00105F1A"/>
    <w:rsid w:val="001409B2"/>
    <w:rsid w:val="00152636"/>
    <w:rsid w:val="001539DD"/>
    <w:rsid w:val="00156782"/>
    <w:rsid w:val="001677FC"/>
    <w:rsid w:val="00170C14"/>
    <w:rsid w:val="001731F4"/>
    <w:rsid w:val="00173620"/>
    <w:rsid w:val="001804FE"/>
    <w:rsid w:val="00196568"/>
    <w:rsid w:val="00197C18"/>
    <w:rsid w:val="001A2F16"/>
    <w:rsid w:val="001A7C79"/>
    <w:rsid w:val="001B1804"/>
    <w:rsid w:val="001B18C2"/>
    <w:rsid w:val="001C519D"/>
    <w:rsid w:val="001C61A5"/>
    <w:rsid w:val="001C6707"/>
    <w:rsid w:val="001D5D7E"/>
    <w:rsid w:val="001F5947"/>
    <w:rsid w:val="00202410"/>
    <w:rsid w:val="002053AF"/>
    <w:rsid w:val="00214A0C"/>
    <w:rsid w:val="0021588B"/>
    <w:rsid w:val="002216AC"/>
    <w:rsid w:val="00240319"/>
    <w:rsid w:val="002506D2"/>
    <w:rsid w:val="00250DE2"/>
    <w:rsid w:val="00254A1B"/>
    <w:rsid w:val="0026064A"/>
    <w:rsid w:val="0028454D"/>
    <w:rsid w:val="00291C9E"/>
    <w:rsid w:val="002926D4"/>
    <w:rsid w:val="002B06A3"/>
    <w:rsid w:val="002B435C"/>
    <w:rsid w:val="002B447F"/>
    <w:rsid w:val="002C07DA"/>
    <w:rsid w:val="002C7EA9"/>
    <w:rsid w:val="002D6817"/>
    <w:rsid w:val="002F575D"/>
    <w:rsid w:val="003016A3"/>
    <w:rsid w:val="003113D7"/>
    <w:rsid w:val="00311E8A"/>
    <w:rsid w:val="00333F1D"/>
    <w:rsid w:val="00342F20"/>
    <w:rsid w:val="00360377"/>
    <w:rsid w:val="00366548"/>
    <w:rsid w:val="003809C7"/>
    <w:rsid w:val="0038236C"/>
    <w:rsid w:val="00395B40"/>
    <w:rsid w:val="003A6568"/>
    <w:rsid w:val="003B6263"/>
    <w:rsid w:val="003C0F92"/>
    <w:rsid w:val="003C29E6"/>
    <w:rsid w:val="003C64A7"/>
    <w:rsid w:val="003D1671"/>
    <w:rsid w:val="003D3FDA"/>
    <w:rsid w:val="003D6D00"/>
    <w:rsid w:val="003E166F"/>
    <w:rsid w:val="003E545A"/>
    <w:rsid w:val="003F28BF"/>
    <w:rsid w:val="004001E5"/>
    <w:rsid w:val="00406D6A"/>
    <w:rsid w:val="00420822"/>
    <w:rsid w:val="00420C74"/>
    <w:rsid w:val="00422779"/>
    <w:rsid w:val="004465AA"/>
    <w:rsid w:val="004475A5"/>
    <w:rsid w:val="0045458F"/>
    <w:rsid w:val="00461EF5"/>
    <w:rsid w:val="004633B4"/>
    <w:rsid w:val="00487900"/>
    <w:rsid w:val="004A2F96"/>
    <w:rsid w:val="004B3553"/>
    <w:rsid w:val="004B3DD9"/>
    <w:rsid w:val="004B3F4B"/>
    <w:rsid w:val="004C618A"/>
    <w:rsid w:val="00503189"/>
    <w:rsid w:val="00526D01"/>
    <w:rsid w:val="00530E8C"/>
    <w:rsid w:val="00544B87"/>
    <w:rsid w:val="00545933"/>
    <w:rsid w:val="00552105"/>
    <w:rsid w:val="005562F2"/>
    <w:rsid w:val="00557544"/>
    <w:rsid w:val="00565BBB"/>
    <w:rsid w:val="00585F3C"/>
    <w:rsid w:val="00586CA0"/>
    <w:rsid w:val="00586EFB"/>
    <w:rsid w:val="00587875"/>
    <w:rsid w:val="005A63EB"/>
    <w:rsid w:val="005C33B6"/>
    <w:rsid w:val="005D4627"/>
    <w:rsid w:val="005D6202"/>
    <w:rsid w:val="005D6E98"/>
    <w:rsid w:val="005E07F8"/>
    <w:rsid w:val="00607E2B"/>
    <w:rsid w:val="006139D6"/>
    <w:rsid w:val="00616D1B"/>
    <w:rsid w:val="00623CE1"/>
    <w:rsid w:val="0063062B"/>
    <w:rsid w:val="00637351"/>
    <w:rsid w:val="00646166"/>
    <w:rsid w:val="00654896"/>
    <w:rsid w:val="006621F0"/>
    <w:rsid w:val="006647BA"/>
    <w:rsid w:val="00667229"/>
    <w:rsid w:val="0068050C"/>
    <w:rsid w:val="00682BE5"/>
    <w:rsid w:val="00690FED"/>
    <w:rsid w:val="006939A5"/>
    <w:rsid w:val="006D5223"/>
    <w:rsid w:val="006E12FC"/>
    <w:rsid w:val="006F2B2E"/>
    <w:rsid w:val="00705962"/>
    <w:rsid w:val="00707C21"/>
    <w:rsid w:val="00712451"/>
    <w:rsid w:val="00715CC8"/>
    <w:rsid w:val="00717DE9"/>
    <w:rsid w:val="00724CCB"/>
    <w:rsid w:val="0072518B"/>
    <w:rsid w:val="00731041"/>
    <w:rsid w:val="007329E4"/>
    <w:rsid w:val="00732F08"/>
    <w:rsid w:val="007342F0"/>
    <w:rsid w:val="0074190C"/>
    <w:rsid w:val="00762576"/>
    <w:rsid w:val="007673CA"/>
    <w:rsid w:val="00791060"/>
    <w:rsid w:val="007B5626"/>
    <w:rsid w:val="007B6124"/>
    <w:rsid w:val="007D3C53"/>
    <w:rsid w:val="007F2628"/>
    <w:rsid w:val="007F2FBA"/>
    <w:rsid w:val="00800C3A"/>
    <w:rsid w:val="0080570B"/>
    <w:rsid w:val="008144C7"/>
    <w:rsid w:val="008148E1"/>
    <w:rsid w:val="00827CCB"/>
    <w:rsid w:val="008319BF"/>
    <w:rsid w:val="00833A9A"/>
    <w:rsid w:val="00836C88"/>
    <w:rsid w:val="008433C2"/>
    <w:rsid w:val="00844457"/>
    <w:rsid w:val="008454C8"/>
    <w:rsid w:val="00851D78"/>
    <w:rsid w:val="008602B4"/>
    <w:rsid w:val="008A1A0D"/>
    <w:rsid w:val="008A76ED"/>
    <w:rsid w:val="008B3C72"/>
    <w:rsid w:val="008D0E09"/>
    <w:rsid w:val="009002CE"/>
    <w:rsid w:val="00903007"/>
    <w:rsid w:val="00911169"/>
    <w:rsid w:val="00911AEE"/>
    <w:rsid w:val="009137AE"/>
    <w:rsid w:val="00923816"/>
    <w:rsid w:val="0093074B"/>
    <w:rsid w:val="00930E64"/>
    <w:rsid w:val="00941EDE"/>
    <w:rsid w:val="00956F8C"/>
    <w:rsid w:val="00961354"/>
    <w:rsid w:val="00961D57"/>
    <w:rsid w:val="00976716"/>
    <w:rsid w:val="0097693B"/>
    <w:rsid w:val="00985165"/>
    <w:rsid w:val="00993355"/>
    <w:rsid w:val="009963F7"/>
    <w:rsid w:val="009A4A6D"/>
    <w:rsid w:val="009B7263"/>
    <w:rsid w:val="009B7E42"/>
    <w:rsid w:val="009D4245"/>
    <w:rsid w:val="009E13DD"/>
    <w:rsid w:val="00A0503B"/>
    <w:rsid w:val="00A13265"/>
    <w:rsid w:val="00A14900"/>
    <w:rsid w:val="00A2159F"/>
    <w:rsid w:val="00A23D83"/>
    <w:rsid w:val="00A529BC"/>
    <w:rsid w:val="00A5346C"/>
    <w:rsid w:val="00A55886"/>
    <w:rsid w:val="00A562F0"/>
    <w:rsid w:val="00A564FB"/>
    <w:rsid w:val="00A614C1"/>
    <w:rsid w:val="00A61EA6"/>
    <w:rsid w:val="00A71136"/>
    <w:rsid w:val="00A82539"/>
    <w:rsid w:val="00AA474C"/>
    <w:rsid w:val="00AC35EF"/>
    <w:rsid w:val="00AC395E"/>
    <w:rsid w:val="00AC6578"/>
    <w:rsid w:val="00AD2697"/>
    <w:rsid w:val="00AD7E5F"/>
    <w:rsid w:val="00AE3066"/>
    <w:rsid w:val="00AE46F2"/>
    <w:rsid w:val="00AF68E4"/>
    <w:rsid w:val="00B01AA1"/>
    <w:rsid w:val="00B11AE9"/>
    <w:rsid w:val="00B21BBA"/>
    <w:rsid w:val="00B24132"/>
    <w:rsid w:val="00B30C81"/>
    <w:rsid w:val="00B40BE0"/>
    <w:rsid w:val="00B4793B"/>
    <w:rsid w:val="00B64A60"/>
    <w:rsid w:val="00B66AE5"/>
    <w:rsid w:val="00B937D7"/>
    <w:rsid w:val="00B96B67"/>
    <w:rsid w:val="00BB1CD8"/>
    <w:rsid w:val="00BC57EF"/>
    <w:rsid w:val="00BD48B7"/>
    <w:rsid w:val="00BF25F9"/>
    <w:rsid w:val="00C13FD5"/>
    <w:rsid w:val="00C15633"/>
    <w:rsid w:val="00C15799"/>
    <w:rsid w:val="00C22B11"/>
    <w:rsid w:val="00C305B8"/>
    <w:rsid w:val="00C30BB4"/>
    <w:rsid w:val="00C32E84"/>
    <w:rsid w:val="00C35415"/>
    <w:rsid w:val="00C357AD"/>
    <w:rsid w:val="00C554CC"/>
    <w:rsid w:val="00C6069C"/>
    <w:rsid w:val="00C6217B"/>
    <w:rsid w:val="00C711EB"/>
    <w:rsid w:val="00C71332"/>
    <w:rsid w:val="00C73C82"/>
    <w:rsid w:val="00C74745"/>
    <w:rsid w:val="00C85119"/>
    <w:rsid w:val="00CB5F0B"/>
    <w:rsid w:val="00CD320B"/>
    <w:rsid w:val="00CD3779"/>
    <w:rsid w:val="00CD3F37"/>
    <w:rsid w:val="00CD5431"/>
    <w:rsid w:val="00CE4B93"/>
    <w:rsid w:val="00CF2491"/>
    <w:rsid w:val="00CF3963"/>
    <w:rsid w:val="00D1252E"/>
    <w:rsid w:val="00D13D9D"/>
    <w:rsid w:val="00D35E88"/>
    <w:rsid w:val="00D459A2"/>
    <w:rsid w:val="00D530FF"/>
    <w:rsid w:val="00D53688"/>
    <w:rsid w:val="00D5407A"/>
    <w:rsid w:val="00D5593B"/>
    <w:rsid w:val="00D57772"/>
    <w:rsid w:val="00D72AE3"/>
    <w:rsid w:val="00D75A4D"/>
    <w:rsid w:val="00D8478B"/>
    <w:rsid w:val="00D86151"/>
    <w:rsid w:val="00D9172D"/>
    <w:rsid w:val="00DA7595"/>
    <w:rsid w:val="00DB0A68"/>
    <w:rsid w:val="00DC43A3"/>
    <w:rsid w:val="00DC4CF3"/>
    <w:rsid w:val="00DC5C01"/>
    <w:rsid w:val="00DD7C09"/>
    <w:rsid w:val="00DE64D6"/>
    <w:rsid w:val="00E0124F"/>
    <w:rsid w:val="00E1593F"/>
    <w:rsid w:val="00E23125"/>
    <w:rsid w:val="00E254D2"/>
    <w:rsid w:val="00E33D00"/>
    <w:rsid w:val="00E36E86"/>
    <w:rsid w:val="00E46D47"/>
    <w:rsid w:val="00E674D3"/>
    <w:rsid w:val="00E67B88"/>
    <w:rsid w:val="00E70FD0"/>
    <w:rsid w:val="00E77C4B"/>
    <w:rsid w:val="00E814CD"/>
    <w:rsid w:val="00E9301F"/>
    <w:rsid w:val="00E9690A"/>
    <w:rsid w:val="00E97DC7"/>
    <w:rsid w:val="00F000EF"/>
    <w:rsid w:val="00F2504E"/>
    <w:rsid w:val="00F2585B"/>
    <w:rsid w:val="00F4053F"/>
    <w:rsid w:val="00F516E7"/>
    <w:rsid w:val="00F57BF7"/>
    <w:rsid w:val="00F6263E"/>
    <w:rsid w:val="00F627C2"/>
    <w:rsid w:val="00F700A3"/>
    <w:rsid w:val="00F84067"/>
    <w:rsid w:val="00F97A4A"/>
    <w:rsid w:val="00FA50B4"/>
    <w:rsid w:val="00FA68D2"/>
    <w:rsid w:val="00FC156A"/>
    <w:rsid w:val="00FC2224"/>
    <w:rsid w:val="00FD6235"/>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E672F"/>
  <w15:docId w15:val="{EA9D6779-8880-4E35-A482-A13B9425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styleId="FollowedHyperlink">
    <w:name w:val="FollowedHyperlink"/>
    <w:basedOn w:val="DefaultParagraphFont"/>
    <w:semiHidden/>
    <w:unhideWhenUsed/>
    <w:rsid w:val="00827CCB"/>
    <w:rPr>
      <w:color w:val="800080" w:themeColor="followedHyperlink"/>
      <w:u w:val="single"/>
    </w:rPr>
  </w:style>
  <w:style w:type="paragraph" w:styleId="NormalWeb">
    <w:name w:val="Normal (Web)"/>
    <w:basedOn w:val="Normal"/>
    <w:uiPriority w:val="99"/>
    <w:unhideWhenUsed/>
    <w:rsid w:val="00007A74"/>
    <w:pPr>
      <w:spacing w:before="100" w:beforeAutospacing="1" w:after="100" w:afterAutospacing="1"/>
    </w:pPr>
    <w:rPr>
      <w:rFonts w:eastAsia="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R15-WP5B-C-0305/en" TargetMode="External"/><Relationship Id="rId4" Type="http://schemas.openxmlformats.org/officeDocument/2006/relationships/settings" Target="settings.xml"/><Relationship Id="rId9" Type="http://schemas.openxmlformats.org/officeDocument/2006/relationships/hyperlink" Target="https://www.itu.int/md/R15-WP4C-C-0205/e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B99A7-7261-4C64-984D-C233FD2B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2103</Words>
  <Characters>11989</Characters>
  <Application>Microsoft Office Word</Application>
  <DocSecurity>0</DocSecurity>
  <Lines>99</Lines>
  <Paragraphs>28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4</cp:revision>
  <cp:lastPrinted>2015-02-02T07:28:00Z</cp:lastPrinted>
  <dcterms:created xsi:type="dcterms:W3CDTF">2017-07-21T03:51:00Z</dcterms:created>
  <dcterms:modified xsi:type="dcterms:W3CDTF">2017-07-24T03:09:00Z</dcterms:modified>
</cp:coreProperties>
</file>