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304"/>
      </w:tblGrid>
      <w:tr w:rsidR="00CF3963" w:rsidRPr="00891D0B" w14:paraId="73E4C0C3" w14:textId="77777777" w:rsidTr="004F2C0A">
        <w:trPr>
          <w:cantSplit/>
        </w:trPr>
        <w:tc>
          <w:tcPr>
            <w:tcW w:w="1399" w:type="dxa"/>
            <w:vMerge w:val="restart"/>
          </w:tcPr>
          <w:p w14:paraId="41AAFC28" w14:textId="77777777" w:rsidR="00CF3963" w:rsidRPr="00891D0B" w:rsidRDefault="00CF3963" w:rsidP="007D737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808B352" wp14:editId="40D430FF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7986C63" w14:textId="77777777" w:rsidR="00CF3963" w:rsidRPr="00891D0B" w:rsidRDefault="00CF3963" w:rsidP="007D7378">
            <w:r w:rsidRPr="00096326">
              <w:t>ASIA-PACIFIC TELECOMMUNITY</w:t>
            </w:r>
          </w:p>
        </w:tc>
        <w:tc>
          <w:tcPr>
            <w:tcW w:w="2304" w:type="dxa"/>
          </w:tcPr>
          <w:p w14:paraId="0D82F459" w14:textId="77777777" w:rsidR="00CF3963" w:rsidRPr="00096326" w:rsidRDefault="00CF3963" w:rsidP="007D7378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CF3963" w:rsidRPr="00C15799" w14:paraId="448FBFF1" w14:textId="77777777" w:rsidTr="004F2C0A">
        <w:trPr>
          <w:cantSplit/>
        </w:trPr>
        <w:tc>
          <w:tcPr>
            <w:tcW w:w="1399" w:type="dxa"/>
            <w:vMerge/>
          </w:tcPr>
          <w:p w14:paraId="29C3EF27" w14:textId="77777777" w:rsidR="00CF3963" w:rsidRPr="00891D0B" w:rsidRDefault="00CF3963" w:rsidP="007D7378"/>
        </w:tc>
        <w:tc>
          <w:tcPr>
            <w:tcW w:w="5760" w:type="dxa"/>
          </w:tcPr>
          <w:p w14:paraId="5CBA7DD0" w14:textId="77777777" w:rsidR="00CF3963" w:rsidRPr="00891D0B" w:rsidRDefault="00CF3963" w:rsidP="007D7378">
            <w:pPr>
              <w:spacing w:line="0" w:lineRule="atLeast"/>
            </w:pPr>
            <w:r>
              <w:rPr>
                <w:b/>
              </w:rPr>
              <w:t>The 2nd Meeting of the APT Conference Preparatory  Group for WRC-19 (APG19-2)</w:t>
            </w:r>
          </w:p>
        </w:tc>
        <w:tc>
          <w:tcPr>
            <w:tcW w:w="2304" w:type="dxa"/>
          </w:tcPr>
          <w:p w14:paraId="79797BCF" w14:textId="02AC1796" w:rsidR="00CF3963" w:rsidRPr="00C15799" w:rsidRDefault="00CF3963" w:rsidP="00DC1C1D">
            <w:pPr>
              <w:rPr>
                <w:b/>
                <w:bCs/>
                <w:lang w:val="fr-FR" w:eastAsia="ko-KR"/>
              </w:rPr>
            </w:pPr>
            <w:r>
              <w:rPr>
                <w:b/>
                <w:bCs/>
                <w:lang w:val="fr-FR"/>
              </w:rPr>
              <w:t>APG19-2/</w:t>
            </w:r>
            <w:r w:rsidR="005F4FC9">
              <w:rPr>
                <w:rFonts w:hint="eastAsia"/>
                <w:b/>
                <w:bCs/>
                <w:lang w:val="fr-FR" w:eastAsia="ko-KR"/>
              </w:rPr>
              <w:t>OUT</w:t>
            </w:r>
            <w:r w:rsidR="00311E8A">
              <w:rPr>
                <w:b/>
                <w:bCs/>
                <w:lang w:val="fr-FR"/>
              </w:rPr>
              <w:t>-</w:t>
            </w:r>
            <w:r w:rsidR="00870520">
              <w:rPr>
                <w:b/>
                <w:bCs/>
                <w:lang w:val="fr-FR"/>
              </w:rPr>
              <w:t>07</w:t>
            </w:r>
          </w:p>
        </w:tc>
      </w:tr>
      <w:tr w:rsidR="00CF3963" w:rsidRPr="00891D0B" w14:paraId="53A9E6D1" w14:textId="77777777" w:rsidTr="004F2C0A">
        <w:trPr>
          <w:cantSplit/>
          <w:trHeight w:val="219"/>
        </w:trPr>
        <w:tc>
          <w:tcPr>
            <w:tcW w:w="1399" w:type="dxa"/>
            <w:vMerge/>
          </w:tcPr>
          <w:p w14:paraId="59C3513F" w14:textId="77777777" w:rsidR="00CF3963" w:rsidRPr="00C15799" w:rsidRDefault="00CF3963" w:rsidP="007D7378">
            <w:pPr>
              <w:rPr>
                <w:lang w:val="fr-FR"/>
              </w:rPr>
            </w:pPr>
          </w:p>
        </w:tc>
        <w:tc>
          <w:tcPr>
            <w:tcW w:w="5760" w:type="dxa"/>
          </w:tcPr>
          <w:p w14:paraId="3510CFC7" w14:textId="77777777" w:rsidR="00CF3963" w:rsidRPr="00891D0B" w:rsidRDefault="00CF3963" w:rsidP="007D7378">
            <w:r>
              <w:t>17 – 21 July 2017</w:t>
            </w:r>
            <w:r w:rsidRPr="00891D0B">
              <w:t xml:space="preserve">, </w:t>
            </w:r>
            <w:r>
              <w:t>Bali, Republic of Indonesia</w:t>
            </w:r>
          </w:p>
        </w:tc>
        <w:tc>
          <w:tcPr>
            <w:tcW w:w="2304" w:type="dxa"/>
          </w:tcPr>
          <w:p w14:paraId="60FFE2BA" w14:textId="7E849654" w:rsidR="00CF3963" w:rsidRPr="00712451" w:rsidRDefault="005F4FC9" w:rsidP="007D7378">
            <w:pPr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21</w:t>
            </w:r>
            <w:r w:rsidR="00CF3963">
              <w:rPr>
                <w:b/>
              </w:rPr>
              <w:t xml:space="preserve"> July 2017</w:t>
            </w:r>
          </w:p>
        </w:tc>
      </w:tr>
    </w:tbl>
    <w:p w14:paraId="2E0E673C" w14:textId="77777777" w:rsidR="00D13D9D" w:rsidRPr="007673CA" w:rsidRDefault="00D13D9D">
      <w:pPr>
        <w:rPr>
          <w:lang w:val="en-NZ" w:eastAsia="ko-KR"/>
        </w:rPr>
      </w:pPr>
    </w:p>
    <w:p w14:paraId="2E0E6743" w14:textId="77777777" w:rsidR="00930E64" w:rsidRPr="007673CA" w:rsidRDefault="00930E64" w:rsidP="00E82220">
      <w:pPr>
        <w:rPr>
          <w:lang w:val="en-NZ" w:eastAsia="ko-KR"/>
        </w:rPr>
      </w:pPr>
    </w:p>
    <w:p w14:paraId="2E0E6744" w14:textId="2C8FF447" w:rsidR="00B64A60" w:rsidRPr="00553854" w:rsidRDefault="005F4FC9" w:rsidP="00553854">
      <w:pPr>
        <w:spacing w:after="120"/>
        <w:jc w:val="center"/>
        <w:rPr>
          <w:lang w:val="en-NZ" w:eastAsia="ko-KR"/>
        </w:rPr>
      </w:pPr>
      <w:r w:rsidRPr="00553854">
        <w:rPr>
          <w:lang w:val="en-NZ" w:eastAsia="ko-KR"/>
        </w:rPr>
        <w:t>Working Party 3</w:t>
      </w:r>
    </w:p>
    <w:p w14:paraId="2E0E6746" w14:textId="03E2B215" w:rsidR="00B64A60" w:rsidRPr="00311E8A" w:rsidRDefault="00553854" w:rsidP="00553854">
      <w:pPr>
        <w:spacing w:after="120"/>
        <w:jc w:val="center"/>
        <w:rPr>
          <w:b/>
          <w:bCs/>
          <w:caps/>
          <w:lang w:val="en-NZ" w:eastAsia="ko-KR"/>
        </w:rPr>
      </w:pPr>
      <w:r>
        <w:rPr>
          <w:b/>
          <w:bCs/>
          <w:caps/>
          <w:lang w:val="en-NZ"/>
        </w:rPr>
        <w:t xml:space="preserve">Preliminary </w:t>
      </w:r>
      <w:r w:rsidR="00B64A60" w:rsidRPr="00311E8A">
        <w:rPr>
          <w:b/>
          <w:bCs/>
          <w:caps/>
          <w:lang w:val="en-NZ"/>
        </w:rPr>
        <w:t xml:space="preserve">VIEWs on WRC-19 agenda item </w:t>
      </w:r>
      <w:r w:rsidR="003F6FD3">
        <w:rPr>
          <w:rFonts w:hint="eastAsia"/>
          <w:b/>
          <w:bCs/>
          <w:caps/>
          <w:lang w:val="en-NZ" w:eastAsia="ko-KR"/>
        </w:rPr>
        <w:t xml:space="preserve">9.1 </w:t>
      </w:r>
      <w:r>
        <w:rPr>
          <w:b/>
          <w:bCs/>
          <w:caps/>
          <w:lang w:val="en-NZ" w:eastAsia="ko-KR"/>
        </w:rPr>
        <w:t>(</w:t>
      </w:r>
      <w:r w:rsidR="00533856">
        <w:rPr>
          <w:rFonts w:hint="eastAsia"/>
          <w:b/>
          <w:bCs/>
          <w:caps/>
          <w:lang w:val="en-NZ" w:eastAsia="ko-KR"/>
        </w:rPr>
        <w:t>Issue 9.1.2</w:t>
      </w:r>
      <w:r>
        <w:rPr>
          <w:b/>
          <w:bCs/>
          <w:caps/>
          <w:lang w:val="en-NZ" w:eastAsia="ko-KR"/>
        </w:rPr>
        <w:t>)</w:t>
      </w:r>
    </w:p>
    <w:p w14:paraId="2E0E6747" w14:textId="77777777" w:rsidR="00B64A60" w:rsidRDefault="00B64A60" w:rsidP="00B64A60">
      <w:pPr>
        <w:rPr>
          <w:lang w:val="en-NZ"/>
        </w:rPr>
      </w:pPr>
    </w:p>
    <w:p w14:paraId="7409CBE9" w14:textId="77777777" w:rsidR="007C0F4A" w:rsidRPr="003F6FD3" w:rsidRDefault="007C0F4A" w:rsidP="00B64A60">
      <w:pPr>
        <w:jc w:val="both"/>
        <w:rPr>
          <w:b/>
          <w:lang w:val="en-NZ"/>
        </w:rPr>
      </w:pPr>
    </w:p>
    <w:p w14:paraId="30B475BC" w14:textId="77777777" w:rsidR="006569A3" w:rsidRDefault="006569A3" w:rsidP="006569A3">
      <w:pPr>
        <w:jc w:val="both"/>
        <w:rPr>
          <w:b/>
          <w:lang w:eastAsia="ko-KR"/>
        </w:rPr>
      </w:pPr>
      <w:r>
        <w:rPr>
          <w:b/>
        </w:rPr>
        <w:t>Agenda Item 9.1</w:t>
      </w:r>
      <w:r w:rsidRPr="00EE74D2">
        <w:t>:</w:t>
      </w:r>
      <w:r>
        <w:rPr>
          <w:b/>
        </w:rPr>
        <w:t xml:space="preserve"> </w:t>
      </w:r>
      <w:bookmarkStart w:id="0" w:name="_GoBack"/>
      <w:bookmarkEnd w:id="0"/>
    </w:p>
    <w:p w14:paraId="1D52053D" w14:textId="16156A37" w:rsidR="006569A3" w:rsidRDefault="006569A3" w:rsidP="006569A3">
      <w:pPr>
        <w:jc w:val="both"/>
        <w:rPr>
          <w:i/>
          <w:iCs/>
        </w:rPr>
      </w:pPr>
      <w:r w:rsidRPr="00BD09FE">
        <w:rPr>
          <w:i/>
          <w:iCs/>
        </w:rPr>
        <w:t>to consider and approve the Report of the Director of the Radiocommunication Bureau, in accordance with Article 7 of the Convention</w:t>
      </w:r>
      <w:r w:rsidRPr="00BD09FE">
        <w:rPr>
          <w:rFonts w:hint="eastAsia"/>
          <w:i/>
          <w:iCs/>
          <w:lang w:eastAsia="ko-KR"/>
        </w:rPr>
        <w:t xml:space="preserve"> </w:t>
      </w:r>
      <w:r w:rsidRPr="00BD09FE">
        <w:rPr>
          <w:i/>
          <w:iCs/>
        </w:rPr>
        <w:t>on the activities of the Radiocommunication Sector since WRC-15</w:t>
      </w:r>
      <w:r w:rsidRPr="00B3541F">
        <w:rPr>
          <w:i/>
          <w:iCs/>
        </w:rPr>
        <w:t>;</w:t>
      </w:r>
    </w:p>
    <w:p w14:paraId="6E9FACD4" w14:textId="77777777" w:rsidR="006569A3" w:rsidRDefault="006569A3" w:rsidP="006569A3">
      <w:pPr>
        <w:spacing w:after="120"/>
        <w:jc w:val="both"/>
        <w:rPr>
          <w:b/>
          <w:iCs/>
          <w:lang w:eastAsia="ko-KR"/>
        </w:rPr>
      </w:pPr>
    </w:p>
    <w:p w14:paraId="7EB63FA4" w14:textId="77777777" w:rsidR="006569A3" w:rsidRPr="00E97ABC" w:rsidRDefault="006569A3" w:rsidP="006569A3">
      <w:pPr>
        <w:spacing w:after="120"/>
        <w:jc w:val="both"/>
        <w:rPr>
          <w:iCs/>
        </w:rPr>
      </w:pPr>
      <w:r w:rsidRPr="00E97ABC">
        <w:rPr>
          <w:rFonts w:hint="eastAsia"/>
          <w:b/>
          <w:iCs/>
          <w:lang w:eastAsia="ko-KR"/>
        </w:rPr>
        <w:t>Issue 9.1.2</w:t>
      </w:r>
      <w:r w:rsidRPr="00E97ABC">
        <w:rPr>
          <w:iCs/>
          <w:lang w:eastAsia="ko-KR"/>
        </w:rPr>
        <w:t>:</w:t>
      </w:r>
      <w:r w:rsidRPr="00E97ABC">
        <w:rPr>
          <w:rFonts w:hint="eastAsia"/>
          <w:iCs/>
          <w:lang w:eastAsia="ko-KR"/>
        </w:rPr>
        <w:tab/>
      </w:r>
      <w:r w:rsidRPr="000E3021">
        <w:rPr>
          <w:rFonts w:hint="eastAsia"/>
          <w:i/>
          <w:iCs/>
          <w:lang w:eastAsia="ko-KR"/>
        </w:rPr>
        <w:t xml:space="preserve">Resolution </w:t>
      </w:r>
      <w:r w:rsidRPr="000E3021">
        <w:rPr>
          <w:rFonts w:hint="eastAsia"/>
          <w:b/>
          <w:i/>
          <w:iCs/>
          <w:lang w:eastAsia="ko-KR"/>
        </w:rPr>
        <w:t>761</w:t>
      </w:r>
      <w:r w:rsidRPr="000E3021">
        <w:rPr>
          <w:rFonts w:hint="eastAsia"/>
          <w:i/>
          <w:iCs/>
          <w:lang w:eastAsia="ko-KR"/>
        </w:rPr>
        <w:t xml:space="preserve"> </w:t>
      </w:r>
      <w:r w:rsidRPr="000E3021">
        <w:rPr>
          <w:rFonts w:hint="eastAsia"/>
          <w:b/>
          <w:i/>
          <w:iCs/>
          <w:lang w:eastAsia="ko-KR"/>
        </w:rPr>
        <w:t>(WRC-15)</w:t>
      </w:r>
      <w:r w:rsidRPr="000E3021">
        <w:rPr>
          <w:rFonts w:hint="eastAsia"/>
          <w:i/>
          <w:iCs/>
          <w:lang w:eastAsia="ko-KR"/>
        </w:rPr>
        <w:t xml:space="preserve"> </w:t>
      </w:r>
      <w:r w:rsidRPr="000E3021">
        <w:rPr>
          <w:i/>
          <w:iCs/>
        </w:rPr>
        <w:t>Compatibility of International Mobile Telecommunications and broadcasting-satellite service (sound) in the frequency band 1 452-1 492 MHz in Regions 1 and 3</w:t>
      </w:r>
    </w:p>
    <w:p w14:paraId="2E0E674A" w14:textId="77777777" w:rsidR="00B64A60" w:rsidRPr="00710333" w:rsidRDefault="00B64A60" w:rsidP="00B64A60">
      <w:pPr>
        <w:jc w:val="both"/>
        <w:rPr>
          <w:lang w:val="en-NZ" w:eastAsia="ko-KR"/>
        </w:rPr>
      </w:pPr>
    </w:p>
    <w:p w14:paraId="2E0E674B" w14:textId="01D21698" w:rsidR="00B64A60" w:rsidRPr="00710333" w:rsidRDefault="00B64A60" w:rsidP="00EA3599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1.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Background</w:t>
      </w:r>
    </w:p>
    <w:p w14:paraId="535E6A53" w14:textId="77777777" w:rsidR="002A39EE" w:rsidRPr="000D3053" w:rsidRDefault="002A39EE" w:rsidP="005F4FC9">
      <w:pPr>
        <w:spacing w:after="120"/>
        <w:rPr>
          <w:lang w:eastAsia="zh-CN"/>
        </w:rPr>
      </w:pPr>
      <w:r w:rsidRPr="000D3053">
        <w:rPr>
          <w:lang w:eastAsia="zh-CN"/>
        </w:rPr>
        <w:t xml:space="preserve">Pursuant to Resolution </w:t>
      </w:r>
      <w:r w:rsidRPr="002A39EE">
        <w:rPr>
          <w:b/>
          <w:lang w:eastAsia="zh-CN"/>
        </w:rPr>
        <w:t>761 (WRC-15)</w:t>
      </w:r>
      <w:r w:rsidRPr="000D3053">
        <w:rPr>
          <w:lang w:eastAsia="zh-CN"/>
        </w:rPr>
        <w:t xml:space="preserve">, the regulatory and technical studies between International Mobile Telecommunications (IMT) and broadcasting-satellite service (sound) (BSS (sound)) in the frequency band 1 452-1 492 MHz in Regions 1 and 3 need to be conducted by ITU-R in time for the WRC-19, taking into account IMT and BSS (sound) operational requirements. </w:t>
      </w:r>
    </w:p>
    <w:p w14:paraId="544D2D80" w14:textId="77777777" w:rsidR="00446747" w:rsidRPr="002A39EE" w:rsidRDefault="00446747" w:rsidP="005F4FC9">
      <w:pPr>
        <w:spacing w:after="120"/>
        <w:jc w:val="both"/>
        <w:rPr>
          <w:rFonts w:eastAsiaTheme="minorEastAsia"/>
          <w:lang w:val="en-GB" w:eastAsia="ja-JP"/>
        </w:rPr>
      </w:pPr>
      <w:r w:rsidRPr="002A39EE">
        <w:rPr>
          <w:rFonts w:eastAsiaTheme="minorEastAsia" w:hint="eastAsia"/>
          <w:lang w:val="en-GB" w:eastAsia="ja-JP"/>
        </w:rPr>
        <w:t xml:space="preserve">Resolution </w:t>
      </w:r>
      <w:r w:rsidRPr="00EA3599">
        <w:rPr>
          <w:rFonts w:eastAsiaTheme="minorEastAsia" w:hint="eastAsia"/>
          <w:b/>
          <w:lang w:val="en-GB" w:eastAsia="ja-JP"/>
        </w:rPr>
        <w:t>761</w:t>
      </w:r>
      <w:r w:rsidRPr="002A39EE">
        <w:rPr>
          <w:rFonts w:eastAsiaTheme="minorEastAsia" w:hint="eastAsia"/>
          <w:lang w:val="en-GB" w:eastAsia="ja-JP"/>
        </w:rPr>
        <w:t xml:space="preserve"> (</w:t>
      </w:r>
      <w:r w:rsidRPr="00EA3599">
        <w:rPr>
          <w:rFonts w:eastAsiaTheme="minorEastAsia" w:hint="eastAsia"/>
          <w:b/>
          <w:lang w:val="en-GB" w:eastAsia="ja-JP"/>
        </w:rPr>
        <w:t>WRC-15</w:t>
      </w:r>
      <w:r w:rsidRPr="002A39EE">
        <w:rPr>
          <w:rFonts w:eastAsiaTheme="minorEastAsia" w:hint="eastAsia"/>
          <w:lang w:val="en-GB" w:eastAsia="ja-JP"/>
        </w:rPr>
        <w:t xml:space="preserve">) </w:t>
      </w:r>
      <w:r w:rsidRPr="002A39EE">
        <w:rPr>
          <w:rFonts w:eastAsiaTheme="minorEastAsia"/>
          <w:i/>
          <w:lang w:val="en-GB" w:eastAsia="ja-JP"/>
        </w:rPr>
        <w:t>resolves to invite ITU-R</w:t>
      </w:r>
      <w:r w:rsidRPr="002A39EE">
        <w:rPr>
          <w:rFonts w:eastAsiaTheme="minorEastAsia"/>
          <w:lang w:val="en-GB" w:eastAsia="ja-JP"/>
        </w:rPr>
        <w:t>:</w:t>
      </w:r>
    </w:p>
    <w:p w14:paraId="2FD75AE6" w14:textId="77777777" w:rsidR="00446747" w:rsidRPr="002A39EE" w:rsidRDefault="00446747" w:rsidP="005F4FC9">
      <w:pPr>
        <w:spacing w:after="120"/>
        <w:jc w:val="both"/>
        <w:rPr>
          <w:rFonts w:eastAsiaTheme="minorEastAsia"/>
          <w:lang w:val="en-GB" w:eastAsia="ja-JP"/>
        </w:rPr>
      </w:pPr>
      <w:r w:rsidRPr="002A39EE">
        <w:rPr>
          <w:rFonts w:eastAsiaTheme="minorEastAsia"/>
          <w:lang w:val="en-GB" w:eastAsia="ja-JP"/>
        </w:rPr>
        <w:t>1</w:t>
      </w:r>
      <w:r w:rsidRPr="002A39EE">
        <w:rPr>
          <w:rFonts w:eastAsiaTheme="minorEastAsia"/>
          <w:lang w:val="en-GB" w:eastAsia="ja-JP"/>
        </w:rPr>
        <w:tab/>
        <w:t>to conduct, in time for WRC</w:t>
      </w:r>
      <w:r w:rsidRPr="002A39EE">
        <w:rPr>
          <w:rFonts w:eastAsiaTheme="minorEastAsia"/>
          <w:lang w:val="en-GB" w:eastAsia="ja-JP"/>
        </w:rPr>
        <w:noBreakHyphen/>
        <w:t>19, the appropriate regulatory and technical studies, with a view to ensuring the compatibility of IMT and BSS (sound) in the frequency band 1 452</w:t>
      </w:r>
      <w:r w:rsidRPr="002A39EE">
        <w:rPr>
          <w:rFonts w:eastAsiaTheme="minorEastAsia"/>
          <w:lang w:val="en-GB" w:eastAsia="ja-JP"/>
        </w:rPr>
        <w:noBreakHyphen/>
        <w:t>1 492 MHz in Regions 1 and 3, taking into account IMT and BSS (sound) operational requirements;</w:t>
      </w:r>
    </w:p>
    <w:p w14:paraId="73C6E366" w14:textId="77777777" w:rsidR="00446747" w:rsidRDefault="00446747" w:rsidP="005F4FC9">
      <w:pPr>
        <w:spacing w:after="120"/>
        <w:jc w:val="both"/>
        <w:rPr>
          <w:rFonts w:eastAsia="Malgun Gothic"/>
          <w:lang w:val="en-GB" w:eastAsia="ko-KR"/>
        </w:rPr>
      </w:pPr>
      <w:r w:rsidRPr="002A39EE">
        <w:rPr>
          <w:rFonts w:eastAsiaTheme="minorEastAsia"/>
          <w:lang w:val="en-GB" w:eastAsia="ja-JP"/>
        </w:rPr>
        <w:t>2</w:t>
      </w:r>
      <w:r w:rsidRPr="002A39EE">
        <w:rPr>
          <w:rFonts w:eastAsiaTheme="minorEastAsia"/>
          <w:lang w:val="en-GB" w:eastAsia="ja-JP"/>
        </w:rPr>
        <w:tab/>
        <w:t xml:space="preserve">to prepare, </w:t>
      </w:r>
      <w:r w:rsidRPr="002A39EE">
        <w:rPr>
          <w:rFonts w:eastAsiaTheme="minorEastAsia"/>
          <w:i/>
          <w:lang w:val="en-GB" w:eastAsia="ja-JP"/>
        </w:rPr>
        <w:t>inter alia</w:t>
      </w:r>
      <w:r w:rsidRPr="002A39EE">
        <w:rPr>
          <w:rFonts w:eastAsiaTheme="minorEastAsia"/>
          <w:lang w:val="en-GB" w:eastAsia="ja-JP"/>
        </w:rPr>
        <w:t xml:space="preserve">, the regulatory action that could be taken, based on the studies carried out under </w:t>
      </w:r>
      <w:r w:rsidRPr="002A39EE">
        <w:rPr>
          <w:rFonts w:eastAsiaTheme="minorEastAsia"/>
          <w:i/>
          <w:lang w:val="en-GB" w:eastAsia="ja-JP"/>
        </w:rPr>
        <w:t>resolves to invite ITU-R</w:t>
      </w:r>
      <w:r w:rsidRPr="002A39EE">
        <w:rPr>
          <w:rFonts w:eastAsiaTheme="minorEastAsia"/>
          <w:lang w:val="en-GB" w:eastAsia="ja-JP"/>
        </w:rPr>
        <w:t> 1 above, in order to facilitate the long-term stability of IMT and BSS (sound) in the frequency band 1 452-1 492 </w:t>
      </w:r>
      <w:proofErr w:type="spellStart"/>
      <w:r w:rsidRPr="002A39EE">
        <w:rPr>
          <w:rFonts w:eastAsiaTheme="minorEastAsia"/>
          <w:lang w:val="en-GB" w:eastAsia="ja-JP"/>
        </w:rPr>
        <w:t>MHz</w:t>
      </w:r>
      <w:r w:rsidRPr="002A39EE">
        <w:rPr>
          <w:rFonts w:eastAsiaTheme="minorEastAsia" w:hint="eastAsia"/>
          <w:lang w:val="en-GB" w:eastAsia="ja-JP"/>
        </w:rPr>
        <w:t>.</w:t>
      </w:r>
      <w:proofErr w:type="spellEnd"/>
    </w:p>
    <w:p w14:paraId="0F510ADB" w14:textId="77777777" w:rsidR="002A39EE" w:rsidRPr="000D3053" w:rsidRDefault="002A39EE" w:rsidP="00BA18A5">
      <w:pPr>
        <w:spacing w:after="120"/>
        <w:jc w:val="both"/>
        <w:rPr>
          <w:lang w:eastAsia="zh-CN"/>
        </w:rPr>
      </w:pPr>
      <w:r w:rsidRPr="000D3053">
        <w:rPr>
          <w:lang w:eastAsia="zh-CN"/>
        </w:rPr>
        <w:t xml:space="preserve">Initially, the frequency band 1 452-1 492 MHz </w:t>
      </w:r>
      <w:r>
        <w:rPr>
          <w:lang w:eastAsia="zh-CN"/>
        </w:rPr>
        <w:t>i</w:t>
      </w:r>
      <w:r w:rsidRPr="000D3053">
        <w:rPr>
          <w:lang w:eastAsia="zh-CN"/>
        </w:rPr>
        <w:t>s allocated to the fixed service (FS), mobile service (MS), broadcasting service (BS) and broadcasting-satellite service (BSS)</w:t>
      </w:r>
      <w:r>
        <w:rPr>
          <w:lang w:eastAsia="zh-CN"/>
        </w:rPr>
        <w:t xml:space="preserve">. </w:t>
      </w:r>
      <w:r w:rsidRPr="000D3053">
        <w:t xml:space="preserve">During WRC-15, this </w:t>
      </w:r>
      <w:r w:rsidRPr="000D3053">
        <w:rPr>
          <w:lang w:eastAsia="zh-CN"/>
        </w:rPr>
        <w:t>frequency band 1 452-1 492 MHz was identified for use by administrations wishing to implement IMT.</w:t>
      </w:r>
    </w:p>
    <w:p w14:paraId="46710954" w14:textId="77777777" w:rsidR="002A39EE" w:rsidRDefault="002A39EE" w:rsidP="00EA3599">
      <w:pPr>
        <w:spacing w:after="120"/>
        <w:jc w:val="both"/>
        <w:rPr>
          <w:rFonts w:eastAsiaTheme="minorEastAsia"/>
          <w:lang w:val="en-GB" w:eastAsia="ja-JP"/>
        </w:rPr>
      </w:pPr>
      <w:r>
        <w:rPr>
          <w:rFonts w:eastAsiaTheme="minorEastAsia" w:hint="eastAsia"/>
          <w:lang w:val="en-GB" w:eastAsia="ja-JP"/>
        </w:rPr>
        <w:t>In order to address c</w:t>
      </w:r>
      <w:r w:rsidRPr="00C51334">
        <w:rPr>
          <w:rFonts w:eastAsiaTheme="minorEastAsia"/>
          <w:lang w:val="en-GB" w:eastAsia="ja-JP"/>
        </w:rPr>
        <w:t xml:space="preserve">ompatibility of </w:t>
      </w:r>
      <w:r>
        <w:rPr>
          <w:rFonts w:eastAsiaTheme="minorEastAsia" w:hint="eastAsia"/>
          <w:lang w:val="en-GB" w:eastAsia="ja-JP"/>
        </w:rPr>
        <w:t>IMT</w:t>
      </w:r>
      <w:r w:rsidRPr="00C51334">
        <w:rPr>
          <w:rFonts w:eastAsiaTheme="minorEastAsia"/>
          <w:lang w:val="en-GB" w:eastAsia="ja-JP"/>
        </w:rPr>
        <w:t xml:space="preserve"> and </w:t>
      </w:r>
      <w:r>
        <w:rPr>
          <w:rFonts w:eastAsiaTheme="minorEastAsia" w:hint="eastAsia"/>
          <w:lang w:val="en-GB" w:eastAsia="ja-JP"/>
        </w:rPr>
        <w:t>BSS</w:t>
      </w:r>
      <w:r w:rsidRPr="00C51334">
        <w:rPr>
          <w:rFonts w:eastAsiaTheme="minorEastAsia"/>
          <w:lang w:val="en-GB" w:eastAsia="ja-JP"/>
        </w:rPr>
        <w:t xml:space="preserve"> (sound) in the frequency band 1 452-1 492 MHz in Regions 1 and 3</w:t>
      </w:r>
      <w:r>
        <w:rPr>
          <w:rFonts w:eastAsiaTheme="minorEastAsia" w:hint="eastAsia"/>
          <w:lang w:val="en-GB" w:eastAsia="ja-JP"/>
        </w:rPr>
        <w:t xml:space="preserve">, WPs 4A and 5D are jointly </w:t>
      </w:r>
      <w:r>
        <w:rPr>
          <w:rFonts w:eastAsiaTheme="minorEastAsia"/>
          <w:lang w:val="en-GB" w:eastAsia="ja-JP"/>
        </w:rPr>
        <w:t>developing</w:t>
      </w:r>
      <w:r>
        <w:rPr>
          <w:rFonts w:eastAsiaTheme="minorEastAsia" w:hint="eastAsia"/>
          <w:lang w:val="en-GB" w:eastAsia="ja-JP"/>
        </w:rPr>
        <w:t xml:space="preserve"> a </w:t>
      </w:r>
      <w:r w:rsidRPr="00C51334">
        <w:rPr>
          <w:rFonts w:eastAsiaTheme="minorEastAsia"/>
          <w:lang w:val="en-GB" w:eastAsia="ja-JP"/>
        </w:rPr>
        <w:t>draft new Report ITU-R M.[IMT&amp;BSS COMPATIBILITY]</w:t>
      </w:r>
      <w:r>
        <w:rPr>
          <w:rFonts w:eastAsiaTheme="minorEastAsia" w:hint="eastAsia"/>
          <w:lang w:val="en-GB" w:eastAsia="ja-JP"/>
        </w:rPr>
        <w:t xml:space="preserve"> and draft CPM text for WRC-19 agenda item 9.1, issue 9.1.2. </w:t>
      </w:r>
    </w:p>
    <w:p w14:paraId="2E0E6750" w14:textId="2DCBC2E8" w:rsidR="00D5407A" w:rsidRPr="004A2F96" w:rsidRDefault="00D5407A" w:rsidP="002A39EE">
      <w:pPr>
        <w:rPr>
          <w:i/>
          <w:lang w:val="en-NZ" w:eastAsia="ko-KR"/>
        </w:rPr>
      </w:pPr>
    </w:p>
    <w:p w14:paraId="2E0E6752" w14:textId="77777777" w:rsidR="00B64A60" w:rsidRPr="00710333" w:rsidRDefault="00B64A60" w:rsidP="00EA3599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2.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Documents</w:t>
      </w:r>
    </w:p>
    <w:p w14:paraId="2E0E6753" w14:textId="3C60EBFD" w:rsidR="00B64A60" w:rsidRPr="00424FF7" w:rsidRDefault="00DC1C1D" w:rsidP="00EA3599">
      <w:pPr>
        <w:numPr>
          <w:ilvl w:val="0"/>
          <w:numId w:val="18"/>
        </w:numPr>
        <w:spacing w:after="120"/>
        <w:ind w:leftChars="145" w:left="708"/>
        <w:rPr>
          <w:lang w:val="en-NZ"/>
        </w:rPr>
      </w:pPr>
      <w:r>
        <w:rPr>
          <w:lang w:val="en-NZ"/>
        </w:rPr>
        <w:t>Input Documents</w:t>
      </w:r>
      <w:r>
        <w:rPr>
          <w:rFonts w:hint="eastAsia"/>
          <w:lang w:val="en-NZ" w:eastAsia="ko-KR"/>
        </w:rPr>
        <w:t xml:space="preserve">: </w:t>
      </w:r>
      <w:r>
        <w:rPr>
          <w:rFonts w:hint="eastAsia"/>
          <w:lang w:eastAsia="ja-JP"/>
        </w:rPr>
        <w:t>APG19-2/INP-10(KOR)</w:t>
      </w:r>
      <w:r w:rsidRPr="003A79E4">
        <w:rPr>
          <w:rFonts w:eastAsia="Malgun Gothic"/>
          <w:lang w:eastAsia="ja-JP"/>
        </w:rPr>
        <w:t>, 22</w:t>
      </w:r>
      <w:r>
        <w:rPr>
          <w:rFonts w:eastAsia="Malgun Gothic" w:hint="eastAsia"/>
          <w:lang w:eastAsia="ko-KR"/>
        </w:rPr>
        <w:t>(NZL)</w:t>
      </w:r>
      <w:r w:rsidRPr="003A79E4">
        <w:rPr>
          <w:rFonts w:eastAsia="Malgun Gothic"/>
          <w:lang w:eastAsia="ja-JP"/>
        </w:rPr>
        <w:t>, 30</w:t>
      </w:r>
      <w:r>
        <w:rPr>
          <w:rFonts w:eastAsia="Malgun Gothic" w:hint="eastAsia"/>
          <w:lang w:eastAsia="ko-KR"/>
        </w:rPr>
        <w:t>(AUS)</w:t>
      </w:r>
      <w:r w:rsidRPr="003A79E4">
        <w:rPr>
          <w:rFonts w:eastAsia="Malgun Gothic"/>
          <w:lang w:eastAsia="ja-JP"/>
        </w:rPr>
        <w:t>, 41</w:t>
      </w:r>
      <w:r>
        <w:rPr>
          <w:rFonts w:eastAsia="Malgun Gothic" w:hint="eastAsia"/>
          <w:lang w:eastAsia="ko-KR"/>
        </w:rPr>
        <w:t>(INS)</w:t>
      </w:r>
      <w:r w:rsidRPr="003A79E4">
        <w:rPr>
          <w:rFonts w:eastAsia="Malgun Gothic"/>
          <w:lang w:eastAsia="ja-JP"/>
        </w:rPr>
        <w:t>,</w:t>
      </w:r>
      <w:r w:rsidR="001E525F">
        <w:rPr>
          <w:rFonts w:eastAsia="Malgun Gothic" w:hint="eastAsia"/>
          <w:lang w:eastAsia="ko-KR"/>
        </w:rPr>
        <w:t xml:space="preserve"> 46(VTN)</w:t>
      </w:r>
      <w:r w:rsidRPr="003A79E4">
        <w:rPr>
          <w:rFonts w:eastAsia="Malgun Gothic"/>
          <w:lang w:eastAsia="ja-JP"/>
        </w:rPr>
        <w:t xml:space="preserve"> 51</w:t>
      </w:r>
      <w:r>
        <w:rPr>
          <w:rFonts w:eastAsia="Malgun Gothic" w:hint="eastAsia"/>
          <w:lang w:eastAsia="ko-KR"/>
        </w:rPr>
        <w:t>(CHN)</w:t>
      </w:r>
      <w:r w:rsidRPr="003A79E4">
        <w:rPr>
          <w:rFonts w:eastAsia="Malgun Gothic"/>
          <w:lang w:eastAsia="ja-JP"/>
        </w:rPr>
        <w:t>, 57</w:t>
      </w:r>
      <w:r>
        <w:rPr>
          <w:rFonts w:eastAsia="Malgun Gothic" w:hint="eastAsia"/>
          <w:lang w:eastAsia="ko-KR"/>
        </w:rPr>
        <w:t>(J)</w:t>
      </w:r>
    </w:p>
    <w:p w14:paraId="2E0E6754" w14:textId="141C52AB" w:rsidR="00B64A60" w:rsidRPr="00424FF7" w:rsidRDefault="00B64A60" w:rsidP="00EA3599">
      <w:pPr>
        <w:numPr>
          <w:ilvl w:val="0"/>
          <w:numId w:val="18"/>
        </w:numPr>
        <w:spacing w:after="120"/>
        <w:ind w:leftChars="145" w:left="708"/>
        <w:rPr>
          <w:lang w:val="en-NZ"/>
        </w:rPr>
      </w:pPr>
      <w:r w:rsidRPr="00D764B3">
        <w:rPr>
          <w:lang w:val="en-NZ"/>
        </w:rPr>
        <w:lastRenderedPageBreak/>
        <w:t>Information Documents</w:t>
      </w:r>
      <w:r w:rsidR="00DC1C1D">
        <w:rPr>
          <w:rFonts w:hint="eastAsia"/>
          <w:lang w:val="en-NZ" w:eastAsia="ko-KR"/>
        </w:rPr>
        <w:t xml:space="preserve">: </w:t>
      </w:r>
      <w:r w:rsidR="00DC1C1D">
        <w:rPr>
          <w:rFonts w:hint="eastAsia"/>
          <w:lang w:eastAsia="ja-JP"/>
        </w:rPr>
        <w:t>APG19-2/INF</w:t>
      </w:r>
      <w:r w:rsidR="00DC1C1D" w:rsidRPr="00950CDC">
        <w:rPr>
          <w:rFonts w:eastAsia="Malgun Gothic" w:hint="eastAsia"/>
          <w:lang w:eastAsia="ko-KR"/>
        </w:rPr>
        <w:t>-</w:t>
      </w:r>
      <w:r w:rsidR="00DC1C1D" w:rsidRPr="003A79E4">
        <w:rPr>
          <w:rFonts w:eastAsia="Malgun Gothic" w:hint="eastAsia"/>
          <w:lang w:eastAsia="ja-JP"/>
        </w:rPr>
        <w:t>1</w:t>
      </w:r>
      <w:r w:rsidR="00DC1C1D">
        <w:rPr>
          <w:rFonts w:eastAsia="Malgun Gothic" w:hint="eastAsia"/>
          <w:lang w:eastAsia="ko-KR"/>
        </w:rPr>
        <w:t>(Chairman, APG-19)</w:t>
      </w:r>
      <w:r w:rsidR="00DC1C1D" w:rsidRPr="003A79E4">
        <w:rPr>
          <w:rFonts w:eastAsia="Malgun Gothic"/>
          <w:lang w:eastAsia="ja-JP"/>
        </w:rPr>
        <w:t>, 4</w:t>
      </w:r>
      <w:r w:rsidR="00DC1C1D">
        <w:rPr>
          <w:rFonts w:eastAsia="Malgun Gothic" w:hint="eastAsia"/>
          <w:lang w:eastAsia="ko-KR"/>
        </w:rPr>
        <w:t>(CITEL)</w:t>
      </w:r>
      <w:r w:rsidR="00DC1C1D" w:rsidRPr="003A79E4">
        <w:rPr>
          <w:rFonts w:eastAsia="Malgun Gothic"/>
          <w:lang w:eastAsia="ja-JP"/>
        </w:rPr>
        <w:t>, 5</w:t>
      </w:r>
      <w:r w:rsidR="00DC1C1D">
        <w:rPr>
          <w:rFonts w:eastAsia="Malgun Gothic" w:hint="eastAsia"/>
          <w:lang w:eastAsia="ko-KR"/>
        </w:rPr>
        <w:t>(RCC)</w:t>
      </w:r>
      <w:r w:rsidR="00DC1C1D">
        <w:rPr>
          <w:rFonts w:eastAsia="Malgun Gothic"/>
          <w:lang w:eastAsia="ja-JP"/>
        </w:rPr>
        <w:t>, 12</w:t>
      </w:r>
      <w:r w:rsidR="00DC1C1D">
        <w:rPr>
          <w:rFonts w:eastAsia="Malgun Gothic" w:hint="eastAsia"/>
          <w:lang w:eastAsia="ko-KR"/>
        </w:rPr>
        <w:t>(DG Chairman)</w:t>
      </w:r>
      <w:r w:rsidR="00DC1C1D" w:rsidRPr="003A79E4">
        <w:rPr>
          <w:rFonts w:eastAsia="Malgun Gothic"/>
          <w:lang w:eastAsia="ja-JP"/>
        </w:rPr>
        <w:t>, 14</w:t>
      </w:r>
      <w:r w:rsidR="00DC1C1D">
        <w:rPr>
          <w:rFonts w:eastAsia="Malgun Gothic" w:hint="eastAsia"/>
          <w:lang w:eastAsia="ko-KR"/>
        </w:rPr>
        <w:t>(CEPT)</w:t>
      </w:r>
    </w:p>
    <w:p w14:paraId="2E0E6756" w14:textId="77777777" w:rsidR="00B64A60" w:rsidRPr="00710333" w:rsidRDefault="00B64A60" w:rsidP="00EA3599">
      <w:pPr>
        <w:spacing w:after="120"/>
        <w:jc w:val="both"/>
        <w:rPr>
          <w:lang w:val="en-NZ" w:eastAsia="ko-KR"/>
        </w:rPr>
      </w:pPr>
    </w:p>
    <w:p w14:paraId="2E0E6757" w14:textId="77777777" w:rsidR="00B64A60" w:rsidRDefault="00B64A60" w:rsidP="00EA3599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3. </w:t>
      </w:r>
      <w:r>
        <w:rPr>
          <w:b/>
          <w:lang w:val="en-NZ" w:eastAsia="ko-KR"/>
        </w:rPr>
        <w:tab/>
        <w:t>Summary of Discussions</w:t>
      </w:r>
    </w:p>
    <w:p w14:paraId="304F9937" w14:textId="31EFCC4C" w:rsidR="004A2F96" w:rsidRDefault="004A2F96" w:rsidP="00EA3599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</w:t>
      </w:r>
      <w:r>
        <w:rPr>
          <w:b/>
          <w:lang w:val="en-NZ" w:eastAsia="ko-KR"/>
        </w:rPr>
        <w:tab/>
        <w:t xml:space="preserve"> S</w:t>
      </w:r>
      <w:r>
        <w:rPr>
          <w:rFonts w:hint="eastAsia"/>
          <w:b/>
          <w:lang w:val="en-NZ" w:eastAsia="ko-KR"/>
        </w:rPr>
        <w:t xml:space="preserve">ummary </w:t>
      </w:r>
      <w:r>
        <w:rPr>
          <w:b/>
          <w:lang w:val="en-NZ" w:eastAsia="ko-KR"/>
        </w:rPr>
        <w:t>of Members’ view</w:t>
      </w:r>
    </w:p>
    <w:p w14:paraId="7993A39D" w14:textId="49C78742" w:rsidR="004A2F96" w:rsidRDefault="004A2F96" w:rsidP="00EA3599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3.1.1 </w:t>
      </w:r>
      <w:r w:rsidR="00EA3599">
        <w:rPr>
          <w:rFonts w:hint="eastAsia"/>
          <w:b/>
          <w:lang w:val="en-NZ" w:eastAsia="ko-KR"/>
        </w:rPr>
        <w:t>Korea (Rep. of)</w:t>
      </w:r>
    </w:p>
    <w:p w14:paraId="38F929DB" w14:textId="7CBD1B47" w:rsidR="00EA3599" w:rsidRPr="00EA3599" w:rsidRDefault="00EA3599" w:rsidP="00EA3599">
      <w:pPr>
        <w:spacing w:after="120"/>
        <w:jc w:val="both"/>
        <w:rPr>
          <w:lang w:eastAsia="ko-KR"/>
        </w:rPr>
      </w:pPr>
      <w:r w:rsidRPr="009F07C7">
        <w:rPr>
          <w:rFonts w:hint="eastAsia"/>
          <w:lang w:eastAsia="ko-KR"/>
        </w:rPr>
        <w:t>T</w:t>
      </w:r>
      <w:r>
        <w:rPr>
          <w:rFonts w:hint="eastAsia"/>
          <w:lang w:eastAsia="ko-KR"/>
        </w:rPr>
        <w:t xml:space="preserve">he Republic of Korea has a preliminary view that it supports the on-going ITU-R studies on compatibility between IMT and BSS (sound) in the </w:t>
      </w:r>
      <w:r>
        <w:rPr>
          <w:lang w:eastAsia="ko-KR"/>
        </w:rPr>
        <w:t>frequency</w:t>
      </w:r>
      <w:r>
        <w:rPr>
          <w:rFonts w:hint="eastAsia"/>
          <w:lang w:eastAsia="ko-KR"/>
        </w:rPr>
        <w:t xml:space="preserve"> band 1 452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1 492 MHz in Region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1 and 3, </w:t>
      </w:r>
      <w:r>
        <w:rPr>
          <w:lang w:eastAsia="ko-KR"/>
        </w:rPr>
        <w:t>to ensure no restriction on the use of IMT.</w:t>
      </w:r>
    </w:p>
    <w:p w14:paraId="6C0308E7" w14:textId="43BFA8D9" w:rsidR="004A2F96" w:rsidRDefault="00EA3599" w:rsidP="007A6B19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3.1.2 New Zealand</w:t>
      </w:r>
    </w:p>
    <w:p w14:paraId="2ABD6F5D" w14:textId="31B3B553" w:rsidR="00EA3599" w:rsidRPr="00EA3599" w:rsidRDefault="00EA3599" w:rsidP="007A6B19">
      <w:pPr>
        <w:tabs>
          <w:tab w:val="left" w:pos="600"/>
        </w:tabs>
        <w:spacing w:after="120"/>
        <w:rPr>
          <w:lang w:val="en-NZ" w:eastAsia="ko-KR"/>
        </w:rPr>
      </w:pPr>
      <w:r w:rsidRPr="00F83A3C">
        <w:rPr>
          <w:lang w:val="en-NZ"/>
        </w:rPr>
        <w:t xml:space="preserve">New Zealand supports the </w:t>
      </w:r>
      <w:r>
        <w:rPr>
          <w:lang w:val="en-NZ"/>
        </w:rPr>
        <w:t>ITU-R s</w:t>
      </w:r>
      <w:r w:rsidRPr="00F83A3C">
        <w:rPr>
          <w:lang w:val="en-NZ"/>
        </w:rPr>
        <w:t>tudies</w:t>
      </w:r>
      <w:r>
        <w:rPr>
          <w:lang w:val="en-NZ"/>
        </w:rPr>
        <w:t xml:space="preserve"> undertaken </w:t>
      </w:r>
      <w:r w:rsidRPr="00F83A3C">
        <w:rPr>
          <w:lang w:val="en-NZ"/>
        </w:rPr>
        <w:t xml:space="preserve">in accordance with Resolution </w:t>
      </w:r>
      <w:r w:rsidRPr="00F83A3C">
        <w:rPr>
          <w:b/>
          <w:lang w:val="en-NZ"/>
        </w:rPr>
        <w:t>761 (WRC-15)</w:t>
      </w:r>
      <w:r w:rsidRPr="00F83A3C">
        <w:rPr>
          <w:lang w:val="en-NZ"/>
        </w:rPr>
        <w:t>, including a possible regulatory condition applicable to the frequency band 1 452-1 492 MHz that would reduce unnecessary coordination (e.g. under RR No.</w:t>
      </w:r>
      <w:r w:rsidRPr="00F83A3C">
        <w:rPr>
          <w:b/>
          <w:lang w:val="en-NZ"/>
        </w:rPr>
        <w:t xml:space="preserve"> 9.19</w:t>
      </w:r>
      <w:r w:rsidRPr="00F83A3C">
        <w:rPr>
          <w:lang w:val="en-NZ"/>
        </w:rPr>
        <w:t>) for countries wishing to implement IMT beyond an appropriate coordination distance from the edge of the BSS service area</w:t>
      </w:r>
      <w:r w:rsidRPr="00446C86">
        <w:rPr>
          <w:lang w:val="en-NZ"/>
        </w:rPr>
        <w:t>.</w:t>
      </w:r>
    </w:p>
    <w:p w14:paraId="76E22F90" w14:textId="5B9F1288" w:rsidR="004A2F96" w:rsidRDefault="004A2F96" w:rsidP="007A6B19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</w:t>
      </w:r>
      <w:r w:rsidR="00EA3599">
        <w:rPr>
          <w:rFonts w:hint="eastAsia"/>
          <w:b/>
          <w:lang w:val="en-NZ" w:eastAsia="ko-KR"/>
        </w:rPr>
        <w:t>3</w:t>
      </w:r>
      <w:r>
        <w:rPr>
          <w:b/>
          <w:lang w:val="en-NZ" w:eastAsia="ko-KR"/>
        </w:rPr>
        <w:t xml:space="preserve"> </w:t>
      </w:r>
      <w:r w:rsidR="00EA3599">
        <w:rPr>
          <w:b/>
          <w:lang w:val="en-NZ" w:eastAsia="ko-KR"/>
        </w:rPr>
        <w:t>Australia</w:t>
      </w:r>
    </w:p>
    <w:p w14:paraId="0096C912" w14:textId="7FCE3B54" w:rsidR="00EA3599" w:rsidRPr="00BA18A5" w:rsidRDefault="00EA3599" w:rsidP="007A6B19">
      <w:pPr>
        <w:spacing w:after="120"/>
        <w:rPr>
          <w:rFonts w:eastAsia="Malgun Gothic"/>
          <w:lang w:eastAsia="ko-KR"/>
        </w:rPr>
      </w:pPr>
      <w:r w:rsidRPr="00E12639">
        <w:rPr>
          <w:rFonts w:eastAsia="Times New Roman"/>
          <w:lang w:val="en-AU" w:bidi="en-US"/>
        </w:rPr>
        <w:t>Australia will monitor studies in ITU-R Working Parties 4A and 5D</w:t>
      </w:r>
      <w:r w:rsidRPr="00E12639">
        <w:rPr>
          <w:rFonts w:eastAsia="Times New Roman"/>
          <w:lang w:bidi="en-US"/>
        </w:rPr>
        <w:t>. The 1 452-1 492 MHz frequency band was globally identified by WRC-15 for use by administrations wishing to implement International Mobile Telecommunications in accordance with Resolution</w:t>
      </w:r>
      <w:r>
        <w:rPr>
          <w:rFonts w:eastAsia="Times New Roman"/>
          <w:lang w:bidi="en-US"/>
        </w:rPr>
        <w:t> </w:t>
      </w:r>
      <w:r w:rsidRPr="00E12639">
        <w:rPr>
          <w:rFonts w:eastAsia="Times New Roman"/>
          <w:b/>
          <w:lang w:bidi="en-US"/>
        </w:rPr>
        <w:t>223</w:t>
      </w:r>
      <w:r>
        <w:rPr>
          <w:rFonts w:eastAsia="Times New Roman"/>
          <w:b/>
          <w:lang w:bidi="en-US"/>
        </w:rPr>
        <w:t> </w:t>
      </w:r>
      <w:r w:rsidRPr="00E12639">
        <w:rPr>
          <w:rFonts w:eastAsia="Times New Roman"/>
          <w:b/>
          <w:lang w:bidi="en-US"/>
        </w:rPr>
        <w:t>(Rev.WRC-15</w:t>
      </w:r>
      <w:r>
        <w:rPr>
          <w:rFonts w:eastAsia="Times New Roman"/>
          <w:b/>
          <w:lang w:bidi="en-US"/>
        </w:rPr>
        <w:t>)</w:t>
      </w:r>
      <w:r>
        <w:rPr>
          <w:rFonts w:eastAsia="Times New Roman"/>
          <w:lang w:bidi="en-US"/>
        </w:rPr>
        <w:t>.</w:t>
      </w:r>
    </w:p>
    <w:p w14:paraId="33AC6CF7" w14:textId="47EBD410" w:rsidR="00EA3599" w:rsidRDefault="00EA3599" w:rsidP="007A6B19">
      <w:pPr>
        <w:spacing w:after="120"/>
        <w:jc w:val="both"/>
        <w:rPr>
          <w:b/>
          <w:lang w:val="en-NZ" w:eastAsia="ko-KR"/>
        </w:rPr>
      </w:pPr>
      <w:r>
        <w:rPr>
          <w:rFonts w:hint="eastAsia"/>
          <w:b/>
          <w:lang w:val="en-NZ" w:eastAsia="ko-KR"/>
        </w:rPr>
        <w:t>3.1.4 Indonesia</w:t>
      </w:r>
    </w:p>
    <w:p w14:paraId="525953AC" w14:textId="2F10DB06" w:rsidR="00EA3599" w:rsidRDefault="00EA3599" w:rsidP="007A6B19">
      <w:pPr>
        <w:spacing w:after="120"/>
        <w:jc w:val="both"/>
        <w:rPr>
          <w:lang w:eastAsia="ko-KR"/>
        </w:rPr>
      </w:pPr>
      <w:r w:rsidRPr="00BB4F5A">
        <w:rPr>
          <w:lang w:val="id-ID"/>
        </w:rPr>
        <w:t xml:space="preserve">Indonesia </w:t>
      </w:r>
      <w:r w:rsidRPr="00BB4F5A">
        <w:t xml:space="preserve">is of the view to </w:t>
      </w:r>
      <w:r>
        <w:t>follow up</w:t>
      </w:r>
      <w:r w:rsidRPr="00BB4F5A">
        <w:t xml:space="preserve"> </w:t>
      </w:r>
      <w:r w:rsidRPr="00BB4F5A">
        <w:rPr>
          <w:lang w:val="en-GB"/>
        </w:rPr>
        <w:t xml:space="preserve">the compatibility studies in defining compatibility conditions, including </w:t>
      </w:r>
      <w:r w:rsidRPr="00BB4F5A">
        <w:rPr>
          <w:lang w:val="ru-RU"/>
        </w:rPr>
        <w:t>technical and operational measures as well as regulatory provisions</w:t>
      </w:r>
      <w:r w:rsidRPr="00BB4F5A">
        <w:t>,</w:t>
      </w:r>
      <w:r w:rsidRPr="00BB4F5A">
        <w:rPr>
          <w:lang w:val="ru-RU"/>
        </w:rPr>
        <w:t xml:space="preserve"> with regard to IMT systems in order to ensure</w:t>
      </w:r>
      <w:r w:rsidRPr="00BB4F5A">
        <w:t xml:space="preserve"> coexistence and</w:t>
      </w:r>
      <w:r w:rsidRPr="00BB4F5A">
        <w:rPr>
          <w:lang w:val="ru-RU"/>
        </w:rPr>
        <w:t xml:space="preserve"> compatibility between IMT terrestrial component (in mobile service) and </w:t>
      </w:r>
      <w:r>
        <w:t>BSS (Sound)</w:t>
      </w:r>
      <w:r w:rsidRPr="00BB4F5A">
        <w:rPr>
          <w:lang w:val="ru-RU"/>
        </w:rPr>
        <w:t xml:space="preserve">, in the frequency bands </w:t>
      </w:r>
      <w:r>
        <w:t>1452 – 1492 MHz</w:t>
      </w:r>
      <w:r w:rsidRPr="00BB4F5A">
        <w:rPr>
          <w:lang w:val="ru-RU"/>
        </w:rPr>
        <w:t xml:space="preserve"> where those frequency bands are </w:t>
      </w:r>
      <w:r w:rsidRPr="00BB4F5A">
        <w:t xml:space="preserve">potentially </w:t>
      </w:r>
      <w:r w:rsidRPr="00BB4F5A">
        <w:rPr>
          <w:lang w:val="ru-RU"/>
        </w:rPr>
        <w:t xml:space="preserve">shared by </w:t>
      </w:r>
      <w:r w:rsidR="00632FF7">
        <w:rPr>
          <w:rFonts w:hint="eastAsia"/>
          <w:lang w:eastAsia="ko-KR"/>
        </w:rPr>
        <w:t>t</w:t>
      </w:r>
      <w:r>
        <w:t>errestrial IMT Systems</w:t>
      </w:r>
      <w:r w:rsidRPr="00BB4F5A">
        <w:rPr>
          <w:lang w:val="ru-RU"/>
        </w:rPr>
        <w:t xml:space="preserve"> and </w:t>
      </w:r>
      <w:r>
        <w:t>BSS (Sound)</w:t>
      </w:r>
      <w:r w:rsidRPr="00BB4F5A">
        <w:rPr>
          <w:lang w:val="ru-RU"/>
        </w:rPr>
        <w:t xml:space="preserve"> in </w:t>
      </w:r>
      <w:r w:rsidRPr="00BB4F5A">
        <w:t>neighboring countries</w:t>
      </w:r>
      <w:r>
        <w:t xml:space="preserve"> at Region 1 and 3.</w:t>
      </w:r>
    </w:p>
    <w:p w14:paraId="0112F2B5" w14:textId="4B6BA45A" w:rsidR="001E525F" w:rsidRDefault="00CC658C" w:rsidP="00BA18A5">
      <w:pPr>
        <w:spacing w:after="120"/>
        <w:jc w:val="both"/>
        <w:rPr>
          <w:lang w:eastAsia="ko-KR"/>
        </w:rPr>
      </w:pPr>
      <w:r>
        <w:rPr>
          <w:rFonts w:hint="eastAsia"/>
          <w:b/>
          <w:lang w:val="en-NZ" w:eastAsia="ko-KR"/>
        </w:rPr>
        <w:t>3.1.5 Vietnam</w:t>
      </w:r>
    </w:p>
    <w:p w14:paraId="37251EC1" w14:textId="1C6600BF" w:rsidR="001E525F" w:rsidRPr="00E82220" w:rsidRDefault="00D91E5C" w:rsidP="00BA18A5">
      <w:pPr>
        <w:spacing w:after="120"/>
        <w:rPr>
          <w:lang w:eastAsia="ko-KR"/>
        </w:rPr>
      </w:pPr>
      <w:r>
        <w:t xml:space="preserve">Viet Nam Administration supports studies being undertaken by ITU-R on this issue and support </w:t>
      </w:r>
      <w:r w:rsidRPr="00F20ADB">
        <w:t xml:space="preserve">the protection of </w:t>
      </w:r>
      <w:r>
        <w:t>IMT terrestrial component</w:t>
      </w:r>
      <w:r w:rsidR="00710ECE">
        <w:t xml:space="preserve"> f</w:t>
      </w:r>
      <w:r w:rsidR="00710ECE">
        <w:rPr>
          <w:rFonts w:hint="eastAsia"/>
          <w:lang w:eastAsia="ko-KR"/>
        </w:rPr>
        <w:t>ro</w:t>
      </w:r>
      <w:r w:rsidRPr="00F20ADB">
        <w:t>m broadcasting-satellite service (sound).</w:t>
      </w:r>
    </w:p>
    <w:p w14:paraId="3D3336D7" w14:textId="26C50A52" w:rsidR="00EA3599" w:rsidRDefault="00EA3599" w:rsidP="00BA18A5">
      <w:pPr>
        <w:spacing w:after="120"/>
        <w:jc w:val="both"/>
        <w:rPr>
          <w:b/>
          <w:lang w:val="en-NZ" w:eastAsia="ko-KR"/>
        </w:rPr>
      </w:pPr>
      <w:r>
        <w:rPr>
          <w:rFonts w:hint="eastAsia"/>
          <w:b/>
          <w:lang w:val="en-NZ" w:eastAsia="ko-KR"/>
        </w:rPr>
        <w:t>3.1.</w:t>
      </w:r>
      <w:r w:rsidR="00D91E5C">
        <w:rPr>
          <w:rFonts w:hint="eastAsia"/>
          <w:b/>
          <w:lang w:val="en-NZ" w:eastAsia="ko-KR"/>
        </w:rPr>
        <w:t xml:space="preserve">6 </w:t>
      </w:r>
      <w:r>
        <w:rPr>
          <w:rFonts w:hint="eastAsia"/>
          <w:b/>
          <w:lang w:val="en-NZ" w:eastAsia="ko-KR"/>
        </w:rPr>
        <w:t>China</w:t>
      </w:r>
    </w:p>
    <w:p w14:paraId="4B5D5B9F" w14:textId="3F258D7A" w:rsidR="00EA3599" w:rsidRDefault="00EA3599" w:rsidP="00BA18A5">
      <w:pPr>
        <w:spacing w:after="120"/>
        <w:jc w:val="both"/>
        <w:rPr>
          <w:lang w:eastAsia="zh-CN"/>
        </w:rPr>
      </w:pPr>
      <w:r>
        <w:rPr>
          <w:lang w:eastAsia="zh-CN"/>
        </w:rPr>
        <w:t>China is of the following preliminary views:</w:t>
      </w:r>
    </w:p>
    <w:p w14:paraId="5790BA47" w14:textId="7029C3AD" w:rsidR="00EA3599" w:rsidRDefault="00EA3599" w:rsidP="005F4FC9">
      <w:pPr>
        <w:pStyle w:val="ListParagraph1"/>
        <w:numPr>
          <w:ilvl w:val="0"/>
          <w:numId w:val="22"/>
        </w:numPr>
        <w:spacing w:after="120"/>
        <w:ind w:left="426" w:firstLineChars="0"/>
        <w:jc w:val="both"/>
        <w:rPr>
          <w:rFonts w:eastAsia="SimSun"/>
          <w:lang w:eastAsia="zh-CN"/>
        </w:rPr>
      </w:pPr>
      <w:r>
        <w:rPr>
          <w:lang w:eastAsia="zh-CN"/>
        </w:rPr>
        <w:t xml:space="preserve">There </w:t>
      </w:r>
      <w:r w:rsidR="00586416">
        <w:rPr>
          <w:rFonts w:hint="eastAsia"/>
          <w:lang w:eastAsia="ko-KR"/>
        </w:rPr>
        <w:t>should be</w:t>
      </w:r>
      <w:r w:rsidR="00586416">
        <w:rPr>
          <w:lang w:eastAsia="zh-CN"/>
        </w:rPr>
        <w:t xml:space="preserve"> </w:t>
      </w:r>
      <w:r>
        <w:rPr>
          <w:lang w:eastAsia="zh-CN"/>
        </w:rPr>
        <w:t xml:space="preserve">no </w:t>
      </w:r>
      <w:proofErr w:type="spellStart"/>
      <w:r>
        <w:rPr>
          <w:lang w:eastAsia="zh-CN"/>
        </w:rPr>
        <w:t>pfd</w:t>
      </w:r>
      <w:proofErr w:type="spellEnd"/>
      <w:r>
        <w:rPr>
          <w:lang w:eastAsia="zh-CN"/>
        </w:rPr>
        <w:t xml:space="preserve"> limitation in the RR Art. </w:t>
      </w:r>
      <w:r>
        <w:rPr>
          <w:b/>
          <w:lang w:eastAsia="zh-CN"/>
        </w:rPr>
        <w:t>21</w:t>
      </w:r>
      <w:r>
        <w:rPr>
          <w:lang w:eastAsia="zh-CN"/>
        </w:rPr>
        <w:t xml:space="preserve"> to the BSS (sound) space station in the 1 452-1 492 MHz frequency band. The sharing and compatible conditions can be met by the application of existing provision RR No.</w:t>
      </w:r>
      <w:r>
        <w:rPr>
          <w:b/>
          <w:lang w:eastAsia="zh-CN"/>
        </w:rPr>
        <w:t>9.11</w:t>
      </w:r>
      <w:r>
        <w:rPr>
          <w:lang w:eastAsia="zh-CN"/>
        </w:rPr>
        <w:t>;</w:t>
      </w:r>
    </w:p>
    <w:p w14:paraId="77B37330" w14:textId="2280D421" w:rsidR="00EA3599" w:rsidRPr="00BA18A5" w:rsidRDefault="00EA3599" w:rsidP="005F4FC9">
      <w:pPr>
        <w:pStyle w:val="ListParagraph1"/>
        <w:numPr>
          <w:ilvl w:val="0"/>
          <w:numId w:val="23"/>
        </w:numPr>
        <w:spacing w:after="120"/>
        <w:ind w:left="426" w:firstLineChars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There </w:t>
      </w:r>
      <w:r w:rsidR="00586416">
        <w:rPr>
          <w:rFonts w:eastAsia="Malgun Gothic" w:hint="eastAsia"/>
          <w:lang w:eastAsia="ko-KR"/>
        </w:rPr>
        <w:t>should be</w:t>
      </w:r>
      <w:r w:rsidR="00586416"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pfd</w:t>
      </w:r>
      <w:proofErr w:type="spellEnd"/>
      <w:r>
        <w:rPr>
          <w:rFonts w:eastAsia="SimSun"/>
          <w:lang w:eastAsia="zh-CN"/>
        </w:rPr>
        <w:t xml:space="preserve"> limitation to avoid the interference potential from IMT aggregate interference. When </w:t>
      </w:r>
      <w:r>
        <w:t xml:space="preserve">I/N protection criterion of –12.2 dB be used in time invariant nature, the specific </w:t>
      </w:r>
      <w:proofErr w:type="spellStart"/>
      <w:r>
        <w:t>pfd</w:t>
      </w:r>
      <w:proofErr w:type="spellEnd"/>
      <w:r>
        <w:t xml:space="preserve"> value of </w:t>
      </w:r>
      <w:r>
        <w:rPr>
          <w:rFonts w:eastAsia="SimSun"/>
          <w:lang w:eastAsia="zh-CN"/>
        </w:rPr>
        <w:t xml:space="preserve">–159.4 </w:t>
      </w:r>
      <w:proofErr w:type="gramStart"/>
      <w:r>
        <w:rPr>
          <w:rFonts w:eastAsia="SimSun"/>
          <w:lang w:eastAsia="zh-CN"/>
        </w:rPr>
        <w:t>dB</w:t>
      </w:r>
      <w:r w:rsidR="0004048D">
        <w:rPr>
          <w:rFonts w:eastAsia="Malgun Gothic" w:hint="eastAsia"/>
          <w:lang w:eastAsia="ko-KR"/>
        </w:rPr>
        <w:t>(</w:t>
      </w:r>
      <w:proofErr w:type="gramEnd"/>
      <w:r w:rsidR="00D91E5C">
        <w:rPr>
          <w:rFonts w:eastAsia="Malgun Gothic" w:hint="eastAsia"/>
          <w:lang w:eastAsia="ko-KR"/>
        </w:rPr>
        <w:t>W/m</w:t>
      </w:r>
      <w:r w:rsidR="00D91E5C" w:rsidRPr="00BA18A5">
        <w:rPr>
          <w:rFonts w:eastAsia="Malgun Gothic"/>
          <w:vertAlign w:val="superscript"/>
          <w:lang w:eastAsia="ko-KR"/>
        </w:rPr>
        <w:t>2</w:t>
      </w:r>
      <w:r w:rsidR="00590D1C">
        <w:rPr>
          <w:rFonts w:eastAsia="Malgun Gothic"/>
          <w:lang w:eastAsia="ko-KR"/>
        </w:rPr>
        <w:t>·</w:t>
      </w:r>
      <w:r w:rsidR="00D91E5C">
        <w:rPr>
          <w:rFonts w:eastAsia="Malgun Gothic" w:hint="eastAsia"/>
          <w:lang w:eastAsia="ko-KR"/>
        </w:rPr>
        <w:t>4kHz</w:t>
      </w:r>
      <w:r w:rsidR="0004048D">
        <w:rPr>
          <w:rFonts w:eastAsia="Malgun Gothic" w:hint="eastAsia"/>
          <w:lang w:eastAsia="ko-KR"/>
        </w:rPr>
        <w:t>)</w:t>
      </w:r>
      <w:r>
        <w:rPr>
          <w:rFonts w:eastAsia="SimSun"/>
          <w:lang w:eastAsia="zh-CN"/>
        </w:rPr>
        <w:t xml:space="preserve">  is suggested.</w:t>
      </w:r>
      <w:r>
        <w:t xml:space="preserve"> </w:t>
      </w:r>
    </w:p>
    <w:p w14:paraId="7285845F" w14:textId="77777777" w:rsidR="00BA18A5" w:rsidRPr="00EA3599" w:rsidRDefault="00BA18A5" w:rsidP="005F4FC9">
      <w:pPr>
        <w:pStyle w:val="ListParagraph1"/>
        <w:spacing w:after="120"/>
        <w:ind w:left="800" w:firstLineChars="0" w:firstLine="0"/>
        <w:jc w:val="both"/>
        <w:rPr>
          <w:rFonts w:eastAsia="SimSun"/>
          <w:lang w:eastAsia="zh-CN"/>
        </w:rPr>
      </w:pPr>
    </w:p>
    <w:p w14:paraId="31B3899C" w14:textId="4356BA79" w:rsidR="00EA3599" w:rsidRDefault="00EA3599" w:rsidP="007A6B19">
      <w:pPr>
        <w:spacing w:after="120"/>
        <w:jc w:val="both"/>
        <w:rPr>
          <w:b/>
          <w:lang w:val="en-NZ" w:eastAsia="ko-KR"/>
        </w:rPr>
      </w:pPr>
      <w:r>
        <w:rPr>
          <w:rFonts w:hint="eastAsia"/>
          <w:b/>
          <w:lang w:val="en-NZ" w:eastAsia="ko-KR"/>
        </w:rPr>
        <w:t>3.1.</w:t>
      </w:r>
      <w:r w:rsidR="00D91E5C">
        <w:rPr>
          <w:rFonts w:hint="eastAsia"/>
          <w:b/>
          <w:lang w:val="en-NZ" w:eastAsia="ko-KR"/>
        </w:rPr>
        <w:t xml:space="preserve">7 </w:t>
      </w:r>
      <w:r>
        <w:rPr>
          <w:rFonts w:hint="eastAsia"/>
          <w:b/>
          <w:lang w:val="en-NZ" w:eastAsia="ko-KR"/>
        </w:rPr>
        <w:t>Japan</w:t>
      </w:r>
    </w:p>
    <w:p w14:paraId="555647FA" w14:textId="2452C795" w:rsidR="00EA3599" w:rsidRPr="00EA3599" w:rsidRDefault="00EA3599" w:rsidP="005F4FC9">
      <w:pPr>
        <w:spacing w:after="120"/>
        <w:jc w:val="both"/>
        <w:rPr>
          <w:rFonts w:eastAsia="Malgun Gothic"/>
          <w:lang w:val="en-GB" w:eastAsia="ko-KR"/>
        </w:rPr>
      </w:pPr>
      <w:r>
        <w:rPr>
          <w:rFonts w:eastAsiaTheme="minorEastAsia" w:hint="eastAsia"/>
          <w:lang w:val="en-GB" w:eastAsia="ja-JP"/>
        </w:rPr>
        <w:lastRenderedPageBreak/>
        <w:t>Japan</w:t>
      </w:r>
      <w:r w:rsidRPr="003E233F">
        <w:rPr>
          <w:rFonts w:eastAsiaTheme="minorEastAsia"/>
          <w:lang w:val="en-GB" w:eastAsia="ja-JP"/>
        </w:rPr>
        <w:t xml:space="preserve"> supports </w:t>
      </w:r>
      <w:r>
        <w:rPr>
          <w:rFonts w:eastAsiaTheme="minorEastAsia" w:hint="eastAsia"/>
          <w:lang w:val="en-GB" w:eastAsia="ja-JP"/>
        </w:rPr>
        <w:t xml:space="preserve">the </w:t>
      </w:r>
      <w:r w:rsidRPr="00C731F4">
        <w:rPr>
          <w:rFonts w:eastAsiaTheme="minorEastAsia"/>
          <w:lang w:val="en-GB" w:eastAsia="ja-JP"/>
        </w:rPr>
        <w:t>regulatory and technical studies, with a view to ensuring the compatibility of IMT and BSS (sound) in the frequency band 1 452</w:t>
      </w:r>
      <w:r>
        <w:rPr>
          <w:rFonts w:eastAsiaTheme="minorEastAsia" w:hint="eastAsia"/>
          <w:lang w:val="en-GB" w:eastAsia="ja-JP"/>
        </w:rPr>
        <w:t>-</w:t>
      </w:r>
      <w:r w:rsidRPr="00C731F4">
        <w:rPr>
          <w:rFonts w:eastAsiaTheme="minorEastAsia"/>
          <w:lang w:val="en-GB" w:eastAsia="ja-JP"/>
        </w:rPr>
        <w:t>1 492 MHz in Regions 1 and 3, taking into account IMT and BSS (sound) operational requirements</w:t>
      </w:r>
      <w:r>
        <w:rPr>
          <w:rFonts w:eastAsiaTheme="minorEastAsia" w:hint="eastAsia"/>
          <w:lang w:val="en-GB" w:eastAsia="ja-JP"/>
        </w:rPr>
        <w:t xml:space="preserve"> in accordance with </w:t>
      </w:r>
      <w:r>
        <w:rPr>
          <w:rFonts w:eastAsiaTheme="minorEastAsia"/>
          <w:lang w:val="en-GB" w:eastAsia="ja-JP"/>
        </w:rPr>
        <w:t xml:space="preserve">Resolution </w:t>
      </w:r>
      <w:r w:rsidRPr="008D1360">
        <w:rPr>
          <w:rFonts w:eastAsiaTheme="minorEastAsia"/>
          <w:b/>
          <w:lang w:val="en-GB" w:eastAsia="ja-JP"/>
        </w:rPr>
        <w:t>761 (WRC-15)</w:t>
      </w:r>
      <w:r>
        <w:rPr>
          <w:rFonts w:eastAsiaTheme="minorEastAsia" w:hint="eastAsia"/>
          <w:lang w:val="en-GB" w:eastAsia="ja-JP"/>
        </w:rPr>
        <w:t>.</w:t>
      </w:r>
    </w:p>
    <w:p w14:paraId="30F0C444" w14:textId="7704D9DE" w:rsidR="00197C18" w:rsidRPr="00E82220" w:rsidRDefault="00EA3599" w:rsidP="005F4FC9">
      <w:pPr>
        <w:spacing w:after="120"/>
        <w:jc w:val="both"/>
        <w:rPr>
          <w:rFonts w:eastAsia="Malgun Gothic"/>
          <w:lang w:val="en-GB" w:eastAsia="ko-KR"/>
        </w:rPr>
      </w:pPr>
      <w:r>
        <w:rPr>
          <w:rFonts w:eastAsiaTheme="minorEastAsia" w:hint="eastAsia"/>
          <w:lang w:val="en-GB" w:eastAsia="ja-JP"/>
        </w:rPr>
        <w:t xml:space="preserve">Japan also supports to establish a regulatory </w:t>
      </w:r>
      <w:r>
        <w:rPr>
          <w:rFonts w:eastAsiaTheme="minorEastAsia"/>
          <w:lang w:val="en-GB" w:eastAsia="ja-JP"/>
        </w:rPr>
        <w:t>mechanism</w:t>
      </w:r>
      <w:r>
        <w:rPr>
          <w:rFonts w:eastAsiaTheme="minorEastAsia" w:hint="eastAsia"/>
          <w:lang w:val="en-GB" w:eastAsia="ja-JP"/>
        </w:rPr>
        <w:t xml:space="preserve"> </w:t>
      </w:r>
      <w:r w:rsidRPr="008D1360">
        <w:rPr>
          <w:rFonts w:eastAsiaTheme="minorEastAsia"/>
          <w:lang w:val="en-GB" w:eastAsia="ja-JP"/>
        </w:rPr>
        <w:t>to facilitate the long-term stability of IMT and BSS (sound) in the</w:t>
      </w:r>
      <w:r>
        <w:rPr>
          <w:rFonts w:eastAsiaTheme="minorEastAsia"/>
          <w:lang w:val="en-GB" w:eastAsia="ja-JP"/>
        </w:rPr>
        <w:t xml:space="preserve"> frequency band 1 452-1 492 MHz</w:t>
      </w:r>
      <w:r>
        <w:rPr>
          <w:rFonts w:eastAsiaTheme="minorEastAsia" w:hint="eastAsia"/>
          <w:lang w:val="en-GB" w:eastAsia="ja-JP"/>
        </w:rPr>
        <w:t xml:space="preserve"> based on the results of the above studies. In light of the protection of IMT, Japan prefers to take an approach that </w:t>
      </w:r>
      <w:r>
        <w:rPr>
          <w:lang w:val="en-GB" w:eastAsia="ja-JP"/>
        </w:rPr>
        <w:t xml:space="preserve">a </w:t>
      </w:r>
      <w:proofErr w:type="spellStart"/>
      <w:r w:rsidR="00AC5965">
        <w:rPr>
          <w:rFonts w:hint="eastAsia"/>
          <w:lang w:val="en-GB" w:eastAsia="ko-KR"/>
        </w:rPr>
        <w:t>pfd</w:t>
      </w:r>
      <w:proofErr w:type="spellEnd"/>
      <w:r w:rsidRPr="00ED7B18">
        <w:rPr>
          <w:lang w:val="en-GB" w:eastAsia="ja-JP"/>
        </w:rPr>
        <w:t xml:space="preserve"> limit</w:t>
      </w:r>
      <w:r>
        <w:rPr>
          <w:lang w:val="en-GB" w:eastAsia="ja-JP"/>
        </w:rPr>
        <w:t xml:space="preserve"> </w:t>
      </w:r>
      <w:r>
        <w:rPr>
          <w:rFonts w:eastAsiaTheme="minorEastAsia" w:hint="eastAsia"/>
          <w:lang w:val="en-GB" w:eastAsia="ja-JP"/>
        </w:rPr>
        <w:t xml:space="preserve">for </w:t>
      </w:r>
      <w:r>
        <w:rPr>
          <w:lang w:val="en-GB" w:eastAsia="ja-JP"/>
        </w:rPr>
        <w:t>BSS</w:t>
      </w:r>
      <w:r>
        <w:rPr>
          <w:rFonts w:eastAsiaTheme="minorEastAsia" w:hint="eastAsia"/>
          <w:lang w:val="en-GB" w:eastAsia="ja-JP"/>
        </w:rPr>
        <w:t xml:space="preserve"> </w:t>
      </w:r>
      <w:r>
        <w:rPr>
          <w:lang w:val="en-GB" w:eastAsia="ja-JP"/>
        </w:rPr>
        <w:t xml:space="preserve">(sound) </w:t>
      </w:r>
      <w:r>
        <w:rPr>
          <w:rFonts w:eastAsiaTheme="minorEastAsia" w:hint="eastAsia"/>
          <w:lang w:val="en-GB" w:eastAsia="ja-JP"/>
        </w:rPr>
        <w:t xml:space="preserve">is stipulated </w:t>
      </w:r>
      <w:r w:rsidRPr="00ED7B18">
        <w:rPr>
          <w:lang w:val="en-GB" w:eastAsia="ja-JP"/>
        </w:rPr>
        <w:t xml:space="preserve">in Table </w:t>
      </w:r>
      <w:r w:rsidRPr="00ED7B18">
        <w:rPr>
          <w:b/>
          <w:lang w:val="en-GB" w:eastAsia="ja-JP"/>
        </w:rPr>
        <w:t>21-4</w:t>
      </w:r>
      <w:r w:rsidRPr="00ED7B18">
        <w:rPr>
          <w:lang w:val="en-GB" w:eastAsia="ja-JP"/>
        </w:rPr>
        <w:t xml:space="preserve"> under RR No.</w:t>
      </w:r>
      <w:r w:rsidRPr="00ED7B18">
        <w:rPr>
          <w:b/>
          <w:lang w:val="en-GB" w:eastAsia="ja-JP"/>
        </w:rPr>
        <w:t>21.16</w:t>
      </w:r>
      <w:r>
        <w:rPr>
          <w:lang w:val="en-GB" w:eastAsia="ja-JP"/>
        </w:rPr>
        <w:t>.</w:t>
      </w:r>
    </w:p>
    <w:p w14:paraId="7E81F481" w14:textId="725FCE4B" w:rsidR="008454C8" w:rsidRPr="00197C18" w:rsidRDefault="008454C8" w:rsidP="007A6B19">
      <w:pPr>
        <w:spacing w:after="120"/>
        <w:jc w:val="both"/>
        <w:rPr>
          <w:b/>
          <w:lang w:val="en-NZ"/>
        </w:rPr>
      </w:pPr>
      <w:r w:rsidRPr="00197C18">
        <w:rPr>
          <w:b/>
          <w:lang w:val="en-NZ"/>
        </w:rPr>
        <w:t xml:space="preserve">3.2 </w:t>
      </w:r>
      <w:r w:rsidRPr="00197C18">
        <w:rPr>
          <w:b/>
          <w:lang w:val="en-NZ"/>
        </w:rPr>
        <w:tab/>
      </w:r>
      <w:r w:rsidRPr="00197C18">
        <w:rPr>
          <w:b/>
          <w:lang w:val="en-NZ" w:eastAsia="ko-KR"/>
        </w:rPr>
        <w:t>Key</w:t>
      </w:r>
      <w:r w:rsidRPr="00197C18">
        <w:rPr>
          <w:b/>
          <w:lang w:val="en-NZ"/>
        </w:rPr>
        <w:t xml:space="preserve"> </w:t>
      </w:r>
      <w:r w:rsidRPr="00197C18">
        <w:rPr>
          <w:b/>
          <w:lang w:val="en-NZ" w:eastAsia="ko-KR"/>
        </w:rPr>
        <w:t>points</w:t>
      </w:r>
      <w:r w:rsidRPr="00197C18">
        <w:rPr>
          <w:b/>
          <w:lang w:val="en-NZ"/>
        </w:rPr>
        <w:t xml:space="preserve"> raised during the meeting</w:t>
      </w:r>
    </w:p>
    <w:p w14:paraId="6A641990" w14:textId="3A27D59D" w:rsidR="00A2112C" w:rsidRPr="00BA18A5" w:rsidRDefault="00A2112C" w:rsidP="005F4FC9">
      <w:pPr>
        <w:spacing w:after="120"/>
        <w:rPr>
          <w:lang w:eastAsia="ko-KR"/>
        </w:rPr>
      </w:pPr>
      <w:r>
        <w:rPr>
          <w:rFonts w:hint="eastAsia"/>
          <w:lang w:eastAsia="ko-KR"/>
        </w:rPr>
        <w:t xml:space="preserve">Appropriate compatibility measures between IMT and BSS (sound) in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band 1 452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1 492 MHz need to be established.</w:t>
      </w:r>
    </w:p>
    <w:p w14:paraId="2E0E675A" w14:textId="77777777" w:rsidR="00585F3C" w:rsidRDefault="00585F3C" w:rsidP="007A6B19">
      <w:pPr>
        <w:spacing w:after="120"/>
        <w:jc w:val="both"/>
        <w:rPr>
          <w:lang w:val="en-NZ"/>
        </w:rPr>
      </w:pPr>
    </w:p>
    <w:p w14:paraId="2E0E675B" w14:textId="46368A45" w:rsidR="00B64A60" w:rsidRDefault="00B64A60" w:rsidP="007A6B19">
      <w:pPr>
        <w:spacing w:after="120"/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4. </w:t>
      </w:r>
      <w:r>
        <w:rPr>
          <w:b/>
          <w:lang w:val="en-NZ" w:eastAsia="ko-KR"/>
        </w:rPr>
        <w:tab/>
      </w:r>
      <w:r w:rsidR="004465AA">
        <w:rPr>
          <w:b/>
          <w:lang w:val="en-NZ" w:eastAsia="ko-KR"/>
        </w:rPr>
        <w:t xml:space="preserve">APT </w:t>
      </w:r>
      <w:r>
        <w:rPr>
          <w:b/>
          <w:lang w:val="en-NZ" w:eastAsia="ko-KR"/>
        </w:rPr>
        <w:t xml:space="preserve">Preliminary </w:t>
      </w:r>
      <w:r w:rsidRPr="00710333">
        <w:rPr>
          <w:b/>
          <w:lang w:val="en-NZ" w:eastAsia="ko-KR"/>
        </w:rPr>
        <w:t>View</w:t>
      </w:r>
      <w:r w:rsidR="00D53688">
        <w:rPr>
          <w:b/>
          <w:lang w:val="en-NZ" w:eastAsia="ko-KR"/>
        </w:rPr>
        <w:t>(s)</w:t>
      </w:r>
    </w:p>
    <w:p w14:paraId="4C7846DA" w14:textId="77A2C412" w:rsidR="009A786C" w:rsidRPr="00EA3599" w:rsidRDefault="0034685D" w:rsidP="007A6B19">
      <w:pPr>
        <w:spacing w:after="120"/>
        <w:jc w:val="both"/>
        <w:rPr>
          <w:rFonts w:eastAsia="Malgun Gothic"/>
          <w:lang w:val="en-GB" w:eastAsia="ko-KR"/>
        </w:rPr>
      </w:pPr>
      <w:r>
        <w:rPr>
          <w:rFonts w:hint="eastAsia"/>
          <w:lang w:val="en-NZ" w:eastAsia="ko-KR"/>
        </w:rPr>
        <w:t>APT M</w:t>
      </w:r>
      <w:r w:rsidR="009A786C">
        <w:rPr>
          <w:rFonts w:hint="eastAsia"/>
          <w:lang w:val="en-NZ" w:eastAsia="ko-KR"/>
        </w:rPr>
        <w:t xml:space="preserve">embers support </w:t>
      </w:r>
      <w:r w:rsidR="009A786C">
        <w:rPr>
          <w:rFonts w:hint="eastAsia"/>
          <w:lang w:eastAsia="ko-KR"/>
        </w:rPr>
        <w:t xml:space="preserve">the ITU-R studies on compatibility between IMT and BSS (sound) in the </w:t>
      </w:r>
      <w:r w:rsidR="009A786C">
        <w:rPr>
          <w:lang w:eastAsia="ko-KR"/>
        </w:rPr>
        <w:t>frequency</w:t>
      </w:r>
      <w:r w:rsidR="009A786C">
        <w:rPr>
          <w:rFonts w:hint="eastAsia"/>
          <w:lang w:eastAsia="ko-KR"/>
        </w:rPr>
        <w:t xml:space="preserve"> band 1 452 </w:t>
      </w:r>
      <w:r w:rsidR="009A786C">
        <w:rPr>
          <w:lang w:eastAsia="ko-KR"/>
        </w:rPr>
        <w:t>–</w:t>
      </w:r>
      <w:r w:rsidR="009A786C">
        <w:rPr>
          <w:rFonts w:hint="eastAsia"/>
          <w:lang w:eastAsia="ko-KR"/>
        </w:rPr>
        <w:t xml:space="preserve"> 1 492 MHz in Region</w:t>
      </w:r>
      <w:r w:rsidR="009A786C">
        <w:rPr>
          <w:lang w:eastAsia="ko-KR"/>
        </w:rPr>
        <w:t>s</w:t>
      </w:r>
      <w:r w:rsidR="009A786C">
        <w:rPr>
          <w:rFonts w:hint="eastAsia"/>
          <w:lang w:eastAsia="ko-KR"/>
        </w:rPr>
        <w:t xml:space="preserve"> 1 and 3, </w:t>
      </w:r>
      <w:r w:rsidR="009A786C" w:rsidRPr="00C731F4">
        <w:rPr>
          <w:rFonts w:eastAsiaTheme="minorEastAsia"/>
          <w:lang w:val="en-GB" w:eastAsia="ja-JP"/>
        </w:rPr>
        <w:t>taking into account IMT and BSS (sound) operational requirements</w:t>
      </w:r>
      <w:r w:rsidR="009A786C">
        <w:rPr>
          <w:rFonts w:eastAsiaTheme="minorEastAsia" w:hint="eastAsia"/>
          <w:lang w:val="en-GB" w:eastAsia="ja-JP"/>
        </w:rPr>
        <w:t xml:space="preserve"> in accordance with </w:t>
      </w:r>
      <w:r w:rsidR="009A786C">
        <w:rPr>
          <w:rFonts w:eastAsiaTheme="minorEastAsia"/>
          <w:lang w:val="en-GB" w:eastAsia="ja-JP"/>
        </w:rPr>
        <w:t xml:space="preserve">Resolution </w:t>
      </w:r>
      <w:r w:rsidR="009A786C" w:rsidRPr="008D1360">
        <w:rPr>
          <w:rFonts w:eastAsiaTheme="minorEastAsia"/>
          <w:b/>
          <w:lang w:val="en-GB" w:eastAsia="ja-JP"/>
        </w:rPr>
        <w:t>761 (WRC-15)</w:t>
      </w:r>
      <w:r w:rsidR="009A786C">
        <w:rPr>
          <w:rFonts w:eastAsiaTheme="minorEastAsia" w:hint="eastAsia"/>
          <w:lang w:val="en-GB" w:eastAsia="ja-JP"/>
        </w:rPr>
        <w:t>.</w:t>
      </w:r>
    </w:p>
    <w:p w14:paraId="2E0E675E" w14:textId="77777777" w:rsidR="00FD6235" w:rsidRDefault="00FD6235" w:rsidP="007A6B19">
      <w:pPr>
        <w:spacing w:after="120"/>
        <w:rPr>
          <w:lang w:val="en-NZ"/>
        </w:rPr>
      </w:pPr>
    </w:p>
    <w:p w14:paraId="2E0E675F" w14:textId="61AC14CA" w:rsidR="00B64A60" w:rsidRPr="008D046E" w:rsidRDefault="00B64A60" w:rsidP="007A6B19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5.</w:t>
      </w:r>
      <w:r w:rsidRPr="008D046E">
        <w:rPr>
          <w:b/>
          <w:lang w:val="en-NZ" w:eastAsia="ko-KR"/>
        </w:rPr>
        <w:t xml:space="preserve"> </w:t>
      </w:r>
      <w:r w:rsidRPr="008D046E">
        <w:rPr>
          <w:b/>
          <w:lang w:val="en-NZ" w:eastAsia="ko-KR"/>
        </w:rPr>
        <w:tab/>
        <w:t>Other Views</w:t>
      </w:r>
    </w:p>
    <w:p w14:paraId="237CA8CC" w14:textId="6B4EFAC7" w:rsidR="00710ECE" w:rsidRDefault="00710ECE" w:rsidP="007A6B19">
      <w:pPr>
        <w:numPr>
          <w:ilvl w:val="0"/>
          <w:numId w:val="18"/>
        </w:numPr>
        <w:spacing w:after="120"/>
        <w:ind w:leftChars="145" w:left="708"/>
        <w:rPr>
          <w:lang w:val="en-NZ"/>
        </w:rPr>
      </w:pPr>
      <w:r>
        <w:rPr>
          <w:rFonts w:hint="eastAsia"/>
          <w:lang w:val="en-NZ" w:eastAsia="ko-KR"/>
        </w:rPr>
        <w:t xml:space="preserve">Some APT </w:t>
      </w:r>
      <w:r w:rsidR="00611422">
        <w:rPr>
          <w:lang w:val="en-NZ" w:eastAsia="ko-KR"/>
        </w:rPr>
        <w:t>Members support</w:t>
      </w:r>
      <w:r>
        <w:rPr>
          <w:rFonts w:hint="eastAsia"/>
          <w:lang w:val="en-NZ" w:eastAsia="ko-KR"/>
        </w:rPr>
        <w:t xml:space="preserve"> the protection of BSS (sound) from IMT.</w:t>
      </w:r>
    </w:p>
    <w:p w14:paraId="2E0E6760" w14:textId="4FF79DC0" w:rsidR="00B64A60" w:rsidRDefault="00710ECE" w:rsidP="007A6B19">
      <w:pPr>
        <w:numPr>
          <w:ilvl w:val="0"/>
          <w:numId w:val="18"/>
        </w:numPr>
        <w:spacing w:after="120"/>
        <w:ind w:leftChars="145" w:left="708"/>
        <w:rPr>
          <w:lang w:val="en-NZ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>o</w:t>
      </w:r>
      <w:r>
        <w:rPr>
          <w:rFonts w:hint="eastAsia"/>
          <w:lang w:eastAsia="ko-KR"/>
        </w:rPr>
        <w:t xml:space="preserve">me </w:t>
      </w:r>
      <w:r w:rsidR="00EF4C7B">
        <w:rPr>
          <w:lang w:eastAsia="ko-KR"/>
        </w:rPr>
        <w:t xml:space="preserve">other </w:t>
      </w:r>
      <w:r>
        <w:rPr>
          <w:rFonts w:hint="eastAsia"/>
          <w:lang w:eastAsia="ko-KR"/>
        </w:rPr>
        <w:t xml:space="preserve">APT Members </w:t>
      </w:r>
      <w:r>
        <w:t xml:space="preserve">support </w:t>
      </w:r>
      <w:r w:rsidRPr="00F20ADB">
        <w:t xml:space="preserve">the protection of </w:t>
      </w:r>
      <w:r>
        <w:t>IMT f</w:t>
      </w:r>
      <w:r>
        <w:rPr>
          <w:rFonts w:hint="eastAsia"/>
          <w:lang w:eastAsia="ko-KR"/>
        </w:rPr>
        <w:t>ro</w:t>
      </w:r>
      <w:r w:rsidRPr="00F20ADB">
        <w:t>m broadcasting-satellite service (sound).</w:t>
      </w:r>
    </w:p>
    <w:p w14:paraId="2E0E6761" w14:textId="77777777" w:rsidR="00B64A60" w:rsidRPr="00EF4C7B" w:rsidRDefault="00B64A60" w:rsidP="007A6B19">
      <w:pPr>
        <w:spacing w:after="120"/>
        <w:rPr>
          <w:lang w:val="en-NZ"/>
        </w:rPr>
      </w:pPr>
    </w:p>
    <w:p w14:paraId="148A917A" w14:textId="76EAA5CE" w:rsidR="00164CB5" w:rsidRPr="00164CB5" w:rsidRDefault="00D53688" w:rsidP="007A6B19">
      <w:pPr>
        <w:spacing w:after="120"/>
        <w:rPr>
          <w:b/>
          <w:lang w:val="en-NZ" w:eastAsia="ko-KR"/>
        </w:rPr>
      </w:pPr>
      <w:r>
        <w:rPr>
          <w:b/>
          <w:lang w:val="en-NZ"/>
        </w:rPr>
        <w:t xml:space="preserve">6. </w:t>
      </w:r>
      <w:r>
        <w:rPr>
          <w:b/>
          <w:lang w:val="en-NZ"/>
        </w:rPr>
        <w:tab/>
        <w:t xml:space="preserve">Views from Other </w:t>
      </w:r>
      <w:r w:rsidR="00A564FB">
        <w:rPr>
          <w:b/>
          <w:lang w:val="en-NZ"/>
        </w:rPr>
        <w:t>Organisations</w:t>
      </w:r>
    </w:p>
    <w:p w14:paraId="0BB5BEBD" w14:textId="77777777" w:rsidR="00CC658C" w:rsidRDefault="00CC658C" w:rsidP="00CC658C">
      <w:pPr>
        <w:rPr>
          <w:b/>
          <w:lang w:val="en-NZ" w:eastAsia="ko-KR"/>
        </w:rPr>
      </w:pPr>
    </w:p>
    <w:p w14:paraId="47B3C559" w14:textId="77777777" w:rsidR="00CC658C" w:rsidRPr="00595E3E" w:rsidRDefault="00CC658C" w:rsidP="00CC658C">
      <w:pPr>
        <w:rPr>
          <w:b/>
          <w:lang w:val="en-NZ" w:eastAsia="ko-KR"/>
        </w:rPr>
      </w:pPr>
      <w:r w:rsidRPr="00595E3E">
        <w:rPr>
          <w:b/>
          <w:lang w:val="en-NZ" w:eastAsia="ko-KR"/>
        </w:rPr>
        <w:t>6.1 CFPT</w:t>
      </w:r>
    </w:p>
    <w:p w14:paraId="56A6CBF6" w14:textId="77777777" w:rsidR="00CC658C" w:rsidRDefault="00CC658C" w:rsidP="00CC658C">
      <w:pPr>
        <w:rPr>
          <w:lang w:val="en-NZ" w:eastAsia="ko-KR"/>
        </w:rPr>
      </w:pPr>
    </w:p>
    <w:p w14:paraId="57EB7408" w14:textId="77777777" w:rsidR="00CC658C" w:rsidRDefault="00CC658C" w:rsidP="00CC658C">
      <w:pPr>
        <w:rPr>
          <w:rFonts w:eastAsiaTheme="minorEastAsia"/>
          <w:lang w:val="en-GB" w:eastAsia="ja-JP"/>
        </w:rPr>
      </w:pPr>
      <w:r w:rsidRPr="00ED402E">
        <w:rPr>
          <w:rFonts w:eastAsiaTheme="minorEastAsia"/>
          <w:lang w:val="en-GB" w:eastAsia="ja-JP"/>
        </w:rPr>
        <w:t>CEPT has harmonised the frequency band 1 452-1 492 MHz for supplemental downlink under the mobile service. CEPT supports the protection of this application from BSS (sound).</w:t>
      </w:r>
    </w:p>
    <w:p w14:paraId="7ECF44AC" w14:textId="77777777" w:rsidR="00CC658C" w:rsidRDefault="00CC658C" w:rsidP="00CC658C">
      <w:pPr>
        <w:ind w:left="720"/>
        <w:rPr>
          <w:rFonts w:eastAsiaTheme="minorEastAsia"/>
          <w:lang w:val="en-GB" w:eastAsia="ja-JP"/>
        </w:rPr>
      </w:pPr>
    </w:p>
    <w:p w14:paraId="708A7EA8" w14:textId="77777777" w:rsidR="00CC658C" w:rsidRPr="00595E3E" w:rsidRDefault="00CC658C" w:rsidP="00CC658C">
      <w:pPr>
        <w:rPr>
          <w:rFonts w:eastAsiaTheme="minorEastAsia"/>
          <w:b/>
          <w:lang w:val="en-GB" w:eastAsia="ja-JP"/>
        </w:rPr>
      </w:pPr>
      <w:r w:rsidRPr="00595E3E">
        <w:rPr>
          <w:rFonts w:eastAsiaTheme="minorEastAsia"/>
          <w:b/>
          <w:lang w:val="en-GB" w:eastAsia="ja-JP"/>
        </w:rPr>
        <w:t>6.</w:t>
      </w:r>
      <w:r>
        <w:rPr>
          <w:rFonts w:eastAsiaTheme="minorEastAsia"/>
          <w:b/>
          <w:lang w:val="en-GB" w:eastAsia="ja-JP"/>
        </w:rPr>
        <w:t>2</w:t>
      </w:r>
      <w:r w:rsidRPr="00595E3E">
        <w:rPr>
          <w:rFonts w:eastAsiaTheme="minorEastAsia"/>
          <w:b/>
          <w:lang w:val="en-GB" w:eastAsia="ja-JP"/>
        </w:rPr>
        <w:t xml:space="preserve"> CITEL</w:t>
      </w:r>
    </w:p>
    <w:p w14:paraId="0C29DCC2" w14:textId="77777777" w:rsidR="00CC658C" w:rsidRDefault="00CC658C" w:rsidP="00CC658C">
      <w:pPr>
        <w:rPr>
          <w:rFonts w:eastAsiaTheme="minorEastAsia"/>
          <w:lang w:val="en-GB" w:eastAsia="ja-JP"/>
        </w:rPr>
      </w:pPr>
    </w:p>
    <w:p w14:paraId="3D06BD58" w14:textId="77777777" w:rsidR="00CC658C" w:rsidRPr="00A9466E" w:rsidRDefault="00CC658C" w:rsidP="00CC658C">
      <w:pPr>
        <w:rPr>
          <w:rFonts w:eastAsia="MS Mincho"/>
          <w:lang w:val="en-GB" w:eastAsia="ja-JP"/>
        </w:rPr>
      </w:pPr>
      <w:r w:rsidRPr="00595E3E">
        <w:rPr>
          <w:rFonts w:eastAsia="MS Mincho"/>
          <w:b/>
          <w:lang w:val="en-GB" w:eastAsia="ja-JP"/>
        </w:rPr>
        <w:t xml:space="preserve">USA and </w:t>
      </w:r>
      <w:r w:rsidRPr="0053410E">
        <w:rPr>
          <w:rFonts w:eastAsia="MS Mincho"/>
          <w:b/>
          <w:lang w:val="en-GB" w:eastAsia="ja-JP"/>
        </w:rPr>
        <w:t>Uruguay</w:t>
      </w:r>
      <w:r>
        <w:rPr>
          <w:rFonts w:eastAsia="MS Mincho" w:hint="eastAsia"/>
          <w:lang w:val="en-GB" w:eastAsia="ja-JP"/>
        </w:rPr>
        <w:t>:</w:t>
      </w:r>
    </w:p>
    <w:p w14:paraId="469A9BA8" w14:textId="77777777" w:rsidR="00CC658C" w:rsidRDefault="00CC658C" w:rsidP="00CC658C">
      <w:pPr>
        <w:rPr>
          <w:rFonts w:eastAsia="Malgun Gothic"/>
          <w:lang w:val="en-GB" w:eastAsia="ko-KR"/>
        </w:rPr>
      </w:pPr>
      <w:r w:rsidRPr="00ED402E">
        <w:rPr>
          <w:rFonts w:eastAsiaTheme="minorEastAsia"/>
          <w:lang w:val="en-GB" w:eastAsia="ja-JP"/>
        </w:rPr>
        <w:t xml:space="preserve">Studies under WRC-19 agenda item 9.1/ issue 9.1.2 are limited to Regions 1 and 3. </w:t>
      </w:r>
    </w:p>
    <w:p w14:paraId="345248D5" w14:textId="77777777" w:rsidR="00CC658C" w:rsidRDefault="00CC658C" w:rsidP="00CC658C">
      <w:pPr>
        <w:rPr>
          <w:rFonts w:eastAsiaTheme="minorEastAsia"/>
          <w:lang w:val="en-GB" w:eastAsia="ja-JP"/>
        </w:rPr>
      </w:pPr>
      <w:r w:rsidRPr="00ED402E">
        <w:rPr>
          <w:rFonts w:eastAsiaTheme="minorEastAsia"/>
          <w:lang w:val="en-GB" w:eastAsia="ja-JP"/>
        </w:rPr>
        <w:t>Any eventual changes made to the Radio Regulations under WRC-19 agenda item 9.1/issue 9.1.2 must not impact Region 2 services (and applications thereof) nor subject Region 2 to any changed procedural or regulatory provisions.</w:t>
      </w:r>
    </w:p>
    <w:p w14:paraId="53C0F42F" w14:textId="77777777" w:rsidR="00CC658C" w:rsidRDefault="00CC658C" w:rsidP="00CC658C">
      <w:pPr>
        <w:rPr>
          <w:lang w:val="en-NZ" w:eastAsia="ko-KR"/>
        </w:rPr>
      </w:pPr>
    </w:p>
    <w:p w14:paraId="2C64A2FD" w14:textId="77777777" w:rsidR="00CC658C" w:rsidRPr="00595E3E" w:rsidRDefault="00CC658C" w:rsidP="00CC658C">
      <w:pPr>
        <w:rPr>
          <w:b/>
          <w:lang w:val="en-NZ" w:eastAsia="ko-KR"/>
        </w:rPr>
      </w:pPr>
      <w:r w:rsidRPr="00595E3E">
        <w:rPr>
          <w:b/>
          <w:lang w:val="en-NZ" w:eastAsia="ko-KR"/>
        </w:rPr>
        <w:t>6.3 RCC</w:t>
      </w:r>
    </w:p>
    <w:p w14:paraId="2BCD9DAD" w14:textId="77777777" w:rsidR="00CC658C" w:rsidRDefault="00CC658C" w:rsidP="00CC658C">
      <w:pPr>
        <w:rPr>
          <w:lang w:val="en-NZ" w:eastAsia="ko-KR"/>
        </w:rPr>
      </w:pPr>
    </w:p>
    <w:p w14:paraId="0A26C08E" w14:textId="77777777" w:rsidR="00CC658C" w:rsidRDefault="00CC658C" w:rsidP="00CC658C">
      <w:pPr>
        <w:rPr>
          <w:lang w:val="en-NZ" w:eastAsia="ko-KR"/>
        </w:rPr>
      </w:pPr>
      <w:r w:rsidRPr="00ED402E">
        <w:rPr>
          <w:rFonts w:eastAsiaTheme="minorEastAsia"/>
          <w:lang w:val="en-GB" w:eastAsia="ja-JP"/>
        </w:rPr>
        <w:t>The RCC Administrations are in favour of the development of relevant regulatory provisions and technical conditions in order to provide compatibility between IMT and broadcasting-satellite service (sound) in the frequency band 1452-1492 MHz in Regions 1 and 3, taking into account IMT and BSS (sound) operational requirements.</w:t>
      </w:r>
    </w:p>
    <w:p w14:paraId="315A5B5D" w14:textId="77777777" w:rsidR="00CC658C" w:rsidRDefault="00CC658C" w:rsidP="00B64A60">
      <w:pPr>
        <w:spacing w:after="120"/>
        <w:jc w:val="both"/>
        <w:rPr>
          <w:b/>
          <w:lang w:val="en-NZ" w:eastAsia="ko-KR"/>
        </w:rPr>
      </w:pPr>
    </w:p>
    <w:p w14:paraId="726FD7B9" w14:textId="77777777" w:rsidR="00CC658C" w:rsidRDefault="00CC658C" w:rsidP="00B64A60">
      <w:pPr>
        <w:spacing w:after="120"/>
        <w:jc w:val="both"/>
        <w:rPr>
          <w:b/>
          <w:lang w:val="en-NZ" w:eastAsia="ko-KR"/>
        </w:rPr>
      </w:pPr>
    </w:p>
    <w:p w14:paraId="2E0E6763" w14:textId="0AEB08D6" w:rsidR="00B64A60" w:rsidRPr="008D046E" w:rsidRDefault="00D53688" w:rsidP="00B64A60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>7</w:t>
      </w:r>
      <w:r w:rsidR="00B64A60">
        <w:rPr>
          <w:b/>
          <w:lang w:val="en-NZ" w:eastAsia="ko-KR"/>
        </w:rPr>
        <w:t>.</w:t>
      </w:r>
      <w:r w:rsidR="00B64A60" w:rsidRPr="008D046E">
        <w:rPr>
          <w:b/>
          <w:lang w:val="en-NZ" w:eastAsia="ko-KR"/>
        </w:rPr>
        <w:t xml:space="preserve"> </w:t>
      </w:r>
      <w:r w:rsidR="00B64A60" w:rsidRPr="008D046E">
        <w:rPr>
          <w:b/>
          <w:lang w:val="en-NZ" w:eastAsia="ko-KR"/>
        </w:rPr>
        <w:tab/>
        <w:t xml:space="preserve">Issues for </w:t>
      </w:r>
      <w:r w:rsidR="00585F3C">
        <w:rPr>
          <w:b/>
          <w:lang w:val="en-NZ" w:eastAsia="ko-KR"/>
        </w:rPr>
        <w:t>C</w:t>
      </w:r>
      <w:r w:rsidR="00B64A60" w:rsidRPr="008D046E">
        <w:rPr>
          <w:b/>
          <w:lang w:val="en-NZ" w:eastAsia="ko-KR"/>
        </w:rPr>
        <w:t xml:space="preserve">onsideration at </w:t>
      </w:r>
      <w:r w:rsidR="00585F3C">
        <w:rPr>
          <w:b/>
          <w:lang w:val="en-NZ" w:eastAsia="ko-KR"/>
        </w:rPr>
        <w:t>N</w:t>
      </w:r>
      <w:r w:rsidR="00B64A60" w:rsidRPr="008D046E">
        <w:rPr>
          <w:b/>
          <w:lang w:val="en-NZ" w:eastAsia="ko-KR"/>
        </w:rPr>
        <w:t xml:space="preserve">ext APG </w:t>
      </w:r>
      <w:r w:rsidR="00585F3C">
        <w:rPr>
          <w:b/>
          <w:lang w:val="en-NZ" w:eastAsia="ko-KR"/>
        </w:rPr>
        <w:t>M</w:t>
      </w:r>
      <w:r w:rsidR="00B64A60" w:rsidRPr="008D046E">
        <w:rPr>
          <w:b/>
          <w:lang w:val="en-NZ" w:eastAsia="ko-KR"/>
        </w:rPr>
        <w:t>eeting</w:t>
      </w:r>
    </w:p>
    <w:p w14:paraId="2E0E6764" w14:textId="604A9428" w:rsidR="00B64A60" w:rsidRPr="00616704" w:rsidRDefault="00164CB5" w:rsidP="00BA18A5">
      <w:pPr>
        <w:rPr>
          <w:lang w:val="en-NZ"/>
        </w:rPr>
      </w:pPr>
      <w:r w:rsidRPr="00616704">
        <w:rPr>
          <w:lang w:val="en-NZ" w:eastAsia="ko-KR"/>
        </w:rPr>
        <w:t>APT Members are invited to provide their contributions for updating APT Preliminary Views</w:t>
      </w:r>
      <w:r w:rsidR="00616704" w:rsidRPr="00616704">
        <w:rPr>
          <w:lang w:val="en-NZ" w:eastAsia="ko-KR"/>
        </w:rPr>
        <w:t xml:space="preserve"> </w:t>
      </w:r>
      <w:r w:rsidRPr="00616704">
        <w:rPr>
          <w:lang w:val="en-NZ" w:eastAsia="ko-KR"/>
        </w:rPr>
        <w:t xml:space="preserve">including </w:t>
      </w:r>
      <w:r w:rsidR="00616704" w:rsidRPr="00616704">
        <w:rPr>
          <w:lang w:val="en-NZ" w:eastAsia="ko-KR"/>
        </w:rPr>
        <w:t>process to</w:t>
      </w:r>
      <w:r w:rsidR="00BA18A5">
        <w:rPr>
          <w:lang w:val="en-NZ" w:eastAsia="ko-KR"/>
        </w:rPr>
        <w:t xml:space="preserve"> ach</w:t>
      </w:r>
      <w:r w:rsidR="00BA18A5">
        <w:rPr>
          <w:rFonts w:hint="eastAsia"/>
          <w:lang w:val="en-NZ" w:eastAsia="ko-KR"/>
        </w:rPr>
        <w:t>ie</w:t>
      </w:r>
      <w:r w:rsidR="00616704" w:rsidRPr="00616704">
        <w:rPr>
          <w:lang w:val="en-NZ" w:eastAsia="ko-KR"/>
        </w:rPr>
        <w:t>ve compatibility of BSS</w:t>
      </w:r>
      <w:r w:rsidR="00CF7A0F">
        <w:rPr>
          <w:lang w:val="en-NZ" w:eastAsia="ko-KR"/>
        </w:rPr>
        <w:t xml:space="preserve"> (sound)</w:t>
      </w:r>
      <w:r w:rsidR="00616704" w:rsidRPr="00616704">
        <w:rPr>
          <w:lang w:val="en-NZ" w:eastAsia="ko-KR"/>
        </w:rPr>
        <w:t xml:space="preserve"> and IMT in the band with </w:t>
      </w:r>
      <w:r w:rsidRPr="00616704">
        <w:rPr>
          <w:lang w:val="en-NZ" w:eastAsia="ko-KR"/>
        </w:rPr>
        <w:t>consideration of progress</w:t>
      </w:r>
      <w:r w:rsidR="00616704" w:rsidRPr="00616704">
        <w:rPr>
          <w:lang w:val="en-NZ" w:eastAsia="ko-KR"/>
        </w:rPr>
        <w:t xml:space="preserve"> of studies</w:t>
      </w:r>
      <w:r w:rsidRPr="00616704">
        <w:rPr>
          <w:lang w:val="en-NZ" w:eastAsia="ko-KR"/>
        </w:rPr>
        <w:t xml:space="preserve"> in ITU-R.</w:t>
      </w:r>
    </w:p>
    <w:p w14:paraId="2E0E6766" w14:textId="77777777" w:rsidR="00B64A60" w:rsidRDefault="00B64A60" w:rsidP="00B64A60">
      <w:pPr>
        <w:jc w:val="both"/>
        <w:rPr>
          <w:lang w:val="en-NZ"/>
        </w:rPr>
      </w:pPr>
    </w:p>
    <w:p w14:paraId="2E0E6767" w14:textId="77777777" w:rsidR="00B64A60" w:rsidRPr="00710333" w:rsidRDefault="00B64A60" w:rsidP="00B64A60">
      <w:pPr>
        <w:jc w:val="both"/>
        <w:rPr>
          <w:lang w:val="en-NZ"/>
        </w:rPr>
      </w:pPr>
    </w:p>
    <w:p w14:paraId="2E0E676F" w14:textId="77777777" w:rsidR="00654896" w:rsidRPr="004F6AAB" w:rsidRDefault="00654896" w:rsidP="00B64A60">
      <w:pPr>
        <w:rPr>
          <w:b/>
          <w:lang w:val="en-NZ"/>
        </w:rPr>
      </w:pPr>
    </w:p>
    <w:p w14:paraId="2E0E6770" w14:textId="77777777" w:rsidR="00B64A60" w:rsidRPr="00710333" w:rsidRDefault="00B64A60" w:rsidP="00B64A60">
      <w:pPr>
        <w:jc w:val="center"/>
        <w:rPr>
          <w:snapToGrid w:val="0"/>
          <w:lang w:val="en-NZ"/>
        </w:rPr>
      </w:pPr>
      <w:r w:rsidRPr="00710333">
        <w:rPr>
          <w:lang w:val="en-NZ"/>
        </w:rPr>
        <w:t>____________</w:t>
      </w:r>
    </w:p>
    <w:p w14:paraId="2E0E6771" w14:textId="77777777" w:rsidR="00930E64" w:rsidRPr="007673CA" w:rsidRDefault="00930E64" w:rsidP="00D13D9D">
      <w:pPr>
        <w:jc w:val="both"/>
        <w:rPr>
          <w:lang w:val="en-NZ"/>
        </w:rPr>
      </w:pPr>
    </w:p>
    <w:sectPr w:rsidR="00930E64" w:rsidRPr="007673CA" w:rsidSect="004F2C0A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0C56" w14:textId="77777777" w:rsidR="00F24FF1" w:rsidRDefault="00F24FF1">
      <w:r>
        <w:separator/>
      </w:r>
    </w:p>
  </w:endnote>
  <w:endnote w:type="continuationSeparator" w:id="0">
    <w:p w14:paraId="19B66258" w14:textId="77777777" w:rsidR="00F24FF1" w:rsidRDefault="00F2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A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C" w14:textId="06ABA24A" w:rsidR="0097693B" w:rsidRDefault="00CC658C" w:rsidP="00CC658C">
    <w:pPr>
      <w:pStyle w:val="Header"/>
      <w:tabs>
        <w:tab w:val="clear" w:pos="4320"/>
        <w:tab w:val="clear" w:pos="8640"/>
      </w:tabs>
    </w:pPr>
    <w:r>
      <w:rPr>
        <w:rFonts w:eastAsia="MS Mincho" w:hint="eastAsia"/>
        <w:lang w:eastAsia="ja-JP"/>
      </w:rPr>
      <w:t>APG19-2/OUT-07</w:t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>
      <w:rPr>
        <w:rFonts w:eastAsia="MS Mincho"/>
        <w:lang w:eastAsia="ja-JP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553854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553854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81" w14:textId="77777777" w:rsidR="0097693B" w:rsidRPr="004F2C0A" w:rsidRDefault="0097693B" w:rsidP="00067B56">
    <w:pPr>
      <w:pStyle w:val="Footer"/>
      <w:tabs>
        <w:tab w:val="clear" w:pos="4320"/>
        <w:tab w:val="clear" w:pos="864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E367" w14:textId="77777777" w:rsidR="00F24FF1" w:rsidRDefault="00F24FF1">
      <w:r>
        <w:separator/>
      </w:r>
    </w:p>
  </w:footnote>
  <w:footnote w:type="continuationSeparator" w:id="0">
    <w:p w14:paraId="74D648FD" w14:textId="77777777" w:rsidR="00F24FF1" w:rsidRDefault="00F2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3308" w14:textId="77777777" w:rsidR="00067B56" w:rsidRDefault="00067B56" w:rsidP="004F2C0A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23148AE"/>
    <w:multiLevelType w:val="hybridMultilevel"/>
    <w:tmpl w:val="FB2C7DAA"/>
    <w:lvl w:ilvl="0" w:tplc="C22E0B14">
      <w:start w:val="1"/>
      <w:numFmt w:val="bullet"/>
      <w:lvlText w:val="–"/>
      <w:lvlJc w:val="left"/>
      <w:pPr>
        <w:ind w:left="800" w:hanging="400"/>
      </w:pPr>
      <w:rPr>
        <w:rFonts w:ascii="BatangChe" w:eastAsia="BatangChe" w:hAnsi="BatangChe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3" w15:restartNumberingAfterBreak="0">
    <w:nsid w:val="46F14C21"/>
    <w:multiLevelType w:val="hybridMultilevel"/>
    <w:tmpl w:val="94F8950C"/>
    <w:lvl w:ilvl="0" w:tplc="C22E0B14">
      <w:start w:val="1"/>
      <w:numFmt w:val="bullet"/>
      <w:lvlText w:val="–"/>
      <w:lvlJc w:val="left"/>
      <w:pPr>
        <w:ind w:left="800" w:hanging="400"/>
      </w:pPr>
      <w:rPr>
        <w:rFonts w:ascii="BatangChe" w:eastAsia="BatangChe" w:hAnsi="BatangChe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B38B5"/>
    <w:multiLevelType w:val="multilevel"/>
    <w:tmpl w:val="57DB38B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20"/>
  </w:num>
  <w:num w:numId="10">
    <w:abstractNumId w:val="17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9"/>
  </w:num>
  <w:num w:numId="20">
    <w:abstractNumId w:val="7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7FEF"/>
    <w:rsid w:val="00010C8E"/>
    <w:rsid w:val="0003595B"/>
    <w:rsid w:val="00036517"/>
    <w:rsid w:val="00036CC9"/>
    <w:rsid w:val="0004048D"/>
    <w:rsid w:val="00046728"/>
    <w:rsid w:val="00067B56"/>
    <w:rsid w:val="00070642"/>
    <w:rsid w:val="000713CF"/>
    <w:rsid w:val="00075C14"/>
    <w:rsid w:val="000822B5"/>
    <w:rsid w:val="00094B87"/>
    <w:rsid w:val="00095D46"/>
    <w:rsid w:val="000A012B"/>
    <w:rsid w:val="000A5418"/>
    <w:rsid w:val="000F345F"/>
    <w:rsid w:val="000F517C"/>
    <w:rsid w:val="000F5540"/>
    <w:rsid w:val="00105F1A"/>
    <w:rsid w:val="001409B2"/>
    <w:rsid w:val="00152636"/>
    <w:rsid w:val="001539DD"/>
    <w:rsid w:val="00156782"/>
    <w:rsid w:val="00164CB5"/>
    <w:rsid w:val="001731F4"/>
    <w:rsid w:val="00196568"/>
    <w:rsid w:val="00196FB2"/>
    <w:rsid w:val="00197C18"/>
    <w:rsid w:val="001A2F16"/>
    <w:rsid w:val="001A2F2C"/>
    <w:rsid w:val="001B1804"/>
    <w:rsid w:val="001B18C2"/>
    <w:rsid w:val="001C61A5"/>
    <w:rsid w:val="001C6707"/>
    <w:rsid w:val="001D5D7E"/>
    <w:rsid w:val="001E525F"/>
    <w:rsid w:val="001F5947"/>
    <w:rsid w:val="00202410"/>
    <w:rsid w:val="00214A0C"/>
    <w:rsid w:val="0021588B"/>
    <w:rsid w:val="002216AC"/>
    <w:rsid w:val="002506D2"/>
    <w:rsid w:val="00250DE2"/>
    <w:rsid w:val="00254A1B"/>
    <w:rsid w:val="0026064A"/>
    <w:rsid w:val="00264E9B"/>
    <w:rsid w:val="0028454D"/>
    <w:rsid w:val="00291C9E"/>
    <w:rsid w:val="002926D4"/>
    <w:rsid w:val="002A39EE"/>
    <w:rsid w:val="002B06A3"/>
    <w:rsid w:val="002B435C"/>
    <w:rsid w:val="002B447F"/>
    <w:rsid w:val="002C07DA"/>
    <w:rsid w:val="002C7EA9"/>
    <w:rsid w:val="002E530A"/>
    <w:rsid w:val="002F575D"/>
    <w:rsid w:val="003113D7"/>
    <w:rsid w:val="00311E8A"/>
    <w:rsid w:val="00342F20"/>
    <w:rsid w:val="0034685D"/>
    <w:rsid w:val="00360377"/>
    <w:rsid w:val="00366548"/>
    <w:rsid w:val="003809C7"/>
    <w:rsid w:val="0038236C"/>
    <w:rsid w:val="003905F7"/>
    <w:rsid w:val="00395B40"/>
    <w:rsid w:val="003A6568"/>
    <w:rsid w:val="003B6263"/>
    <w:rsid w:val="003C29E6"/>
    <w:rsid w:val="003C64A7"/>
    <w:rsid w:val="003D1671"/>
    <w:rsid w:val="003D3FDA"/>
    <w:rsid w:val="003D6D00"/>
    <w:rsid w:val="003E166F"/>
    <w:rsid w:val="003F6FD3"/>
    <w:rsid w:val="004001E5"/>
    <w:rsid w:val="00420822"/>
    <w:rsid w:val="00420C74"/>
    <w:rsid w:val="004465AA"/>
    <w:rsid w:val="00446747"/>
    <w:rsid w:val="0045458F"/>
    <w:rsid w:val="004633B4"/>
    <w:rsid w:val="004A0A47"/>
    <w:rsid w:val="004A2F96"/>
    <w:rsid w:val="004B3553"/>
    <w:rsid w:val="004B3F4B"/>
    <w:rsid w:val="004F2C0A"/>
    <w:rsid w:val="004F7EFA"/>
    <w:rsid w:val="00503189"/>
    <w:rsid w:val="00526D01"/>
    <w:rsid w:val="00530E8C"/>
    <w:rsid w:val="00533856"/>
    <w:rsid w:val="00545933"/>
    <w:rsid w:val="00552105"/>
    <w:rsid w:val="0055243F"/>
    <w:rsid w:val="00553854"/>
    <w:rsid w:val="005562F2"/>
    <w:rsid w:val="00557544"/>
    <w:rsid w:val="00565BBB"/>
    <w:rsid w:val="00570572"/>
    <w:rsid w:val="00585F3C"/>
    <w:rsid w:val="00586416"/>
    <w:rsid w:val="00586CA0"/>
    <w:rsid w:val="00587875"/>
    <w:rsid w:val="00590D1C"/>
    <w:rsid w:val="005A63EB"/>
    <w:rsid w:val="005C33B6"/>
    <w:rsid w:val="005C68C3"/>
    <w:rsid w:val="005D6202"/>
    <w:rsid w:val="005D6E98"/>
    <w:rsid w:val="005F4FC9"/>
    <w:rsid w:val="00607E2B"/>
    <w:rsid w:val="00611422"/>
    <w:rsid w:val="006139D6"/>
    <w:rsid w:val="00616704"/>
    <w:rsid w:val="00616D1B"/>
    <w:rsid w:val="00623CE1"/>
    <w:rsid w:val="0063062B"/>
    <w:rsid w:val="00632FF7"/>
    <w:rsid w:val="00637351"/>
    <w:rsid w:val="00646166"/>
    <w:rsid w:val="00654896"/>
    <w:rsid w:val="006569A3"/>
    <w:rsid w:val="006621F0"/>
    <w:rsid w:val="006647BA"/>
    <w:rsid w:val="00667229"/>
    <w:rsid w:val="00682BE5"/>
    <w:rsid w:val="00690FED"/>
    <w:rsid w:val="006939A5"/>
    <w:rsid w:val="006D5223"/>
    <w:rsid w:val="006E12FC"/>
    <w:rsid w:val="006F2B2E"/>
    <w:rsid w:val="00705962"/>
    <w:rsid w:val="00707C21"/>
    <w:rsid w:val="00710ECE"/>
    <w:rsid w:val="00712451"/>
    <w:rsid w:val="00717DE9"/>
    <w:rsid w:val="0072518B"/>
    <w:rsid w:val="00731041"/>
    <w:rsid w:val="007329E4"/>
    <w:rsid w:val="00732F08"/>
    <w:rsid w:val="007342F0"/>
    <w:rsid w:val="00736E38"/>
    <w:rsid w:val="0074190C"/>
    <w:rsid w:val="00762576"/>
    <w:rsid w:val="007673CA"/>
    <w:rsid w:val="00791060"/>
    <w:rsid w:val="00795D7D"/>
    <w:rsid w:val="007A6B19"/>
    <w:rsid w:val="007B5626"/>
    <w:rsid w:val="007B6124"/>
    <w:rsid w:val="007C0F4A"/>
    <w:rsid w:val="007D3C53"/>
    <w:rsid w:val="007F2628"/>
    <w:rsid w:val="007F2FBA"/>
    <w:rsid w:val="00800C3A"/>
    <w:rsid w:val="0080570B"/>
    <w:rsid w:val="008148E1"/>
    <w:rsid w:val="008319BF"/>
    <w:rsid w:val="008433C2"/>
    <w:rsid w:val="00844457"/>
    <w:rsid w:val="008454C8"/>
    <w:rsid w:val="00851D78"/>
    <w:rsid w:val="00870520"/>
    <w:rsid w:val="008A1A0D"/>
    <w:rsid w:val="008A76ED"/>
    <w:rsid w:val="008B3C72"/>
    <w:rsid w:val="008D0E09"/>
    <w:rsid w:val="008D30A9"/>
    <w:rsid w:val="008E6D81"/>
    <w:rsid w:val="00903007"/>
    <w:rsid w:val="00920C57"/>
    <w:rsid w:val="00923816"/>
    <w:rsid w:val="0093074B"/>
    <w:rsid w:val="00930E64"/>
    <w:rsid w:val="009510AB"/>
    <w:rsid w:val="00956F8C"/>
    <w:rsid w:val="00961D57"/>
    <w:rsid w:val="00976716"/>
    <w:rsid w:val="0097693B"/>
    <w:rsid w:val="00993355"/>
    <w:rsid w:val="009963F7"/>
    <w:rsid w:val="009A4A6D"/>
    <w:rsid w:val="009A786C"/>
    <w:rsid w:val="009B7E42"/>
    <w:rsid w:val="009E13DD"/>
    <w:rsid w:val="00A0503B"/>
    <w:rsid w:val="00A13265"/>
    <w:rsid w:val="00A14900"/>
    <w:rsid w:val="00A2112C"/>
    <w:rsid w:val="00A2159F"/>
    <w:rsid w:val="00A529BC"/>
    <w:rsid w:val="00A5346C"/>
    <w:rsid w:val="00A562F0"/>
    <w:rsid w:val="00A564FB"/>
    <w:rsid w:val="00A614C1"/>
    <w:rsid w:val="00A61EA6"/>
    <w:rsid w:val="00A71136"/>
    <w:rsid w:val="00A9466E"/>
    <w:rsid w:val="00AA474C"/>
    <w:rsid w:val="00AC35EF"/>
    <w:rsid w:val="00AC5965"/>
    <w:rsid w:val="00AD2697"/>
    <w:rsid w:val="00AD7E5F"/>
    <w:rsid w:val="00AE3066"/>
    <w:rsid w:val="00AF68E4"/>
    <w:rsid w:val="00B01AA1"/>
    <w:rsid w:val="00B05A9E"/>
    <w:rsid w:val="00B263F2"/>
    <w:rsid w:val="00B30C81"/>
    <w:rsid w:val="00B4793B"/>
    <w:rsid w:val="00B64A60"/>
    <w:rsid w:val="00B7014B"/>
    <w:rsid w:val="00B725E0"/>
    <w:rsid w:val="00B937D7"/>
    <w:rsid w:val="00B96B67"/>
    <w:rsid w:val="00BA18A5"/>
    <w:rsid w:val="00BB67B0"/>
    <w:rsid w:val="00BC57EF"/>
    <w:rsid w:val="00BD1B57"/>
    <w:rsid w:val="00BF25F9"/>
    <w:rsid w:val="00C13FD5"/>
    <w:rsid w:val="00C15633"/>
    <w:rsid w:val="00C15799"/>
    <w:rsid w:val="00C32E84"/>
    <w:rsid w:val="00C35415"/>
    <w:rsid w:val="00C357AD"/>
    <w:rsid w:val="00C554CC"/>
    <w:rsid w:val="00C6069C"/>
    <w:rsid w:val="00C74745"/>
    <w:rsid w:val="00C85119"/>
    <w:rsid w:val="00CC658C"/>
    <w:rsid w:val="00CD320B"/>
    <w:rsid w:val="00CD3F37"/>
    <w:rsid w:val="00CD5431"/>
    <w:rsid w:val="00CE4B93"/>
    <w:rsid w:val="00CF2491"/>
    <w:rsid w:val="00CF3963"/>
    <w:rsid w:val="00CF5CD0"/>
    <w:rsid w:val="00CF61AB"/>
    <w:rsid w:val="00CF7A0F"/>
    <w:rsid w:val="00D1252E"/>
    <w:rsid w:val="00D13D9D"/>
    <w:rsid w:val="00D459A2"/>
    <w:rsid w:val="00D47694"/>
    <w:rsid w:val="00D530FF"/>
    <w:rsid w:val="00D53688"/>
    <w:rsid w:val="00D5407A"/>
    <w:rsid w:val="00D57772"/>
    <w:rsid w:val="00D72AE3"/>
    <w:rsid w:val="00D75A4D"/>
    <w:rsid w:val="00D8478B"/>
    <w:rsid w:val="00D86151"/>
    <w:rsid w:val="00D9172D"/>
    <w:rsid w:val="00D91E5C"/>
    <w:rsid w:val="00DA7595"/>
    <w:rsid w:val="00DB0A68"/>
    <w:rsid w:val="00DC1C1D"/>
    <w:rsid w:val="00DC43A3"/>
    <w:rsid w:val="00DC4CF3"/>
    <w:rsid w:val="00DC5C01"/>
    <w:rsid w:val="00DD7C09"/>
    <w:rsid w:val="00DF4761"/>
    <w:rsid w:val="00E0124F"/>
    <w:rsid w:val="00E674D3"/>
    <w:rsid w:val="00E70FD0"/>
    <w:rsid w:val="00E77C4B"/>
    <w:rsid w:val="00E82220"/>
    <w:rsid w:val="00E9301F"/>
    <w:rsid w:val="00E9690A"/>
    <w:rsid w:val="00E97DC7"/>
    <w:rsid w:val="00EA3599"/>
    <w:rsid w:val="00ED402E"/>
    <w:rsid w:val="00EF4C7B"/>
    <w:rsid w:val="00F000EF"/>
    <w:rsid w:val="00F24FF1"/>
    <w:rsid w:val="00F2504E"/>
    <w:rsid w:val="00F2585B"/>
    <w:rsid w:val="00F4053F"/>
    <w:rsid w:val="00F516E7"/>
    <w:rsid w:val="00F57BF7"/>
    <w:rsid w:val="00F6263E"/>
    <w:rsid w:val="00F627C2"/>
    <w:rsid w:val="00F63759"/>
    <w:rsid w:val="00F84067"/>
    <w:rsid w:val="00F91EF9"/>
    <w:rsid w:val="00FA50B4"/>
    <w:rsid w:val="00FC156A"/>
    <w:rsid w:val="00FC7F50"/>
    <w:rsid w:val="00FD6235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  <w15:docId w15:val="{658D5A93-A2AD-451D-AA05-7FB062D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06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39EE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A35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ADE5-E984-4DB0-B268-3D3D4AB3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2017-07-24T02:32:00Z</dcterms:created>
  <dcterms:modified xsi:type="dcterms:W3CDTF">2017-07-24T02:32:00Z</dcterms:modified>
</cp:coreProperties>
</file>