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700"/>
      </w:tblGrid>
      <w:tr w:rsidR="00CF3963" w:rsidRPr="00891D0B" w14:paraId="73E4C0C3" w14:textId="77777777" w:rsidTr="007D7378">
        <w:trPr>
          <w:cantSplit/>
        </w:trPr>
        <w:tc>
          <w:tcPr>
            <w:tcW w:w="1399" w:type="dxa"/>
            <w:vMerge w:val="restart"/>
          </w:tcPr>
          <w:p w14:paraId="41AAFC28" w14:textId="77777777" w:rsidR="00CF3963" w:rsidRPr="00891D0B" w:rsidRDefault="00CF3963" w:rsidP="007D737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808B352" wp14:editId="40D430FF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57986C63" w14:textId="77777777" w:rsidR="00CF3963" w:rsidRPr="00891D0B" w:rsidRDefault="00CF3963" w:rsidP="007D7378">
            <w:r w:rsidRPr="00096326">
              <w:t>ASIA-PACIFIC TELECOMMUNITY</w:t>
            </w:r>
          </w:p>
        </w:tc>
        <w:tc>
          <w:tcPr>
            <w:tcW w:w="2700" w:type="dxa"/>
          </w:tcPr>
          <w:p w14:paraId="0D82F459" w14:textId="191D6A75" w:rsidR="00CF3963" w:rsidRPr="00096326" w:rsidRDefault="00CF3963" w:rsidP="007D7378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 w:rsidR="00CF6B42">
              <w:rPr>
                <w:b/>
                <w:lang w:val="fr-FR"/>
              </w:rPr>
              <w:t xml:space="preserve"> No</w:t>
            </w:r>
            <w:r>
              <w:rPr>
                <w:b/>
                <w:lang w:val="fr-FR"/>
              </w:rPr>
              <w:t xml:space="preserve">: </w:t>
            </w:r>
          </w:p>
        </w:tc>
      </w:tr>
      <w:tr w:rsidR="00CF3963" w:rsidRPr="00C15799" w14:paraId="448FBFF1" w14:textId="77777777" w:rsidTr="007D7378">
        <w:trPr>
          <w:cantSplit/>
        </w:trPr>
        <w:tc>
          <w:tcPr>
            <w:tcW w:w="1399" w:type="dxa"/>
            <w:vMerge/>
          </w:tcPr>
          <w:p w14:paraId="29C3EF27" w14:textId="77777777" w:rsidR="00CF3963" w:rsidRPr="00891D0B" w:rsidRDefault="00CF3963" w:rsidP="007D7378"/>
        </w:tc>
        <w:tc>
          <w:tcPr>
            <w:tcW w:w="5720" w:type="dxa"/>
          </w:tcPr>
          <w:p w14:paraId="5CBA7DD0" w14:textId="3EE31F7A" w:rsidR="00CF3963" w:rsidRPr="00891D0B" w:rsidRDefault="00201B98" w:rsidP="007D7378">
            <w:pPr>
              <w:spacing w:line="0" w:lineRule="atLeast"/>
            </w:pPr>
            <w:r>
              <w:rPr>
                <w:b/>
              </w:rPr>
              <w:t>The 3rd</w:t>
            </w:r>
            <w:r w:rsidR="00CF3963">
              <w:rPr>
                <w:b/>
              </w:rPr>
              <w:t xml:space="preserve"> Meeting of the APT Conference Prepar</w:t>
            </w:r>
            <w:r>
              <w:rPr>
                <w:b/>
              </w:rPr>
              <w:t>atory  Group for WRC-19 (APG19-3</w:t>
            </w:r>
            <w:r w:rsidR="00CF3963">
              <w:rPr>
                <w:b/>
              </w:rPr>
              <w:t>)</w:t>
            </w:r>
          </w:p>
        </w:tc>
        <w:tc>
          <w:tcPr>
            <w:tcW w:w="2700" w:type="dxa"/>
          </w:tcPr>
          <w:p w14:paraId="79797BCF" w14:textId="5F7804AE" w:rsidR="00CF3963" w:rsidRPr="00C15799" w:rsidRDefault="00201B98" w:rsidP="00201B9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APG19-3</w:t>
            </w:r>
            <w:r w:rsidR="00CF3963">
              <w:rPr>
                <w:b/>
                <w:bCs/>
                <w:lang w:val="fr-FR"/>
              </w:rPr>
              <w:t>/</w:t>
            </w:r>
            <w:r w:rsidR="000E2A48">
              <w:rPr>
                <w:b/>
                <w:bCs/>
                <w:lang w:val="fr-FR"/>
              </w:rPr>
              <w:t>OUT-13</w:t>
            </w:r>
          </w:p>
        </w:tc>
      </w:tr>
      <w:tr w:rsidR="00CF3963" w:rsidRPr="00891D0B" w14:paraId="53A9E6D1" w14:textId="77777777" w:rsidTr="007D7378">
        <w:trPr>
          <w:cantSplit/>
          <w:trHeight w:val="219"/>
        </w:trPr>
        <w:tc>
          <w:tcPr>
            <w:tcW w:w="1399" w:type="dxa"/>
            <w:vMerge/>
          </w:tcPr>
          <w:p w14:paraId="59C3513F" w14:textId="77777777" w:rsidR="00CF3963" w:rsidRPr="00C15799" w:rsidRDefault="00CF3963" w:rsidP="007D7378">
            <w:pPr>
              <w:rPr>
                <w:lang w:val="fr-FR"/>
              </w:rPr>
            </w:pPr>
          </w:p>
        </w:tc>
        <w:tc>
          <w:tcPr>
            <w:tcW w:w="5720" w:type="dxa"/>
          </w:tcPr>
          <w:p w14:paraId="3510CFC7" w14:textId="1AE1822F" w:rsidR="00CF3963" w:rsidRPr="00891D0B" w:rsidRDefault="00201B98" w:rsidP="00201B98">
            <w:r>
              <w:t>12 - 16 March 2018</w:t>
            </w:r>
            <w:r w:rsidR="00CF3963" w:rsidRPr="00891D0B">
              <w:t xml:space="preserve">, </w:t>
            </w:r>
            <w:r>
              <w:t>Perth</w:t>
            </w:r>
            <w:r w:rsidR="00CF3963">
              <w:t xml:space="preserve">, </w:t>
            </w:r>
            <w:r>
              <w:t>Australia</w:t>
            </w:r>
          </w:p>
        </w:tc>
        <w:tc>
          <w:tcPr>
            <w:tcW w:w="2700" w:type="dxa"/>
          </w:tcPr>
          <w:p w14:paraId="60FFE2BA" w14:textId="32155257" w:rsidR="00CF3963" w:rsidRPr="00712451" w:rsidRDefault="004F4F4E" w:rsidP="007D7378">
            <w:pPr>
              <w:rPr>
                <w:b/>
              </w:rPr>
            </w:pPr>
            <w:r>
              <w:rPr>
                <w:b/>
              </w:rPr>
              <w:t>15</w:t>
            </w:r>
            <w:r w:rsidR="00201B98">
              <w:rPr>
                <w:b/>
              </w:rPr>
              <w:t xml:space="preserve"> March 2018</w:t>
            </w:r>
          </w:p>
        </w:tc>
      </w:tr>
    </w:tbl>
    <w:p w14:paraId="2E0E673C" w14:textId="77777777" w:rsidR="00D13D9D" w:rsidRPr="007673CA" w:rsidRDefault="00D13D9D" w:rsidP="00DA7595">
      <w:pPr>
        <w:rPr>
          <w:lang w:val="en-NZ" w:eastAsia="ko-KR"/>
        </w:rPr>
      </w:pPr>
    </w:p>
    <w:p w14:paraId="4B5BF43D" w14:textId="77777777" w:rsidR="00BB67B0" w:rsidRDefault="00BB67B0" w:rsidP="00B64A60">
      <w:pPr>
        <w:jc w:val="center"/>
        <w:rPr>
          <w:b/>
          <w:lang w:val="en-NZ" w:eastAsia="ko-KR"/>
        </w:rPr>
      </w:pPr>
    </w:p>
    <w:p w14:paraId="5051E840" w14:textId="7BCE034E" w:rsidR="00495A35" w:rsidRPr="002A0111" w:rsidRDefault="001057E4" w:rsidP="00495A35">
      <w:pPr>
        <w:jc w:val="center"/>
        <w:rPr>
          <w:lang w:val="en-NZ" w:eastAsia="ko-KR"/>
        </w:rPr>
      </w:pPr>
      <w:r>
        <w:rPr>
          <w:lang w:val="en-NZ" w:eastAsia="ko-KR"/>
        </w:rPr>
        <w:t>Working Party 3</w:t>
      </w:r>
    </w:p>
    <w:p w14:paraId="2E0E6744" w14:textId="68FA14A1" w:rsidR="00B64A60" w:rsidRPr="00495A35" w:rsidRDefault="00B64A60" w:rsidP="009E42F8">
      <w:pPr>
        <w:spacing w:after="120"/>
        <w:jc w:val="center"/>
        <w:rPr>
          <w:lang w:val="en-NZ" w:eastAsia="ko-KR"/>
        </w:rPr>
      </w:pPr>
    </w:p>
    <w:p w14:paraId="229DC2FC" w14:textId="6848F233" w:rsidR="000E2A48" w:rsidRPr="00441526" w:rsidRDefault="000E2A48" w:rsidP="000E2A48">
      <w:pPr>
        <w:jc w:val="center"/>
        <w:rPr>
          <w:b/>
          <w:bCs/>
          <w:caps/>
          <w:lang w:val="en-NZ"/>
        </w:rPr>
      </w:pPr>
      <w:r w:rsidRPr="00441526">
        <w:rPr>
          <w:b/>
          <w:bCs/>
          <w:caps/>
          <w:lang w:val="en-NZ"/>
        </w:rPr>
        <w:t>PRELIMINARY VIEWs on WRC-19 agenda item 1.</w:t>
      </w:r>
      <w:r>
        <w:rPr>
          <w:b/>
          <w:bCs/>
          <w:caps/>
          <w:lang w:val="en-NZ"/>
        </w:rPr>
        <w:t xml:space="preserve">4 </w:t>
      </w:r>
      <w:r>
        <w:rPr>
          <w:rStyle w:val="FootnoteReference"/>
          <w:b/>
          <w:bCs/>
          <w:caps/>
          <w:lang w:val="en-NZ"/>
        </w:rPr>
        <w:footnoteReference w:id="1"/>
      </w:r>
    </w:p>
    <w:p w14:paraId="194DF958" w14:textId="77777777" w:rsidR="000E2A48" w:rsidRPr="00441526" w:rsidRDefault="000E2A48" w:rsidP="000E2A48">
      <w:pPr>
        <w:spacing w:after="120"/>
        <w:rPr>
          <w:lang w:val="en-NZ"/>
        </w:rPr>
      </w:pPr>
    </w:p>
    <w:p w14:paraId="5F63567F" w14:textId="77777777" w:rsidR="000E2A48" w:rsidRPr="00441526" w:rsidRDefault="000E2A48" w:rsidP="000E2A48">
      <w:pPr>
        <w:spacing w:after="120"/>
        <w:jc w:val="both"/>
        <w:rPr>
          <w:lang w:val="en-NZ"/>
        </w:rPr>
      </w:pPr>
      <w:r>
        <w:rPr>
          <w:b/>
          <w:lang w:val="en-NZ"/>
        </w:rPr>
        <w:t>Agenda Item 1.4</w:t>
      </w:r>
      <w:r w:rsidRPr="00441526">
        <w:rPr>
          <w:b/>
          <w:lang w:val="en-NZ"/>
        </w:rPr>
        <w:t xml:space="preserve">: </w:t>
      </w:r>
    </w:p>
    <w:p w14:paraId="00FA2274" w14:textId="77777777" w:rsidR="000E2A48" w:rsidRDefault="000E2A48" w:rsidP="000E2A48">
      <w:pPr>
        <w:ind w:left="90"/>
        <w:rPr>
          <w:i/>
          <w:lang w:val="en-AU"/>
        </w:rPr>
      </w:pPr>
      <w:r>
        <w:rPr>
          <w:i/>
          <w:lang w:val="en-AU"/>
        </w:rPr>
        <w:t>“</w:t>
      </w:r>
      <w:r w:rsidRPr="009E2846">
        <w:rPr>
          <w:i/>
          <w:lang w:val="en-AU"/>
        </w:rPr>
        <w:t xml:space="preserve">to consider the results of studies in accordance with Resolution </w:t>
      </w:r>
      <w:r w:rsidRPr="009E2846">
        <w:rPr>
          <w:b/>
          <w:bCs/>
          <w:i/>
          <w:lang w:val="en-AU"/>
        </w:rPr>
        <w:t>557 (WRC-15)</w:t>
      </w:r>
      <w:r w:rsidRPr="009E2846">
        <w:rPr>
          <w:i/>
          <w:lang w:val="en-AU"/>
        </w:rPr>
        <w:t>, and</w:t>
      </w:r>
      <w:r>
        <w:rPr>
          <w:i/>
          <w:lang w:val="en-AU"/>
        </w:rPr>
        <w:t xml:space="preserve"> </w:t>
      </w:r>
      <w:r w:rsidRPr="009E2846">
        <w:rPr>
          <w:i/>
          <w:lang w:val="en-AU"/>
        </w:rPr>
        <w:t xml:space="preserve">review, and revise if necessary, the limitations mentioned in Annex 7 to Appendix </w:t>
      </w:r>
      <w:r w:rsidRPr="009E2846">
        <w:rPr>
          <w:b/>
          <w:bCs/>
          <w:i/>
          <w:lang w:val="en-AU"/>
        </w:rPr>
        <w:t>30</w:t>
      </w:r>
      <w:r>
        <w:rPr>
          <w:b/>
          <w:bCs/>
          <w:i/>
          <w:lang w:val="en-AU"/>
        </w:rPr>
        <w:t xml:space="preserve"> </w:t>
      </w:r>
      <w:r w:rsidRPr="009E2846">
        <w:rPr>
          <w:b/>
          <w:bCs/>
          <w:i/>
          <w:lang w:val="en-AU"/>
        </w:rPr>
        <w:t>(Rev.WRC-15)</w:t>
      </w:r>
      <w:r w:rsidRPr="009E2846">
        <w:rPr>
          <w:i/>
          <w:lang w:val="en-AU"/>
        </w:rPr>
        <w:t>, while ensuring the protection of, and without imposing additional constraints on,</w:t>
      </w:r>
      <w:r>
        <w:rPr>
          <w:i/>
          <w:lang w:val="en-AU"/>
        </w:rPr>
        <w:t xml:space="preserve"> </w:t>
      </w:r>
      <w:r w:rsidRPr="009E2846">
        <w:rPr>
          <w:i/>
          <w:lang w:val="en-AU"/>
        </w:rPr>
        <w:t>assignments in the Plan and the List and the future development of the broadcasting-satellite service</w:t>
      </w:r>
      <w:r>
        <w:rPr>
          <w:i/>
          <w:lang w:val="en-AU"/>
        </w:rPr>
        <w:t xml:space="preserve"> </w:t>
      </w:r>
      <w:r w:rsidRPr="009E2846">
        <w:rPr>
          <w:i/>
          <w:lang w:val="en-AU"/>
        </w:rPr>
        <w:t>within the Plan, and existing and planned fixed-satellite service networks</w:t>
      </w:r>
      <w:r>
        <w:rPr>
          <w:i/>
          <w:lang w:val="en-AU"/>
        </w:rPr>
        <w:t>”.</w:t>
      </w:r>
    </w:p>
    <w:p w14:paraId="1708673A" w14:textId="77777777" w:rsidR="000E2A48" w:rsidRDefault="000E2A48" w:rsidP="000E2A48">
      <w:pPr>
        <w:ind w:left="90"/>
        <w:jc w:val="both"/>
        <w:rPr>
          <w:i/>
          <w:lang w:eastAsia="ko-KR"/>
        </w:rPr>
      </w:pPr>
    </w:p>
    <w:p w14:paraId="386CE08F" w14:textId="77777777" w:rsidR="000E2A48" w:rsidRPr="00A112CB" w:rsidRDefault="000E2A48" w:rsidP="000E2A48">
      <w:pPr>
        <w:ind w:left="90"/>
        <w:jc w:val="both"/>
        <w:rPr>
          <w:lang w:eastAsia="ko-KR"/>
        </w:rPr>
      </w:pPr>
      <w:r w:rsidRPr="0041509B">
        <w:rPr>
          <w:rFonts w:hint="eastAsia"/>
          <w:i/>
          <w:lang w:eastAsia="ko-KR"/>
        </w:rPr>
        <w:t xml:space="preserve">Resolution </w:t>
      </w:r>
      <w:r w:rsidRPr="0041509B">
        <w:rPr>
          <w:b/>
          <w:i/>
          <w:lang w:eastAsia="ko-KR"/>
        </w:rPr>
        <w:t>557 (WRC-15)</w:t>
      </w:r>
      <w:r w:rsidRPr="0041509B">
        <w:rPr>
          <w:rFonts w:hint="eastAsia"/>
          <w:lang w:eastAsia="ko-KR"/>
        </w:rPr>
        <w:t xml:space="preserve"> -</w:t>
      </w:r>
      <w:r w:rsidRPr="0041509B">
        <w:rPr>
          <w:rFonts w:hint="eastAsia"/>
          <w:i/>
          <w:lang w:eastAsia="ko-KR"/>
        </w:rPr>
        <w:t xml:space="preserve"> </w:t>
      </w:r>
      <w:r w:rsidRPr="0041509B">
        <w:rPr>
          <w:rFonts w:eastAsia="SimSun"/>
          <w:i/>
          <w:iCs/>
        </w:rPr>
        <w:t xml:space="preserve">Consideration of possible revision of Annex 7 to Appendix </w:t>
      </w:r>
      <w:r w:rsidRPr="0041509B">
        <w:rPr>
          <w:rFonts w:eastAsia="SimSun"/>
          <w:b/>
          <w:bCs/>
          <w:i/>
          <w:iCs/>
        </w:rPr>
        <w:t>30</w:t>
      </w:r>
      <w:r w:rsidRPr="0041509B">
        <w:rPr>
          <w:rFonts w:eastAsia="SimSun"/>
          <w:i/>
          <w:iCs/>
        </w:rPr>
        <w:t xml:space="preserve"> of the Radio Regulations</w:t>
      </w:r>
      <w:r>
        <w:rPr>
          <w:rFonts w:eastAsia="SimSun"/>
          <w:i/>
          <w:iCs/>
        </w:rPr>
        <w:t>.</w:t>
      </w:r>
    </w:p>
    <w:p w14:paraId="43EF8DAD" w14:textId="77777777" w:rsidR="000E2A48" w:rsidRPr="00441526" w:rsidRDefault="000E2A48" w:rsidP="000E2A48">
      <w:pPr>
        <w:jc w:val="both"/>
        <w:rPr>
          <w:lang w:val="en-NZ"/>
        </w:rPr>
      </w:pPr>
    </w:p>
    <w:p w14:paraId="581AFF29" w14:textId="77777777" w:rsidR="000E2A48" w:rsidRPr="00441526" w:rsidRDefault="000E2A48" w:rsidP="000E2A4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14:paraId="1EBBB584" w14:textId="77777777" w:rsidR="000E2A48" w:rsidRPr="00095148" w:rsidRDefault="000E2A48" w:rsidP="000E2A48">
      <w:pPr>
        <w:pStyle w:val="ListParagraph"/>
        <w:tabs>
          <w:tab w:val="left" w:pos="794"/>
          <w:tab w:val="left" w:pos="1191"/>
        </w:tabs>
        <w:ind w:left="0"/>
      </w:pPr>
      <w:r w:rsidRPr="00095148">
        <w:t xml:space="preserve">WRC-15 adopted Resolution (Resolutions </w:t>
      </w:r>
      <w:r w:rsidRPr="00170E28">
        <w:rPr>
          <w:b/>
          <w:bCs/>
        </w:rPr>
        <w:t>557 (WRC-15)</w:t>
      </w:r>
      <w:r w:rsidRPr="00095148">
        <w:t xml:space="preserve">) to study possible revisions of the limitations mentioned in Annex 7 to Appendix </w:t>
      </w:r>
      <w:r w:rsidRPr="00170E28">
        <w:rPr>
          <w:b/>
        </w:rPr>
        <w:t>30 (</w:t>
      </w:r>
      <w:r w:rsidRPr="00C446E1">
        <w:rPr>
          <w:b/>
        </w:rPr>
        <w:t>Rev.WRC-1</w:t>
      </w:r>
      <w:r>
        <w:rPr>
          <w:b/>
        </w:rPr>
        <w:t>5</w:t>
      </w:r>
      <w:r w:rsidRPr="00C446E1">
        <w:rPr>
          <w:b/>
        </w:rPr>
        <w:t>)</w:t>
      </w:r>
      <w:r>
        <w:rPr>
          <w:b/>
        </w:rPr>
        <w:t xml:space="preserve"> </w:t>
      </w:r>
      <w:r w:rsidRPr="00377FE4">
        <w:t>in order to</w:t>
      </w:r>
      <w:r>
        <w:rPr>
          <w:b/>
        </w:rPr>
        <w:t xml:space="preserve"> </w:t>
      </w:r>
      <w:r w:rsidRPr="002951B6">
        <w:t>equitably access</w:t>
      </w:r>
      <w:r w:rsidRPr="00377FE4">
        <w:t xml:space="preserve"> to orbital resources for broadcasting-satellite-services (BSS)</w:t>
      </w:r>
      <w:r w:rsidRPr="00095148">
        <w:t>.</w:t>
      </w:r>
      <w:r>
        <w:t xml:space="preserve">  </w:t>
      </w:r>
      <w:r w:rsidRPr="00095148">
        <w:t>It should be noted that BSS</w:t>
      </w:r>
      <w:r>
        <w:t xml:space="preserve"> is </w:t>
      </w:r>
      <w:r w:rsidRPr="00095148">
        <w:t xml:space="preserve">not subject to Appendix </w:t>
      </w:r>
      <w:r w:rsidRPr="00095148">
        <w:rPr>
          <w:b/>
        </w:rPr>
        <w:t>30</w:t>
      </w:r>
      <w:r w:rsidRPr="00095148">
        <w:t xml:space="preserve"> (12.5-12.7 GHz) in Region 3</w:t>
      </w:r>
      <w:r>
        <w:t xml:space="preserve"> and therefore</w:t>
      </w:r>
      <w:r w:rsidRPr="00095148">
        <w:t xml:space="preserve"> is not the subject of consideration in accordance with Resolution </w:t>
      </w:r>
      <w:r w:rsidRPr="00095148">
        <w:rPr>
          <w:b/>
          <w:bCs/>
        </w:rPr>
        <w:t>557 (WRC-15)</w:t>
      </w:r>
      <w:r w:rsidRPr="00095148">
        <w:t>.</w:t>
      </w:r>
    </w:p>
    <w:p w14:paraId="222F58D4" w14:textId="77777777" w:rsidR="000E2A48" w:rsidRDefault="000E2A48" w:rsidP="000E2A48">
      <w:pPr>
        <w:ind w:left="68"/>
        <w:rPr>
          <w:lang w:val="en-NZ" w:eastAsia="ko-KR"/>
        </w:rPr>
      </w:pPr>
    </w:p>
    <w:p w14:paraId="0D6F889F" w14:textId="77777777" w:rsidR="000E2A48" w:rsidRDefault="000E2A48" w:rsidP="000E2A48">
      <w:pPr>
        <w:rPr>
          <w:iCs/>
        </w:rPr>
      </w:pPr>
      <w:r w:rsidRPr="00095148">
        <w:rPr>
          <w:iCs/>
        </w:rPr>
        <w:t xml:space="preserve">It should be emphasized that studies calling for revision of Annex 7 to Appendix </w:t>
      </w:r>
      <w:r w:rsidRPr="00095148">
        <w:rPr>
          <w:b/>
          <w:iCs/>
        </w:rPr>
        <w:t xml:space="preserve">30 </w:t>
      </w:r>
      <w:r w:rsidRPr="00C446E1">
        <w:rPr>
          <w:b/>
          <w:iCs/>
        </w:rPr>
        <w:t>Rev.WRC-1</w:t>
      </w:r>
      <w:r>
        <w:rPr>
          <w:b/>
          <w:iCs/>
        </w:rPr>
        <w:t xml:space="preserve">5 </w:t>
      </w:r>
      <w:r w:rsidRPr="00095148">
        <w:rPr>
          <w:iCs/>
        </w:rPr>
        <w:t xml:space="preserve">under Resolution </w:t>
      </w:r>
      <w:r w:rsidRPr="00095148">
        <w:rPr>
          <w:b/>
          <w:bCs/>
          <w:iCs/>
        </w:rPr>
        <w:t>557 (WRC-15)</w:t>
      </w:r>
      <w:r w:rsidRPr="00095148">
        <w:rPr>
          <w:iCs/>
        </w:rPr>
        <w:t xml:space="preserve"> in no way was intended to have any impact </w:t>
      </w:r>
      <w:r>
        <w:rPr>
          <w:iCs/>
        </w:rPr>
        <w:t xml:space="preserve">on the other provisions </w:t>
      </w:r>
      <w:r w:rsidRPr="00095148">
        <w:rPr>
          <w:iCs/>
        </w:rPr>
        <w:t xml:space="preserve">of Appendix </w:t>
      </w:r>
      <w:r w:rsidRPr="00095148">
        <w:rPr>
          <w:b/>
          <w:bCs/>
          <w:iCs/>
        </w:rPr>
        <w:t>30</w:t>
      </w:r>
      <w:r w:rsidRPr="00095148">
        <w:rPr>
          <w:iCs/>
        </w:rPr>
        <w:t xml:space="preserve"> for Regions 3.</w:t>
      </w:r>
    </w:p>
    <w:p w14:paraId="0AD8F9CE" w14:textId="77777777" w:rsidR="000E2A48" w:rsidRDefault="000E2A48" w:rsidP="000E2A48">
      <w:pPr>
        <w:rPr>
          <w:iCs/>
        </w:rPr>
      </w:pPr>
    </w:p>
    <w:p w14:paraId="40F41699" w14:textId="77777777" w:rsidR="000E2A48" w:rsidRPr="00A60BB7" w:rsidRDefault="000E2A48" w:rsidP="000E2A48">
      <w:r w:rsidRPr="00095148">
        <w:t xml:space="preserve">The Annex 7 to </w:t>
      </w:r>
      <w:r>
        <w:t>Radio Regulation</w:t>
      </w:r>
      <w:r w:rsidRPr="00095148">
        <w:t xml:space="preserve"> Appendix </w:t>
      </w:r>
      <w:r w:rsidRPr="00095148">
        <w:rPr>
          <w:b/>
        </w:rPr>
        <w:t>30 (</w:t>
      </w:r>
      <w:r w:rsidRPr="00C446E1">
        <w:rPr>
          <w:b/>
        </w:rPr>
        <w:t>Rev.WRC-1</w:t>
      </w:r>
      <w:r>
        <w:rPr>
          <w:b/>
        </w:rPr>
        <w:t>5</w:t>
      </w:r>
      <w:r w:rsidRPr="00095148">
        <w:rPr>
          <w:b/>
        </w:rPr>
        <w:t>)</w:t>
      </w:r>
      <w:r w:rsidRPr="00095148">
        <w:t xml:space="preserve"> contains several orbital position limitations </w:t>
      </w:r>
      <w:r w:rsidRPr="00095148">
        <w:rPr>
          <w:lang w:eastAsia="zh-CN"/>
        </w:rPr>
        <w:t>for proposed modifications to the Region 2 Plan and for proposed new or modified assignments in the Regions 1 and 3 List</w:t>
      </w:r>
      <w:r w:rsidRPr="00095148">
        <w:t xml:space="preserve"> applicable to specific parts of the band 11.7-12.7 GHz.</w:t>
      </w:r>
      <w:r>
        <w:t xml:space="preserve"> </w:t>
      </w:r>
    </w:p>
    <w:p w14:paraId="6F13BF59" w14:textId="77777777" w:rsidR="000E2A48" w:rsidRDefault="000E2A48" w:rsidP="000E2A48"/>
    <w:p w14:paraId="63A0BC61" w14:textId="60750431" w:rsidR="000E2A48" w:rsidRDefault="000E2A48" w:rsidP="000E2A48">
      <w:r w:rsidRPr="00B60CFA">
        <w:rPr>
          <w:lang w:val="en-GB" w:eastAsia="ko-KR"/>
        </w:rPr>
        <w:t xml:space="preserve">ITU-R Working Party </w:t>
      </w:r>
      <w:r>
        <w:rPr>
          <w:lang w:val="en-GB" w:eastAsia="ko-KR"/>
        </w:rPr>
        <w:t>4A (WP-</w:t>
      </w:r>
      <w:r w:rsidRPr="00B60CFA">
        <w:rPr>
          <w:lang w:val="en-GB" w:eastAsia="ko-KR"/>
        </w:rPr>
        <w:t>4A</w:t>
      </w:r>
      <w:r>
        <w:rPr>
          <w:lang w:val="en-GB" w:eastAsia="ko-KR"/>
        </w:rPr>
        <w:t>)</w:t>
      </w:r>
      <w:r w:rsidRPr="00B60CFA">
        <w:rPr>
          <w:lang w:val="en-GB" w:eastAsia="ko-KR"/>
        </w:rPr>
        <w:t xml:space="preserve"> </w:t>
      </w:r>
      <w:r>
        <w:rPr>
          <w:lang w:val="en-GB" w:eastAsia="ko-KR"/>
        </w:rPr>
        <w:t xml:space="preserve">has been </w:t>
      </w:r>
      <w:r w:rsidRPr="00B60CFA">
        <w:rPr>
          <w:lang w:val="en-GB" w:eastAsia="ko-KR"/>
        </w:rPr>
        <w:t xml:space="preserve">assigned </w:t>
      </w:r>
      <w:r>
        <w:rPr>
          <w:lang w:val="en-GB" w:eastAsia="ko-KR"/>
        </w:rPr>
        <w:t>as</w:t>
      </w:r>
      <w:r w:rsidRPr="00B60CFA">
        <w:rPr>
          <w:lang w:val="en-GB" w:eastAsia="ko-KR"/>
        </w:rPr>
        <w:t xml:space="preserve"> the responsible group for this Agenda Item.</w:t>
      </w:r>
      <w:r w:rsidRPr="00B60CFA">
        <w:t xml:space="preserve"> To date, ITU-R WP 4A has had </w:t>
      </w:r>
      <w:r>
        <w:t xml:space="preserve">five </w:t>
      </w:r>
      <w:r w:rsidRPr="00B60CFA">
        <w:t>meetings since WRC-15 to progress the work of WRC-19 Agenda Item 1.</w:t>
      </w:r>
      <w:r w:rsidRPr="00B60CFA">
        <w:rPr>
          <w:lang w:eastAsia="ko-KR"/>
        </w:rPr>
        <w:t>4</w:t>
      </w:r>
      <w:r w:rsidRPr="00B60CFA">
        <w:t xml:space="preserve">. Detailed </w:t>
      </w:r>
      <w:r>
        <w:t xml:space="preserve">of ongoing </w:t>
      </w:r>
      <w:r w:rsidRPr="00B60CFA">
        <w:t>analysis of each study could be fou</w:t>
      </w:r>
      <w:r>
        <w:t>nd in the w</w:t>
      </w:r>
      <w:r w:rsidRPr="00B60CFA">
        <w:t>orking document towards a preliminary draft n</w:t>
      </w:r>
      <w:r>
        <w:t xml:space="preserve">ew Report of ITU-R BO [AP30. Annex 7].  ITU-R </w:t>
      </w:r>
      <w:r>
        <w:rPr>
          <w:lang w:val="en-AU"/>
        </w:rPr>
        <w:t xml:space="preserve">WP-4A summarized the limitations in Annex 7 to Appendix </w:t>
      </w:r>
      <w:r w:rsidRPr="00377FE4">
        <w:rPr>
          <w:b/>
          <w:lang w:val="en-AU"/>
        </w:rPr>
        <w:t>30</w:t>
      </w:r>
      <w:r>
        <w:rPr>
          <w:lang w:val="en-AU"/>
        </w:rPr>
        <w:t xml:space="preserve"> (</w:t>
      </w:r>
      <w:r w:rsidRPr="00377FE4">
        <w:rPr>
          <w:b/>
          <w:lang w:val="en-AU"/>
        </w:rPr>
        <w:t>Rev. WRC-15</w:t>
      </w:r>
      <w:r>
        <w:rPr>
          <w:lang w:val="en-AU"/>
        </w:rPr>
        <w:t xml:space="preserve">) as presented in Table </w:t>
      </w:r>
      <w:r w:rsidRPr="00095148">
        <w:t>3/1.4/1-1</w:t>
      </w:r>
      <w:r>
        <w:t xml:space="preserve"> in the </w:t>
      </w:r>
      <w:r w:rsidRPr="00272F11">
        <w:t>Document 4A/675.</w:t>
      </w:r>
    </w:p>
    <w:p w14:paraId="2867C99B" w14:textId="77777777" w:rsidR="000E2A48" w:rsidRPr="00441526" w:rsidRDefault="000E2A48" w:rsidP="000E2A48">
      <w:pPr>
        <w:ind w:left="348"/>
        <w:jc w:val="both"/>
        <w:rPr>
          <w:i/>
          <w:lang w:val="en-NZ" w:eastAsia="ko-KR"/>
        </w:rPr>
      </w:pPr>
    </w:p>
    <w:p w14:paraId="30ADF628" w14:textId="77777777" w:rsidR="000E2A48" w:rsidRDefault="000E2A48" w:rsidP="000E2A48">
      <w:pPr>
        <w:jc w:val="both"/>
        <w:rPr>
          <w:lang w:val="en-NZ"/>
        </w:rPr>
      </w:pPr>
    </w:p>
    <w:p w14:paraId="6DFE2EC5" w14:textId="77777777" w:rsidR="000E2A48" w:rsidRPr="00441526" w:rsidRDefault="000E2A48" w:rsidP="000E2A4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tbl>
      <w:tblPr>
        <w:tblStyle w:val="TableGrid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302"/>
      </w:tblGrid>
      <w:tr w:rsidR="000E2A48" w14:paraId="6A95AD8D" w14:textId="77777777" w:rsidTr="002951B6">
        <w:tc>
          <w:tcPr>
            <w:tcW w:w="4068" w:type="dxa"/>
          </w:tcPr>
          <w:p w14:paraId="4B551AA6" w14:textId="77777777" w:rsidR="000E2A48" w:rsidRDefault="000E2A48" w:rsidP="002951B6">
            <w:pPr>
              <w:rPr>
                <w:lang w:val="en-NZ"/>
              </w:rPr>
            </w:pPr>
            <w:r>
              <w:rPr>
                <w:lang w:val="en-NZ"/>
              </w:rPr>
              <w:t>Input Documents:</w:t>
            </w:r>
          </w:p>
          <w:p w14:paraId="1AEC3F7A" w14:textId="77777777" w:rsidR="000E2A48" w:rsidRDefault="000E2A48" w:rsidP="000E2A48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 w:rsidRPr="00424FF7">
              <w:rPr>
                <w:lang w:val="en-NZ"/>
              </w:rPr>
              <w:t>APG19-</w:t>
            </w:r>
            <w:r>
              <w:rPr>
                <w:lang w:val="en-NZ"/>
              </w:rPr>
              <w:t>3/</w:t>
            </w:r>
            <w:r w:rsidRPr="00424FF7">
              <w:rPr>
                <w:lang w:val="en-NZ"/>
              </w:rPr>
              <w:t>INP-</w:t>
            </w:r>
            <w:r>
              <w:rPr>
                <w:lang w:val="en-NZ"/>
              </w:rPr>
              <w:t>23Rev.1 (KOR)</w:t>
            </w:r>
          </w:p>
          <w:p w14:paraId="744BF7BF" w14:textId="77777777" w:rsidR="000E2A48" w:rsidRDefault="000E2A48" w:rsidP="000E2A48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lastRenderedPageBreak/>
              <w:t>APG19-3/INP-43 (AUS)</w:t>
            </w:r>
          </w:p>
          <w:p w14:paraId="216C3EB8" w14:textId="77777777" w:rsidR="000E2A48" w:rsidRDefault="000E2A48" w:rsidP="000E2A48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APG19-3/INP-51 (J)</w:t>
            </w:r>
          </w:p>
          <w:p w14:paraId="50AED4B6" w14:textId="77777777" w:rsidR="000E2A48" w:rsidRPr="00A60BB7" w:rsidRDefault="000E2A48" w:rsidP="000E2A48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APG19-3/INP-88 (CHN)</w:t>
            </w:r>
          </w:p>
        </w:tc>
        <w:tc>
          <w:tcPr>
            <w:tcW w:w="4302" w:type="dxa"/>
          </w:tcPr>
          <w:p w14:paraId="5E2328FA" w14:textId="77777777" w:rsidR="000E2A48" w:rsidRDefault="000E2A48" w:rsidP="002951B6">
            <w:pPr>
              <w:rPr>
                <w:lang w:val="en-NZ"/>
              </w:rPr>
            </w:pPr>
          </w:p>
          <w:p w14:paraId="05E7D704" w14:textId="77777777" w:rsidR="000E2A48" w:rsidRDefault="000E2A48" w:rsidP="002951B6">
            <w:pPr>
              <w:rPr>
                <w:lang w:val="en-NZ"/>
              </w:rPr>
            </w:pPr>
            <w:r>
              <w:rPr>
                <w:lang w:val="en-NZ"/>
              </w:rPr>
              <w:t>Republic of Korea</w:t>
            </w:r>
          </w:p>
          <w:p w14:paraId="2A305FEA" w14:textId="77777777" w:rsidR="000E2A48" w:rsidRDefault="000E2A48" w:rsidP="002951B6">
            <w:pPr>
              <w:rPr>
                <w:lang w:val="en-NZ"/>
              </w:rPr>
            </w:pPr>
            <w:r>
              <w:rPr>
                <w:lang w:val="en-NZ"/>
              </w:rPr>
              <w:lastRenderedPageBreak/>
              <w:t>Australia</w:t>
            </w:r>
          </w:p>
          <w:p w14:paraId="1CDC54F9" w14:textId="77777777" w:rsidR="000E2A48" w:rsidRDefault="000E2A48" w:rsidP="002951B6">
            <w:pPr>
              <w:rPr>
                <w:lang w:val="en-NZ"/>
              </w:rPr>
            </w:pPr>
            <w:r>
              <w:rPr>
                <w:lang w:val="en-NZ"/>
              </w:rPr>
              <w:t>Japan</w:t>
            </w:r>
          </w:p>
          <w:p w14:paraId="4BB49A71" w14:textId="77777777" w:rsidR="000E2A48" w:rsidRPr="005952EF" w:rsidRDefault="000E2A48" w:rsidP="002951B6">
            <w:pPr>
              <w:rPr>
                <w:lang w:val="en-NZ"/>
              </w:rPr>
            </w:pPr>
            <w:r>
              <w:rPr>
                <w:lang w:val="en-NZ"/>
              </w:rPr>
              <w:t>China (Republic of )</w:t>
            </w:r>
          </w:p>
        </w:tc>
      </w:tr>
      <w:tr w:rsidR="000E2A48" w14:paraId="7091E5F3" w14:textId="77777777" w:rsidTr="002951B6">
        <w:tc>
          <w:tcPr>
            <w:tcW w:w="4068" w:type="dxa"/>
          </w:tcPr>
          <w:p w14:paraId="0B2FE586" w14:textId="77777777" w:rsidR="000E2A48" w:rsidRDefault="000E2A48" w:rsidP="002951B6">
            <w:pPr>
              <w:rPr>
                <w:lang w:val="en-NZ"/>
              </w:rPr>
            </w:pPr>
            <w:r w:rsidRPr="00D764B3">
              <w:rPr>
                <w:lang w:val="en-NZ"/>
              </w:rPr>
              <w:lastRenderedPageBreak/>
              <w:t>Information Documents</w:t>
            </w:r>
            <w:r>
              <w:rPr>
                <w:lang w:val="en-NZ"/>
              </w:rPr>
              <w:t>:</w:t>
            </w:r>
          </w:p>
          <w:p w14:paraId="4784FD5A" w14:textId="77777777" w:rsidR="000E2A48" w:rsidRDefault="000E2A48" w:rsidP="000E2A4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 w:rsidRPr="00424FF7">
              <w:rPr>
                <w:lang w:val="en-NZ"/>
              </w:rPr>
              <w:t>APG19-</w:t>
            </w:r>
            <w:r>
              <w:rPr>
                <w:lang w:val="en-NZ"/>
              </w:rPr>
              <w:t>3/</w:t>
            </w:r>
            <w:r w:rsidRPr="00424FF7">
              <w:rPr>
                <w:lang w:val="en-NZ"/>
              </w:rPr>
              <w:t>IN</w:t>
            </w:r>
            <w:r>
              <w:rPr>
                <w:lang w:val="en-NZ"/>
              </w:rPr>
              <w:t>F</w:t>
            </w:r>
            <w:r w:rsidRPr="00424FF7">
              <w:rPr>
                <w:lang w:val="en-NZ"/>
              </w:rPr>
              <w:t>-</w:t>
            </w:r>
            <w:r>
              <w:rPr>
                <w:lang w:val="en-NZ"/>
              </w:rPr>
              <w:t>6</w:t>
            </w:r>
          </w:p>
          <w:p w14:paraId="53F83DF6" w14:textId="77777777" w:rsidR="000E2A48" w:rsidRDefault="000E2A48" w:rsidP="000E2A4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 w:rsidRPr="00424FF7">
              <w:rPr>
                <w:lang w:val="en-NZ"/>
              </w:rPr>
              <w:t>APG19-</w:t>
            </w:r>
            <w:r>
              <w:rPr>
                <w:lang w:val="en-NZ"/>
              </w:rPr>
              <w:t>3/</w:t>
            </w:r>
            <w:r w:rsidRPr="00424FF7">
              <w:rPr>
                <w:lang w:val="en-NZ"/>
              </w:rPr>
              <w:t>IN</w:t>
            </w:r>
            <w:r>
              <w:rPr>
                <w:lang w:val="en-NZ"/>
              </w:rPr>
              <w:t>F</w:t>
            </w:r>
            <w:r w:rsidRPr="00424FF7">
              <w:rPr>
                <w:lang w:val="en-NZ"/>
              </w:rPr>
              <w:t>-</w:t>
            </w:r>
            <w:r>
              <w:rPr>
                <w:lang w:val="en-NZ"/>
              </w:rPr>
              <w:t xml:space="preserve">08Rev </w:t>
            </w:r>
          </w:p>
          <w:p w14:paraId="756DDF27" w14:textId="77777777" w:rsidR="000E2A48" w:rsidRPr="005952EF" w:rsidRDefault="000E2A48" w:rsidP="002951B6">
            <w:pPr>
              <w:rPr>
                <w:noProof/>
                <w:lang w:val="en-NZ" w:eastAsia="ko-KR"/>
              </w:rPr>
            </w:pPr>
          </w:p>
        </w:tc>
        <w:tc>
          <w:tcPr>
            <w:tcW w:w="4302" w:type="dxa"/>
          </w:tcPr>
          <w:p w14:paraId="1316E4BD" w14:textId="77777777" w:rsidR="000E2A48" w:rsidRDefault="000E2A48" w:rsidP="002951B6">
            <w:pPr>
              <w:rPr>
                <w:lang w:val="en-NZ"/>
              </w:rPr>
            </w:pPr>
          </w:p>
          <w:p w14:paraId="7051ED04" w14:textId="77777777" w:rsidR="000E2A48" w:rsidRDefault="000E2A48" w:rsidP="002951B6">
            <w:pPr>
              <w:rPr>
                <w:lang w:val="en-NZ"/>
              </w:rPr>
            </w:pPr>
            <w:r>
              <w:rPr>
                <w:lang w:val="en-NZ"/>
              </w:rPr>
              <w:t xml:space="preserve">CEPT </w:t>
            </w:r>
          </w:p>
          <w:p w14:paraId="11FEA1CD" w14:textId="77777777" w:rsidR="000E2A48" w:rsidRPr="00424FF7" w:rsidRDefault="000E2A48" w:rsidP="002951B6">
            <w:pPr>
              <w:rPr>
                <w:lang w:val="en-NZ"/>
              </w:rPr>
            </w:pPr>
            <w:r>
              <w:rPr>
                <w:lang w:val="en-NZ"/>
              </w:rPr>
              <w:t>CITEL</w:t>
            </w:r>
          </w:p>
        </w:tc>
      </w:tr>
    </w:tbl>
    <w:p w14:paraId="282F8920" w14:textId="77777777" w:rsidR="000E2A48" w:rsidRDefault="000E2A48" w:rsidP="000E2A48">
      <w:pPr>
        <w:rPr>
          <w:b/>
          <w:lang w:val="en-NZ" w:eastAsia="ko-KR"/>
        </w:rPr>
      </w:pPr>
    </w:p>
    <w:p w14:paraId="42AC4F31" w14:textId="77777777" w:rsidR="000E2A48" w:rsidRDefault="000E2A48" w:rsidP="000E2A48">
      <w:pPr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14:paraId="6766D7FA" w14:textId="77777777" w:rsidR="000E2A48" w:rsidRPr="00441526" w:rsidRDefault="000E2A48" w:rsidP="000E2A48">
      <w:pPr>
        <w:rPr>
          <w:b/>
          <w:lang w:val="en-NZ" w:eastAsia="ko-KR"/>
        </w:rPr>
      </w:pPr>
    </w:p>
    <w:p w14:paraId="6F786F1A" w14:textId="77777777" w:rsidR="000E2A48" w:rsidRPr="00441526" w:rsidRDefault="000E2A48" w:rsidP="000E2A4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14:paraId="7A4B3E1D" w14:textId="77777777" w:rsidR="000E2A48" w:rsidRDefault="000E2A48" w:rsidP="000E2A48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t xml:space="preserve">3.1.1 Australia </w:t>
      </w:r>
      <w:r w:rsidRPr="00441526">
        <w:t xml:space="preserve">- </w:t>
      </w:r>
      <w:r w:rsidRPr="00441526">
        <w:rPr>
          <w:b/>
          <w:lang w:val="en-NZ" w:eastAsia="ko-KR"/>
        </w:rPr>
        <w:t>Document APG19-3/INP-</w:t>
      </w:r>
      <w:r>
        <w:rPr>
          <w:b/>
          <w:lang w:val="en-NZ" w:eastAsia="ko-KR"/>
        </w:rPr>
        <w:t>43</w:t>
      </w:r>
    </w:p>
    <w:p w14:paraId="339AE089" w14:textId="77777777" w:rsidR="000E2A48" w:rsidRPr="00D21266" w:rsidRDefault="000E2A48" w:rsidP="000E2A48">
      <w:pPr>
        <w:ind w:left="720"/>
        <w:jc w:val="both"/>
        <w:rPr>
          <w:b/>
          <w:sz w:val="16"/>
          <w:szCs w:val="16"/>
          <w:lang w:val="en-NZ" w:eastAsia="ko-KR"/>
        </w:rPr>
      </w:pPr>
    </w:p>
    <w:p w14:paraId="57A4C74D" w14:textId="77777777" w:rsidR="000E2A48" w:rsidRPr="00121FBB" w:rsidRDefault="000E2A48" w:rsidP="000E2A48">
      <w:r w:rsidRPr="008C4BC4">
        <w:rPr>
          <w:rFonts w:eastAsia="Times New Roman"/>
          <w:lang w:bidi="en-US"/>
        </w:rPr>
        <w:t xml:space="preserve">Australia is receptive to possible revision of the limitations of Annex 7 of Radio Regulations Appendix </w:t>
      </w:r>
      <w:r w:rsidRPr="008C4BC4">
        <w:rPr>
          <w:rFonts w:eastAsia="Times New Roman"/>
          <w:b/>
          <w:lang w:bidi="en-US"/>
        </w:rPr>
        <w:t>30</w:t>
      </w:r>
      <w:r w:rsidRPr="008C4BC4">
        <w:rPr>
          <w:rFonts w:eastAsia="Times New Roman"/>
          <w:lang w:bidi="en-US"/>
        </w:rPr>
        <w:t xml:space="preserve">, provided such revisions are supported by rigorous study </w:t>
      </w:r>
      <w:r w:rsidRPr="00A112CB">
        <w:rPr>
          <w:rFonts w:eastAsia="Times New Roman"/>
          <w:lang w:bidi="en-US"/>
        </w:rPr>
        <w:t>and do not impact</w:t>
      </w:r>
      <w:r w:rsidRPr="008C4BC4">
        <w:rPr>
          <w:rFonts w:eastAsia="Times New Roman"/>
          <w:lang w:bidi="en-US"/>
        </w:rPr>
        <w:t xml:space="preserve"> on Australia’s current and future FSS/BSS usage in the 11.7-12.75 GHz frequency band.</w:t>
      </w:r>
    </w:p>
    <w:p w14:paraId="677EC583" w14:textId="77777777" w:rsidR="000E2A48" w:rsidRDefault="000E2A48" w:rsidP="000E2A48"/>
    <w:p w14:paraId="056C2C0D" w14:textId="48921467" w:rsidR="000E2A48" w:rsidRPr="00902046" w:rsidRDefault="000E2A48" w:rsidP="000E2A48">
      <w:pPr>
        <w:rPr>
          <w:b/>
          <w:iCs/>
          <w:lang w:eastAsia="ko-KR"/>
        </w:rPr>
      </w:pPr>
      <w:r>
        <w:rPr>
          <w:b/>
          <w:iCs/>
          <w:lang w:eastAsia="ko-KR"/>
        </w:rPr>
        <w:t xml:space="preserve">3.1.2 China (People’s Republic of) </w:t>
      </w:r>
      <w:r w:rsidRPr="00441526">
        <w:t xml:space="preserve">- </w:t>
      </w:r>
      <w:r w:rsidRPr="00441526">
        <w:rPr>
          <w:b/>
          <w:lang w:val="en-NZ" w:eastAsia="ko-KR"/>
        </w:rPr>
        <w:t>Document APG19-3/INP-</w:t>
      </w:r>
      <w:r>
        <w:rPr>
          <w:b/>
          <w:lang w:val="en-NZ" w:eastAsia="ko-KR"/>
        </w:rPr>
        <w:t>88</w:t>
      </w:r>
    </w:p>
    <w:p w14:paraId="21E2B30F" w14:textId="77777777" w:rsidR="000E2A48" w:rsidRDefault="000E2A48" w:rsidP="000E2A48">
      <w:pPr>
        <w:rPr>
          <w:iCs/>
          <w:lang w:eastAsia="ko-KR"/>
        </w:rPr>
      </w:pPr>
    </w:p>
    <w:p w14:paraId="10FC131B" w14:textId="77777777" w:rsidR="000E2A48" w:rsidRPr="00121FBB" w:rsidRDefault="000E2A48" w:rsidP="000E2A48">
      <w:pPr>
        <w:rPr>
          <w:iCs/>
          <w:lang w:eastAsia="ko-KR"/>
        </w:rPr>
      </w:pPr>
      <w:r w:rsidRPr="006C37F4">
        <w:rPr>
          <w:rFonts w:eastAsia="SimSun"/>
          <w:lang w:eastAsia="zh-CN"/>
        </w:rPr>
        <w:t>China</w:t>
      </w:r>
      <w:r w:rsidRPr="006C37F4">
        <w:t xml:space="preserve"> is </w:t>
      </w:r>
      <w:r w:rsidRPr="006C37F4">
        <w:rPr>
          <w:rFonts w:eastAsia="SimSun" w:hint="eastAsia"/>
          <w:lang w:eastAsia="zh-CN"/>
        </w:rPr>
        <w:t xml:space="preserve">of the view that any revisions </w:t>
      </w:r>
      <w:r w:rsidRPr="006C37F4">
        <w:t>of the limitations of Annex 7 of Radio Regulations Appendix 30</w:t>
      </w:r>
      <w:r w:rsidRPr="006C37F4">
        <w:rPr>
          <w:lang w:val="en-AU"/>
        </w:rPr>
        <w:t xml:space="preserve"> (Rev.WRC-15)</w:t>
      </w:r>
      <w:r w:rsidRPr="006C37F4">
        <w:rPr>
          <w:rFonts w:eastAsia="SimSun" w:hint="eastAsia"/>
          <w:lang w:eastAsia="zh-CN"/>
        </w:rPr>
        <w:t xml:space="preserve"> should base on</w:t>
      </w:r>
      <w:r w:rsidRPr="006C37F4">
        <w:t xml:space="preserve"> rigorous study</w:t>
      </w:r>
      <w:r w:rsidRPr="006C37F4">
        <w:rPr>
          <w:rFonts w:eastAsia="SimSun" w:hint="eastAsia"/>
          <w:lang w:eastAsia="zh-CN"/>
        </w:rPr>
        <w:t>,</w:t>
      </w:r>
      <w:r w:rsidRPr="006C37F4">
        <w:t xml:space="preserve"> and </w:t>
      </w:r>
      <w:r w:rsidRPr="006C37F4">
        <w:rPr>
          <w:rFonts w:eastAsia="SimSun" w:hint="eastAsia"/>
          <w:lang w:eastAsia="zh-CN"/>
        </w:rPr>
        <w:t xml:space="preserve">the protection of current and </w:t>
      </w:r>
      <w:r w:rsidRPr="006C37F4">
        <w:t xml:space="preserve">future </w:t>
      </w:r>
      <w:r w:rsidRPr="006C37F4">
        <w:rPr>
          <w:rFonts w:eastAsia="SimSun"/>
          <w:lang w:eastAsia="zh-CN"/>
        </w:rPr>
        <w:t>B</w:t>
      </w:r>
      <w:r w:rsidRPr="006C37F4">
        <w:t>SS/</w:t>
      </w:r>
      <w:r w:rsidRPr="006C37F4">
        <w:rPr>
          <w:rFonts w:eastAsia="SimSun"/>
          <w:lang w:eastAsia="zh-CN"/>
        </w:rPr>
        <w:t>F</w:t>
      </w:r>
      <w:r w:rsidRPr="006C37F4">
        <w:t xml:space="preserve">SS </w:t>
      </w:r>
      <w:r w:rsidRPr="006C37F4">
        <w:rPr>
          <w:rFonts w:eastAsia="SimSun"/>
          <w:lang w:eastAsia="zh-CN"/>
        </w:rPr>
        <w:t>assignments or satellite networks</w:t>
      </w:r>
      <w:r w:rsidRPr="006C37F4">
        <w:t xml:space="preserve"> in the</w:t>
      </w:r>
      <w:r w:rsidRPr="006C37F4">
        <w:rPr>
          <w:rFonts w:eastAsia="SimSun"/>
          <w:lang w:eastAsia="zh-CN"/>
        </w:rPr>
        <w:t xml:space="preserve"> </w:t>
      </w:r>
      <w:r w:rsidRPr="006C37F4">
        <w:t xml:space="preserve">11.7-12.75 GHz frequency band </w:t>
      </w:r>
      <w:r w:rsidRPr="006C37F4">
        <w:rPr>
          <w:rFonts w:eastAsia="SimSun"/>
          <w:lang w:eastAsia="zh-CN"/>
        </w:rPr>
        <w:t>involved</w:t>
      </w:r>
      <w:r w:rsidRPr="006C37F4">
        <w:rPr>
          <w:rFonts w:eastAsia="SimSun" w:hint="eastAsia"/>
          <w:lang w:eastAsia="zh-CN"/>
        </w:rPr>
        <w:t xml:space="preserve"> should be ensured</w:t>
      </w:r>
      <w:r>
        <w:rPr>
          <w:iCs/>
          <w:lang w:eastAsia="ko-KR"/>
        </w:rPr>
        <w:t>.</w:t>
      </w:r>
    </w:p>
    <w:p w14:paraId="31759F51" w14:textId="77777777" w:rsidR="000E2A48" w:rsidRDefault="000E2A48" w:rsidP="000E2A48">
      <w:pPr>
        <w:rPr>
          <w:iCs/>
          <w:lang w:eastAsia="ko-KR"/>
        </w:rPr>
      </w:pPr>
    </w:p>
    <w:p w14:paraId="086DBC39" w14:textId="77777777" w:rsidR="000E2A48" w:rsidRPr="00902046" w:rsidRDefault="000E2A48" w:rsidP="000E2A48">
      <w:pPr>
        <w:rPr>
          <w:b/>
          <w:iCs/>
          <w:lang w:eastAsia="ko-KR"/>
        </w:rPr>
      </w:pPr>
      <w:r w:rsidRPr="00902046">
        <w:rPr>
          <w:b/>
          <w:iCs/>
          <w:lang w:eastAsia="ko-KR"/>
        </w:rPr>
        <w:t>3.1.3 Japan</w:t>
      </w:r>
      <w:r>
        <w:rPr>
          <w:b/>
          <w:iCs/>
          <w:lang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APG19-3/INP-</w:t>
      </w:r>
      <w:r>
        <w:rPr>
          <w:b/>
          <w:lang w:val="en-NZ" w:eastAsia="ko-KR"/>
        </w:rPr>
        <w:t>51</w:t>
      </w:r>
      <w:r w:rsidRPr="00902046">
        <w:rPr>
          <w:b/>
          <w:iCs/>
          <w:lang w:eastAsia="ko-KR"/>
        </w:rPr>
        <w:t xml:space="preserve"> </w:t>
      </w:r>
    </w:p>
    <w:p w14:paraId="74DA895B" w14:textId="77777777" w:rsidR="000E2A48" w:rsidRDefault="000E2A48" w:rsidP="000E2A48">
      <w:pPr>
        <w:rPr>
          <w:iCs/>
          <w:lang w:eastAsia="ko-KR"/>
        </w:rPr>
      </w:pPr>
    </w:p>
    <w:p w14:paraId="7ED4602A" w14:textId="77777777" w:rsidR="000E2A48" w:rsidRDefault="000E2A48" w:rsidP="000E2A48">
      <w:pPr>
        <w:rPr>
          <w:iCs/>
          <w:lang w:eastAsia="ko-KR"/>
        </w:rPr>
      </w:pPr>
      <w:r w:rsidRPr="006C37F4">
        <w:rPr>
          <w:lang w:eastAsia="ko-KR"/>
        </w:rPr>
        <w:t xml:space="preserve">Japan </w:t>
      </w:r>
      <w:r w:rsidRPr="006C37F4">
        <w:t>supports ITU-R studies and</w:t>
      </w:r>
      <w:r w:rsidRPr="006C37F4">
        <w:rPr>
          <w:rFonts w:eastAsia="MS Mincho"/>
          <w:lang w:eastAsia="ja-JP"/>
        </w:rPr>
        <w:t xml:space="preserve"> are of the view </w:t>
      </w:r>
      <w:r w:rsidRPr="006C37F4">
        <w:t xml:space="preserve">that any possible revision of the limitations of </w:t>
      </w:r>
      <w:r w:rsidRPr="006C37F4">
        <w:rPr>
          <w:iCs/>
        </w:rPr>
        <w:t xml:space="preserve">Annex 7 to </w:t>
      </w:r>
      <w:r w:rsidRPr="006C37F4">
        <w:t xml:space="preserve">Radio Regulations Appendix </w:t>
      </w:r>
      <w:r w:rsidRPr="006C37F4">
        <w:rPr>
          <w:b/>
        </w:rPr>
        <w:t>30</w:t>
      </w:r>
      <w:r w:rsidRPr="006C37F4">
        <w:rPr>
          <w:b/>
          <w:iCs/>
        </w:rPr>
        <w:t xml:space="preserve"> (Rev.WRC-15) </w:t>
      </w:r>
      <w:r w:rsidRPr="006C37F4">
        <w:rPr>
          <w:iCs/>
        </w:rPr>
        <w:t xml:space="preserve">under Resolution </w:t>
      </w:r>
      <w:r w:rsidRPr="006C37F4">
        <w:rPr>
          <w:b/>
          <w:bCs/>
          <w:iCs/>
        </w:rPr>
        <w:t>557 (WRC-15)</w:t>
      </w:r>
      <w:r w:rsidRPr="006C37F4">
        <w:rPr>
          <w:iCs/>
        </w:rPr>
        <w:t xml:space="preserve"> </w:t>
      </w:r>
      <w:r w:rsidRPr="006C37F4">
        <w:rPr>
          <w:iCs/>
          <w:lang w:eastAsia="ko-KR"/>
        </w:rPr>
        <w:t xml:space="preserve">should not impose any constraints on all assignments </w:t>
      </w:r>
      <w:r w:rsidRPr="006C37F4">
        <w:rPr>
          <w:iCs/>
        </w:rPr>
        <w:t xml:space="preserve">of Appendix </w:t>
      </w:r>
      <w:r w:rsidRPr="006C37F4">
        <w:rPr>
          <w:b/>
          <w:bCs/>
          <w:iCs/>
        </w:rPr>
        <w:t>30</w:t>
      </w:r>
      <w:r w:rsidRPr="006C37F4">
        <w:rPr>
          <w:iCs/>
        </w:rPr>
        <w:t xml:space="preserve"> for Region 3 and ensure protection of existing and planned fixed-satellite service networks</w:t>
      </w:r>
      <w:r w:rsidRPr="006C37F4">
        <w:rPr>
          <w:rFonts w:hint="eastAsia"/>
          <w:iCs/>
          <w:lang w:eastAsia="ko-KR"/>
        </w:rPr>
        <w:t>.</w:t>
      </w:r>
    </w:p>
    <w:p w14:paraId="347A320E" w14:textId="77777777" w:rsidR="000E2A48" w:rsidRPr="00F048B3" w:rsidRDefault="000E2A48" w:rsidP="000E2A48"/>
    <w:p w14:paraId="4EDF143C" w14:textId="77777777" w:rsidR="000E2A48" w:rsidRDefault="000E2A48" w:rsidP="000E2A48">
      <w:pPr>
        <w:rPr>
          <w:b/>
          <w:lang w:val="en-NZ" w:eastAsia="ko-KR"/>
        </w:rPr>
      </w:pPr>
      <w:r>
        <w:rPr>
          <w:b/>
          <w:lang w:val="en-NZ" w:eastAsia="ko-KR"/>
        </w:rPr>
        <w:t xml:space="preserve">3.1.4 Republic of Korea </w:t>
      </w:r>
      <w:r w:rsidRPr="00441526">
        <w:t xml:space="preserve">- </w:t>
      </w:r>
      <w:r w:rsidRPr="00441526">
        <w:rPr>
          <w:b/>
          <w:lang w:val="en-NZ" w:eastAsia="ko-KR"/>
        </w:rPr>
        <w:t>Document APG19-3/INP-</w:t>
      </w:r>
      <w:r>
        <w:rPr>
          <w:b/>
          <w:lang w:val="en-NZ" w:eastAsia="ko-KR"/>
        </w:rPr>
        <w:t>23(Rev 1)</w:t>
      </w:r>
    </w:p>
    <w:p w14:paraId="5F1810C5" w14:textId="77777777" w:rsidR="000E2A48" w:rsidRPr="00D21266" w:rsidRDefault="000E2A48" w:rsidP="000E2A48">
      <w:pPr>
        <w:rPr>
          <w:b/>
          <w:sz w:val="16"/>
          <w:szCs w:val="16"/>
          <w:lang w:val="en-NZ" w:eastAsia="ko-KR"/>
        </w:rPr>
      </w:pPr>
    </w:p>
    <w:p w14:paraId="394840A4" w14:textId="77777777" w:rsidR="000E2A48" w:rsidRDefault="000E2A48" w:rsidP="000E2A48">
      <w:pPr>
        <w:rPr>
          <w:iCs/>
          <w:lang w:eastAsia="ko-KR"/>
        </w:rPr>
      </w:pPr>
      <w:r w:rsidRPr="006C37F4">
        <w:rPr>
          <w:lang w:eastAsia="ko-KR"/>
        </w:rPr>
        <w:t>T</w:t>
      </w:r>
      <w:r w:rsidRPr="006C37F4">
        <w:t>he Republic of Korea has a view to support ITU-R studies and</w:t>
      </w:r>
      <w:r w:rsidRPr="006C37F4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is</w:t>
      </w:r>
      <w:r w:rsidRPr="006C37F4">
        <w:rPr>
          <w:rFonts w:eastAsia="MS Mincho"/>
          <w:lang w:eastAsia="ja-JP"/>
        </w:rPr>
        <w:t xml:space="preserve"> of the view </w:t>
      </w:r>
      <w:r w:rsidRPr="006C37F4">
        <w:t xml:space="preserve">that any possible revision of the limitations of </w:t>
      </w:r>
      <w:r w:rsidRPr="006C37F4">
        <w:rPr>
          <w:iCs/>
        </w:rPr>
        <w:t xml:space="preserve">Annex 7 to </w:t>
      </w:r>
      <w:r w:rsidRPr="006C37F4">
        <w:t xml:space="preserve">Radio Regulations Appendix </w:t>
      </w:r>
      <w:r w:rsidRPr="006C37F4">
        <w:rPr>
          <w:b/>
        </w:rPr>
        <w:t>30</w:t>
      </w:r>
      <w:r w:rsidRPr="006C37F4">
        <w:rPr>
          <w:b/>
          <w:iCs/>
        </w:rPr>
        <w:t xml:space="preserve"> (Rev.WRC-15) </w:t>
      </w:r>
      <w:r w:rsidRPr="006C37F4">
        <w:rPr>
          <w:iCs/>
        </w:rPr>
        <w:t xml:space="preserve">under Resolution </w:t>
      </w:r>
      <w:r w:rsidRPr="006C37F4">
        <w:rPr>
          <w:b/>
          <w:bCs/>
          <w:iCs/>
        </w:rPr>
        <w:t>557 (WRC-15)</w:t>
      </w:r>
      <w:r w:rsidRPr="006C37F4">
        <w:rPr>
          <w:iCs/>
        </w:rPr>
        <w:t xml:space="preserve"> </w:t>
      </w:r>
      <w:r w:rsidRPr="006C37F4">
        <w:rPr>
          <w:iCs/>
          <w:lang w:eastAsia="ko-KR"/>
        </w:rPr>
        <w:t xml:space="preserve">should not impose any constraints on all assignments </w:t>
      </w:r>
      <w:r w:rsidRPr="006C37F4">
        <w:rPr>
          <w:iCs/>
        </w:rPr>
        <w:t xml:space="preserve">for Appendix </w:t>
      </w:r>
      <w:r w:rsidRPr="006C37F4">
        <w:rPr>
          <w:b/>
          <w:bCs/>
          <w:iCs/>
        </w:rPr>
        <w:t>30</w:t>
      </w:r>
      <w:r w:rsidRPr="006C37F4">
        <w:rPr>
          <w:iCs/>
        </w:rPr>
        <w:t xml:space="preserve"> for Region 3</w:t>
      </w:r>
      <w:r>
        <w:rPr>
          <w:iCs/>
          <w:lang w:eastAsia="ko-KR"/>
        </w:rPr>
        <w:t>.</w:t>
      </w:r>
    </w:p>
    <w:p w14:paraId="23E49CB6" w14:textId="77777777" w:rsidR="000E2A48" w:rsidRDefault="000E2A48" w:rsidP="000E2A48">
      <w:pPr>
        <w:rPr>
          <w:iCs/>
          <w:lang w:eastAsia="ko-KR"/>
        </w:rPr>
      </w:pPr>
    </w:p>
    <w:p w14:paraId="145CB063" w14:textId="77777777" w:rsidR="000E2A48" w:rsidRPr="00441526" w:rsidRDefault="000E2A48" w:rsidP="000E2A48">
      <w:pPr>
        <w:rPr>
          <w:lang w:val="en-NZ"/>
        </w:rPr>
      </w:pPr>
    </w:p>
    <w:p w14:paraId="42E77745" w14:textId="77777777" w:rsidR="000E2A48" w:rsidRPr="00441526" w:rsidRDefault="000E2A48" w:rsidP="000E2A48">
      <w:pPr>
        <w:spacing w:after="120"/>
        <w:rPr>
          <w:b/>
          <w:lang w:val="en-NZ"/>
        </w:rPr>
      </w:pPr>
      <w:r w:rsidRPr="00441526">
        <w:rPr>
          <w:b/>
          <w:lang w:val="en-NZ"/>
        </w:rPr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>ring the meeting</w:t>
      </w:r>
    </w:p>
    <w:p w14:paraId="44D75979" w14:textId="77777777" w:rsidR="000E2A48" w:rsidRPr="00A12BCE" w:rsidRDefault="000E2A48" w:rsidP="000E2A48">
      <w:pPr>
        <w:rPr>
          <w:sz w:val="16"/>
          <w:szCs w:val="16"/>
          <w:lang w:val="en-NZ"/>
        </w:rPr>
      </w:pPr>
    </w:p>
    <w:p w14:paraId="149054C5" w14:textId="67E5206C" w:rsidR="000E2A48" w:rsidRPr="00FE35A0" w:rsidRDefault="000E2A48" w:rsidP="000E2A48">
      <w:pPr>
        <w:pStyle w:val="ListParagraph"/>
        <w:numPr>
          <w:ilvl w:val="0"/>
          <w:numId w:val="36"/>
        </w:numPr>
        <w:ind w:left="360"/>
        <w:rPr>
          <w:iCs/>
          <w:lang w:eastAsia="ko-KR"/>
        </w:rPr>
      </w:pPr>
      <w:r>
        <w:rPr>
          <w:iCs/>
          <w:lang w:eastAsia="ko-KR"/>
        </w:rPr>
        <w:t xml:space="preserve">The originally proposed APT Preliminary View text </w:t>
      </w:r>
      <w:r w:rsidRPr="00A12BCE">
        <w:rPr>
          <w:iCs/>
          <w:lang w:eastAsia="ko-KR"/>
        </w:rPr>
        <w:t>“</w:t>
      </w:r>
      <w:r>
        <w:rPr>
          <w:iCs/>
          <w:lang w:eastAsia="ko-KR"/>
        </w:rPr>
        <w:t>s</w:t>
      </w:r>
      <w:r w:rsidRPr="00A12BCE">
        <w:rPr>
          <w:iCs/>
          <w:lang w:eastAsia="ko-KR"/>
        </w:rPr>
        <w:t>hould not impose any constraints on all assignments</w:t>
      </w:r>
      <w:r w:rsidRPr="00FE35A0">
        <w:rPr>
          <w:iCs/>
          <w:lang w:eastAsia="ko-KR"/>
        </w:rPr>
        <w:t xml:space="preserve">” </w:t>
      </w:r>
      <w:r>
        <w:rPr>
          <w:iCs/>
          <w:lang w:eastAsia="ko-KR"/>
        </w:rPr>
        <w:t>was</w:t>
      </w:r>
      <w:r w:rsidRPr="00FE35A0">
        <w:rPr>
          <w:iCs/>
          <w:lang w:eastAsia="ko-KR"/>
        </w:rPr>
        <w:t xml:space="preserve"> considered too strong</w:t>
      </w:r>
      <w:r>
        <w:rPr>
          <w:iCs/>
          <w:lang w:eastAsia="ko-KR"/>
        </w:rPr>
        <w:t>.  T</w:t>
      </w:r>
      <w:r w:rsidRPr="00FE35A0">
        <w:rPr>
          <w:iCs/>
          <w:lang w:eastAsia="ko-KR"/>
        </w:rPr>
        <w:t>herefore</w:t>
      </w:r>
      <w:r>
        <w:rPr>
          <w:iCs/>
          <w:lang w:eastAsia="ko-KR"/>
        </w:rPr>
        <w:t>,</w:t>
      </w:r>
      <w:r w:rsidRPr="00FE35A0">
        <w:rPr>
          <w:iCs/>
          <w:lang w:eastAsia="ko-KR"/>
        </w:rPr>
        <w:t xml:space="preserve"> a</w:t>
      </w:r>
      <w:r>
        <w:rPr>
          <w:iCs/>
          <w:lang w:eastAsia="ko-KR"/>
        </w:rPr>
        <w:t xml:space="preserve">nother text </w:t>
      </w:r>
      <w:r w:rsidRPr="00FE35A0">
        <w:rPr>
          <w:iCs/>
          <w:lang w:eastAsia="ko-KR"/>
        </w:rPr>
        <w:t xml:space="preserve">was </w:t>
      </w:r>
      <w:r>
        <w:rPr>
          <w:iCs/>
          <w:lang w:eastAsia="ko-KR"/>
        </w:rPr>
        <w:t xml:space="preserve">proposed </w:t>
      </w:r>
      <w:r w:rsidRPr="00FE35A0">
        <w:rPr>
          <w:iCs/>
          <w:lang w:eastAsia="ko-KR"/>
        </w:rPr>
        <w:t xml:space="preserve">to </w:t>
      </w:r>
      <w:r>
        <w:rPr>
          <w:iCs/>
          <w:lang w:eastAsia="ko-KR"/>
        </w:rPr>
        <w:t xml:space="preserve">replace such text with </w:t>
      </w:r>
      <w:r w:rsidRPr="00FE35A0">
        <w:rPr>
          <w:iCs/>
          <w:lang w:eastAsia="ko-KR"/>
        </w:rPr>
        <w:t>“</w:t>
      </w:r>
      <w:r>
        <w:rPr>
          <w:iCs/>
          <w:lang w:eastAsia="ko-KR"/>
        </w:rPr>
        <w:t xml:space="preserve">should not impose </w:t>
      </w:r>
      <w:r w:rsidRPr="00FE35A0">
        <w:rPr>
          <w:iCs/>
          <w:lang w:eastAsia="ko-KR"/>
        </w:rPr>
        <w:t>[undue] constraints”</w:t>
      </w:r>
      <w:r>
        <w:rPr>
          <w:iCs/>
          <w:lang w:eastAsia="ko-KR"/>
        </w:rPr>
        <w:t xml:space="preserve">, </w:t>
      </w:r>
      <w:r w:rsidRPr="00FE35A0">
        <w:rPr>
          <w:iCs/>
          <w:lang w:eastAsia="ko-KR"/>
        </w:rPr>
        <w:t xml:space="preserve">which </w:t>
      </w:r>
      <w:r>
        <w:rPr>
          <w:iCs/>
          <w:lang w:eastAsia="ko-KR"/>
        </w:rPr>
        <w:t>has been agreed by all members.  The word “undue” in the square bracket is to</w:t>
      </w:r>
      <w:r w:rsidRPr="00FE35A0">
        <w:rPr>
          <w:iCs/>
          <w:lang w:eastAsia="ko-KR"/>
        </w:rPr>
        <w:t xml:space="preserve"> be </w:t>
      </w:r>
      <w:r>
        <w:rPr>
          <w:iCs/>
          <w:lang w:eastAsia="ko-KR"/>
        </w:rPr>
        <w:t>resolved separately</w:t>
      </w:r>
      <w:r w:rsidRPr="00FE35A0">
        <w:rPr>
          <w:iCs/>
          <w:lang w:eastAsia="ko-KR"/>
        </w:rPr>
        <w:t xml:space="preserve"> </w:t>
      </w:r>
      <w:r>
        <w:rPr>
          <w:iCs/>
          <w:lang w:eastAsia="ko-KR"/>
        </w:rPr>
        <w:t>at</w:t>
      </w:r>
      <w:r w:rsidRPr="00FE35A0">
        <w:rPr>
          <w:iCs/>
          <w:lang w:eastAsia="ko-KR"/>
        </w:rPr>
        <w:t xml:space="preserve"> the higher level within the AP</w:t>
      </w:r>
      <w:r>
        <w:rPr>
          <w:iCs/>
          <w:lang w:eastAsia="ko-KR"/>
        </w:rPr>
        <w:t>G19-3</w:t>
      </w:r>
      <w:r w:rsidRPr="00FE35A0">
        <w:rPr>
          <w:iCs/>
          <w:lang w:eastAsia="ko-KR"/>
        </w:rPr>
        <w:t xml:space="preserve">. </w:t>
      </w:r>
    </w:p>
    <w:p w14:paraId="0010CCEE" w14:textId="77777777" w:rsidR="000E2A48" w:rsidRDefault="000E2A48" w:rsidP="000E2A48">
      <w:pPr>
        <w:pStyle w:val="ListParagraph"/>
        <w:numPr>
          <w:ilvl w:val="0"/>
          <w:numId w:val="36"/>
        </w:numPr>
        <w:ind w:left="360"/>
        <w:rPr>
          <w:lang w:val="en-NZ"/>
        </w:rPr>
      </w:pPr>
      <w:r>
        <w:rPr>
          <w:lang w:val="en-NZ"/>
        </w:rPr>
        <w:t>A point</w:t>
      </w:r>
      <w:r w:rsidRPr="00A12BCE">
        <w:rPr>
          <w:lang w:val="en-NZ"/>
        </w:rPr>
        <w:t xml:space="preserve"> </w:t>
      </w:r>
      <w:r>
        <w:rPr>
          <w:lang w:val="en-NZ"/>
        </w:rPr>
        <w:t xml:space="preserve">was raised </w:t>
      </w:r>
      <w:r w:rsidRPr="00A12BCE">
        <w:rPr>
          <w:lang w:val="en-NZ"/>
        </w:rPr>
        <w:t xml:space="preserve">that </w:t>
      </w:r>
      <w:r>
        <w:rPr>
          <w:lang w:val="en-NZ"/>
        </w:rPr>
        <w:t>“</w:t>
      </w:r>
      <w:r w:rsidRPr="00A12BCE">
        <w:rPr>
          <w:lang w:val="en-NZ"/>
        </w:rPr>
        <w:t>FSS satellite network</w:t>
      </w:r>
      <w:r>
        <w:rPr>
          <w:lang w:val="en-NZ"/>
        </w:rPr>
        <w:t>”</w:t>
      </w:r>
      <w:r w:rsidRPr="00A12BCE">
        <w:rPr>
          <w:lang w:val="en-NZ"/>
        </w:rPr>
        <w:t xml:space="preserve"> is also included in </w:t>
      </w:r>
      <w:r>
        <w:rPr>
          <w:lang w:val="en-NZ"/>
        </w:rPr>
        <w:t xml:space="preserve">the APT Preliminary View, in </w:t>
      </w:r>
      <w:r w:rsidRPr="00A12BCE">
        <w:rPr>
          <w:lang w:val="en-NZ"/>
        </w:rPr>
        <w:t xml:space="preserve">addition to </w:t>
      </w:r>
      <w:r>
        <w:rPr>
          <w:lang w:val="en-NZ"/>
        </w:rPr>
        <w:t>“</w:t>
      </w:r>
      <w:r w:rsidRPr="00A12BCE">
        <w:rPr>
          <w:lang w:val="en-NZ"/>
        </w:rPr>
        <w:t>BSS assignments</w:t>
      </w:r>
      <w:r>
        <w:rPr>
          <w:lang w:val="en-NZ"/>
        </w:rPr>
        <w:t>”</w:t>
      </w:r>
      <w:r w:rsidRPr="00A12BCE">
        <w:rPr>
          <w:lang w:val="en-NZ"/>
        </w:rPr>
        <w:t xml:space="preserve">. </w:t>
      </w:r>
      <w:r>
        <w:rPr>
          <w:lang w:val="en-NZ"/>
        </w:rPr>
        <w:t xml:space="preserve"> Therefore, the text “FSS/BSS” were added in the APT Preliminary View(s) to clarify the point. </w:t>
      </w:r>
    </w:p>
    <w:p w14:paraId="1F928541" w14:textId="77777777" w:rsidR="000E2A48" w:rsidRDefault="000E2A48" w:rsidP="000E2A48">
      <w:pPr>
        <w:pStyle w:val="ListParagraph"/>
        <w:ind w:left="360"/>
        <w:rPr>
          <w:lang w:val="en-NZ"/>
        </w:rPr>
      </w:pPr>
    </w:p>
    <w:p w14:paraId="530ECA55" w14:textId="77777777" w:rsidR="000E2A48" w:rsidRDefault="000E2A48" w:rsidP="000E2A48">
      <w:pPr>
        <w:pStyle w:val="ListParagraph"/>
        <w:numPr>
          <w:ilvl w:val="0"/>
          <w:numId w:val="36"/>
        </w:numPr>
        <w:ind w:left="360"/>
        <w:rPr>
          <w:lang w:val="en-NZ"/>
        </w:rPr>
      </w:pPr>
      <w:r>
        <w:rPr>
          <w:lang w:val="en-NZ"/>
        </w:rPr>
        <w:t>Clarification on the “11.7 – 12.7 GHz frequency band for Region 3” as supposed to “11.7 – 12.75 GHz frequency band for Region 1 and 3” were also made</w:t>
      </w:r>
      <w:proofErr w:type="gramStart"/>
      <w:r>
        <w:rPr>
          <w:lang w:val="en-NZ"/>
        </w:rPr>
        <w:t>..</w:t>
      </w:r>
      <w:proofErr w:type="gramEnd"/>
      <w:r>
        <w:rPr>
          <w:lang w:val="en-NZ"/>
        </w:rPr>
        <w:t xml:space="preserve">  </w:t>
      </w:r>
    </w:p>
    <w:p w14:paraId="7974FD6F" w14:textId="77777777" w:rsidR="000E2A48" w:rsidRDefault="000E2A48" w:rsidP="000E2A48">
      <w:pPr>
        <w:pStyle w:val="ListParagraph"/>
        <w:ind w:left="360"/>
        <w:rPr>
          <w:lang w:val="en-NZ"/>
        </w:rPr>
      </w:pPr>
    </w:p>
    <w:p w14:paraId="182B945F" w14:textId="77777777" w:rsidR="000E2A48" w:rsidRDefault="000E2A48" w:rsidP="000E2A48">
      <w:pPr>
        <w:pStyle w:val="ListParagraph"/>
        <w:ind w:left="360"/>
        <w:rPr>
          <w:lang w:val="en-NZ"/>
        </w:rPr>
      </w:pPr>
    </w:p>
    <w:p w14:paraId="5AE7BC87" w14:textId="6667405D" w:rsidR="000E2A48" w:rsidRDefault="00CF6B42" w:rsidP="000E2A48">
      <w:pPr>
        <w:rPr>
          <w:b/>
          <w:lang w:val="en-NZ" w:eastAsia="ko-KR"/>
        </w:rPr>
      </w:pPr>
      <w:r>
        <w:rPr>
          <w:b/>
          <w:lang w:val="en-NZ" w:eastAsia="ko-KR"/>
        </w:rPr>
        <w:t xml:space="preserve">4. </w:t>
      </w:r>
      <w:r>
        <w:rPr>
          <w:b/>
          <w:lang w:val="en-NZ" w:eastAsia="ko-KR"/>
        </w:rPr>
        <w:tab/>
        <w:t>APT Preliminary Views</w:t>
      </w:r>
      <w:r>
        <w:rPr>
          <w:rStyle w:val="FootnoteReference"/>
          <w:b/>
          <w:lang w:val="en-NZ" w:eastAsia="ko-KR"/>
        </w:rPr>
        <w:footnoteReference w:id="2"/>
      </w:r>
    </w:p>
    <w:p w14:paraId="073873D8" w14:textId="77777777" w:rsidR="000E2A48" w:rsidRPr="00441526" w:rsidRDefault="000E2A48" w:rsidP="000E2A48">
      <w:pPr>
        <w:rPr>
          <w:b/>
          <w:lang w:val="en-NZ" w:eastAsia="ko-KR"/>
        </w:rPr>
      </w:pPr>
    </w:p>
    <w:p w14:paraId="1BC0CF0E" w14:textId="3A25F382" w:rsidR="000E2A48" w:rsidRPr="00121FBB" w:rsidRDefault="000E2A48" w:rsidP="000E2A48">
      <w:pPr>
        <w:rPr>
          <w:lang w:eastAsia="ko-KR"/>
        </w:rPr>
      </w:pPr>
      <w:r w:rsidRPr="005630BD">
        <w:rPr>
          <w:lang w:eastAsia="ko-KR"/>
        </w:rPr>
        <w:t xml:space="preserve">APT </w:t>
      </w:r>
      <w:r>
        <w:rPr>
          <w:lang w:eastAsia="ko-KR"/>
        </w:rPr>
        <w:t>M</w:t>
      </w:r>
      <w:r w:rsidRPr="005630BD">
        <w:rPr>
          <w:lang w:eastAsia="ko-KR"/>
        </w:rPr>
        <w:t>embers are of the</w:t>
      </w:r>
      <w:r w:rsidRPr="005630BD">
        <w:t xml:space="preserve"> view to support ITU-R studies and that any possible revision of the limitations of </w:t>
      </w:r>
      <w:r w:rsidRPr="005630BD">
        <w:rPr>
          <w:iCs/>
        </w:rPr>
        <w:t xml:space="preserve">Annex 7 to </w:t>
      </w:r>
      <w:r w:rsidRPr="005630BD">
        <w:t xml:space="preserve">Radio Regulations Appendix </w:t>
      </w:r>
      <w:r w:rsidRPr="005630BD">
        <w:rPr>
          <w:b/>
        </w:rPr>
        <w:t>30</w:t>
      </w:r>
      <w:r w:rsidRPr="005630BD">
        <w:rPr>
          <w:b/>
          <w:iCs/>
        </w:rPr>
        <w:t xml:space="preserve"> (Rev.WRC-15) </w:t>
      </w:r>
      <w:r w:rsidRPr="005630BD">
        <w:rPr>
          <w:iCs/>
        </w:rPr>
        <w:t xml:space="preserve">under Resolution </w:t>
      </w:r>
      <w:r w:rsidRPr="005630BD">
        <w:rPr>
          <w:b/>
          <w:bCs/>
          <w:iCs/>
        </w:rPr>
        <w:t>557 (WRC-15)</w:t>
      </w:r>
      <w:r w:rsidR="003F78D4">
        <w:rPr>
          <w:iCs/>
        </w:rPr>
        <w:t xml:space="preserve"> should not impose undue</w:t>
      </w:r>
      <w:r w:rsidRPr="005630BD">
        <w:rPr>
          <w:iCs/>
        </w:rPr>
        <w:t xml:space="preserve"> constraints on current and future FSS/BSS usage in the 11.7 – 12.7 GHz frequency band for Region 3</w:t>
      </w:r>
      <w:r w:rsidRPr="005630BD">
        <w:rPr>
          <w:iCs/>
          <w:lang w:eastAsia="ko-KR"/>
        </w:rPr>
        <w:t>.</w:t>
      </w:r>
    </w:p>
    <w:p w14:paraId="4ED41EA8" w14:textId="77777777" w:rsidR="000E2A48" w:rsidRDefault="000E2A48" w:rsidP="000E2A48">
      <w:pPr>
        <w:rPr>
          <w:lang w:val="en-NZ"/>
        </w:rPr>
      </w:pPr>
    </w:p>
    <w:p w14:paraId="7E8B2D8F" w14:textId="77777777" w:rsidR="000E2A48" w:rsidRPr="00441526" w:rsidRDefault="000E2A48" w:rsidP="000E2A4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5. </w:t>
      </w:r>
      <w:r w:rsidRPr="00441526">
        <w:rPr>
          <w:b/>
          <w:lang w:val="en-NZ" w:eastAsia="ko-KR"/>
        </w:rPr>
        <w:tab/>
        <w:t>Other View(s)</w:t>
      </w:r>
      <w:r>
        <w:rPr>
          <w:b/>
          <w:lang w:val="en-NZ" w:eastAsia="ko-KR"/>
        </w:rPr>
        <w:t xml:space="preserve"> from APT Members</w:t>
      </w:r>
    </w:p>
    <w:p w14:paraId="3C5FBD90" w14:textId="77777777" w:rsidR="000E2A48" w:rsidRPr="003D004F" w:rsidRDefault="000E2A48" w:rsidP="000E2A48">
      <w:pPr>
        <w:rPr>
          <w:lang w:val="en-NZ"/>
        </w:rPr>
      </w:pPr>
      <w:r>
        <w:rPr>
          <w:lang w:val="en-NZ"/>
        </w:rPr>
        <w:t>None.</w:t>
      </w:r>
    </w:p>
    <w:p w14:paraId="3FF80578" w14:textId="77777777" w:rsidR="000E2A48" w:rsidRDefault="000E2A48" w:rsidP="000E2A48">
      <w:pPr>
        <w:rPr>
          <w:lang w:val="en-NZ"/>
        </w:rPr>
      </w:pPr>
    </w:p>
    <w:p w14:paraId="18E5E74D" w14:textId="77777777" w:rsidR="000E2A48" w:rsidRPr="00441526" w:rsidRDefault="000E2A48" w:rsidP="000E2A4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6</w:t>
      </w:r>
      <w:r w:rsidRPr="00441526">
        <w:rPr>
          <w:b/>
          <w:lang w:val="en-NZ" w:eastAsia="ko-KR"/>
        </w:rPr>
        <w:t xml:space="preserve">. </w:t>
      </w:r>
      <w:r w:rsidRPr="00441526">
        <w:rPr>
          <w:b/>
          <w:lang w:val="en-NZ" w:eastAsia="ko-KR"/>
        </w:rPr>
        <w:tab/>
        <w:t>Issues for Consideration at Next APG Meeting</w:t>
      </w:r>
    </w:p>
    <w:p w14:paraId="46E73782" w14:textId="77777777" w:rsidR="000E2A48" w:rsidRDefault="000E2A48" w:rsidP="000E2A48">
      <w:pPr>
        <w:rPr>
          <w:lang w:val="en-NZ"/>
        </w:rPr>
      </w:pPr>
      <w:r>
        <w:rPr>
          <w:lang w:val="en-NZ"/>
        </w:rPr>
        <w:t xml:space="preserve">APT members are encouraged to consider technical and regulatory matters and submit contributions to ITU-R WP-4A and the next APG meeting. </w:t>
      </w:r>
    </w:p>
    <w:p w14:paraId="2F495B75" w14:textId="77777777" w:rsidR="000E2A48" w:rsidRDefault="000E2A48" w:rsidP="000E2A48">
      <w:pPr>
        <w:rPr>
          <w:lang w:val="en-NZ"/>
        </w:rPr>
      </w:pPr>
    </w:p>
    <w:p w14:paraId="21FED69B" w14:textId="77777777" w:rsidR="000E2A48" w:rsidRDefault="000E2A48" w:rsidP="000E2A48">
      <w:pPr>
        <w:jc w:val="both"/>
        <w:rPr>
          <w:lang w:val="en-NZ"/>
        </w:rPr>
      </w:pPr>
      <w:r>
        <w:rPr>
          <w:b/>
          <w:lang w:val="en-NZ"/>
        </w:rPr>
        <w:t>7</w:t>
      </w:r>
      <w:r w:rsidRPr="00441526">
        <w:rPr>
          <w:b/>
          <w:lang w:val="en-NZ"/>
        </w:rPr>
        <w:t xml:space="preserve">. </w:t>
      </w:r>
      <w:r w:rsidRPr="00441526">
        <w:rPr>
          <w:b/>
          <w:lang w:val="en-NZ"/>
        </w:rPr>
        <w:tab/>
        <w:t>Views from Other Organisations</w:t>
      </w:r>
      <w:r>
        <w:rPr>
          <w:b/>
          <w:lang w:val="en-NZ"/>
        </w:rPr>
        <w:t xml:space="preserve"> </w:t>
      </w:r>
      <w:r w:rsidRPr="006F518F">
        <w:rPr>
          <w:lang w:val="en-NZ"/>
        </w:rPr>
        <w:t xml:space="preserve">(as provided in the information documents to </w:t>
      </w:r>
    </w:p>
    <w:p w14:paraId="487BB2C1" w14:textId="77777777" w:rsidR="000E2A48" w:rsidRPr="006F518F" w:rsidRDefault="000E2A48" w:rsidP="000E2A48">
      <w:pPr>
        <w:ind w:firstLine="720"/>
        <w:jc w:val="both"/>
        <w:rPr>
          <w:lang w:val="en-NZ"/>
        </w:rPr>
      </w:pPr>
      <w:r w:rsidRPr="006F518F">
        <w:rPr>
          <w:lang w:val="en-NZ"/>
        </w:rPr>
        <w:t>APG1</w:t>
      </w:r>
      <w:r>
        <w:rPr>
          <w:lang w:val="en-NZ"/>
        </w:rPr>
        <w:t>9-3)</w:t>
      </w:r>
    </w:p>
    <w:p w14:paraId="4C8563AA" w14:textId="77777777" w:rsidR="000E2A48" w:rsidRPr="001A4CE6" w:rsidRDefault="000E2A48" w:rsidP="000E2A48">
      <w:pPr>
        <w:jc w:val="both"/>
        <w:rPr>
          <w:lang w:val="en-NZ"/>
        </w:rPr>
      </w:pPr>
    </w:p>
    <w:p w14:paraId="344D4A86" w14:textId="313887A3" w:rsidR="000E2A48" w:rsidRPr="00B2029B" w:rsidRDefault="000E2A48" w:rsidP="000E2A48">
      <w:pPr>
        <w:rPr>
          <w:b/>
        </w:rPr>
      </w:pPr>
      <w:r w:rsidRPr="001A4CE6">
        <w:rPr>
          <w:b/>
          <w:lang w:val="en-NZ"/>
        </w:rPr>
        <w:t>7.1</w:t>
      </w:r>
      <w:r w:rsidR="00CF6B42">
        <w:rPr>
          <w:b/>
          <w:lang w:val="en-NZ"/>
        </w:rPr>
        <w:t>.1</w:t>
      </w:r>
      <w:r w:rsidRPr="001A4CE6">
        <w:rPr>
          <w:lang w:val="en-NZ"/>
        </w:rPr>
        <w:tab/>
      </w:r>
      <w:r w:rsidRPr="00B2029B">
        <w:rPr>
          <w:b/>
        </w:rPr>
        <w:t>ASMG</w:t>
      </w:r>
      <w:r>
        <w:rPr>
          <w:b/>
        </w:rPr>
        <w:t xml:space="preserve"> </w:t>
      </w:r>
      <w:r w:rsidRPr="00E6142F">
        <w:rPr>
          <w:b/>
        </w:rPr>
        <w:t xml:space="preserve">- </w:t>
      </w:r>
      <w:r w:rsidRPr="00495675">
        <w:rPr>
          <w:b/>
          <w:lang w:val="en-NZ"/>
        </w:rPr>
        <w:t>APG19-2/INF-1</w:t>
      </w:r>
    </w:p>
    <w:p w14:paraId="1430C163" w14:textId="77777777" w:rsidR="000E2A48" w:rsidRPr="00B2029B" w:rsidRDefault="000E2A48" w:rsidP="000E2A48">
      <w:pPr>
        <w:rPr>
          <w:b/>
        </w:rPr>
      </w:pPr>
    </w:p>
    <w:p w14:paraId="2D77AA1D" w14:textId="77777777" w:rsidR="000E2A48" w:rsidRDefault="000E2A48" w:rsidP="000E2A48">
      <w:r w:rsidRPr="008B3AE6">
        <w:t xml:space="preserve">ASMG position: </w:t>
      </w:r>
    </w:p>
    <w:p w14:paraId="62C5E862" w14:textId="77777777" w:rsidR="000E2A48" w:rsidRPr="008B3AE6" w:rsidRDefault="000E2A48" w:rsidP="000E2A48">
      <w:pPr>
        <w:pStyle w:val="ListParagraph"/>
        <w:numPr>
          <w:ilvl w:val="0"/>
          <w:numId w:val="37"/>
        </w:numPr>
        <w:ind w:left="630"/>
      </w:pPr>
      <w:r w:rsidRPr="008B3AE6">
        <w:t>Follow-up studies.</w:t>
      </w:r>
    </w:p>
    <w:p w14:paraId="5D70ED3D" w14:textId="77777777" w:rsidR="000E2A48" w:rsidRDefault="000E2A48" w:rsidP="000E2A48">
      <w:pPr>
        <w:pStyle w:val="ListParagraph"/>
        <w:numPr>
          <w:ilvl w:val="0"/>
          <w:numId w:val="37"/>
        </w:numPr>
        <w:ind w:left="630"/>
      </w:pPr>
      <w:r w:rsidRPr="008B3AE6">
        <w:t>Not supporting the removal of any restrictions that may have a potential impact on the current allocations or allotments of the plan.</w:t>
      </w:r>
    </w:p>
    <w:p w14:paraId="504A1DBE" w14:textId="77777777" w:rsidR="000E2A48" w:rsidRDefault="000E2A48" w:rsidP="000E2A48">
      <w:pPr>
        <w:rPr>
          <w:rFonts w:eastAsia="MS Mincho"/>
          <w:lang w:eastAsia="ja-JP"/>
        </w:rPr>
      </w:pPr>
      <w:r w:rsidRPr="008B3AE6">
        <w:t>Protection of assignments included in the Plan and List and the future of BSS network</w:t>
      </w:r>
      <w:r>
        <w:t>s</w:t>
      </w:r>
      <w:r>
        <w:rPr>
          <w:rFonts w:eastAsia="MS Mincho" w:hint="eastAsia"/>
          <w:lang w:eastAsia="ja-JP"/>
        </w:rPr>
        <w:t>.</w:t>
      </w:r>
    </w:p>
    <w:p w14:paraId="4663E108" w14:textId="77777777" w:rsidR="000E2A48" w:rsidRDefault="000E2A48" w:rsidP="000E2A48"/>
    <w:p w14:paraId="00BCD60A" w14:textId="19871C64" w:rsidR="000E2A48" w:rsidRDefault="000E2A48" w:rsidP="000E2A48">
      <w:r>
        <w:rPr>
          <w:b/>
        </w:rPr>
        <w:t>7</w:t>
      </w:r>
      <w:r w:rsidRPr="004E15DF">
        <w:rPr>
          <w:b/>
        </w:rPr>
        <w:t>.</w:t>
      </w:r>
      <w:r w:rsidR="00CF6B42">
        <w:rPr>
          <w:b/>
        </w:rPr>
        <w:t>1.2</w:t>
      </w:r>
      <w:r w:rsidRPr="008B3AE6">
        <w:tab/>
      </w:r>
      <w:r w:rsidRPr="00F717AB">
        <w:rPr>
          <w:b/>
        </w:rPr>
        <w:t>CEPT</w:t>
      </w:r>
      <w:r>
        <w:rPr>
          <w:b/>
        </w:rPr>
        <w:t xml:space="preserve"> </w:t>
      </w:r>
      <w:r w:rsidRPr="00E6142F">
        <w:rPr>
          <w:b/>
        </w:rPr>
        <w:t xml:space="preserve">- </w:t>
      </w:r>
      <w:r w:rsidRPr="00495675">
        <w:rPr>
          <w:b/>
          <w:lang w:val="en-NZ"/>
        </w:rPr>
        <w:t>APG19-3/INF-6</w:t>
      </w:r>
    </w:p>
    <w:p w14:paraId="676BE0D9" w14:textId="77777777" w:rsidR="000E2A48" w:rsidRDefault="000E2A48" w:rsidP="000E2A48">
      <w:pPr>
        <w:ind w:right="-270"/>
      </w:pPr>
    </w:p>
    <w:p w14:paraId="309DCCE9" w14:textId="77777777" w:rsidR="000E2A48" w:rsidRPr="00371338" w:rsidRDefault="000E2A48" w:rsidP="000E2A48">
      <w:pPr>
        <w:ind w:right="-270"/>
      </w:pPr>
      <w:r w:rsidRPr="006A72DC">
        <w:rPr>
          <w:rFonts w:eastAsia="Batang"/>
          <w:color w:val="000000"/>
        </w:rPr>
        <w:t>CEPT supports the deletions of the limitations:</w:t>
      </w:r>
    </w:p>
    <w:p w14:paraId="30CAD10D" w14:textId="77777777" w:rsidR="000E2A48" w:rsidRPr="00E64E29" w:rsidRDefault="000E2A48" w:rsidP="000E2A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Batang"/>
          <w:color w:val="000000"/>
        </w:rPr>
      </w:pPr>
      <w:r w:rsidRPr="00E64E29">
        <w:rPr>
          <w:rFonts w:eastAsia="Batang"/>
          <w:color w:val="000000"/>
        </w:rPr>
        <w:t>Limitation A1 (part a) (No assignments in the Region 1 List further west than 37.2°W)</w:t>
      </w:r>
    </w:p>
    <w:p w14:paraId="6FC2A15B" w14:textId="77777777" w:rsidR="000E2A48" w:rsidRPr="00E64E29" w:rsidRDefault="000E2A48" w:rsidP="000E2A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Batang"/>
          <w:color w:val="000000"/>
        </w:rPr>
      </w:pPr>
      <w:r w:rsidRPr="00E64E29">
        <w:rPr>
          <w:rFonts w:eastAsia="Batang"/>
          <w:color w:val="000000"/>
        </w:rPr>
        <w:t>Limitation A1 (part b) (No assignments in the Region 1 List further east than 146°E)</w:t>
      </w:r>
    </w:p>
    <w:p w14:paraId="18B524C2" w14:textId="77777777" w:rsidR="000E2A48" w:rsidRPr="00E64E29" w:rsidRDefault="000E2A48" w:rsidP="000E2A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Batang"/>
          <w:color w:val="000000"/>
        </w:rPr>
      </w:pPr>
      <w:r w:rsidRPr="00E64E29">
        <w:rPr>
          <w:rFonts w:eastAsia="Batang"/>
          <w:color w:val="000000"/>
        </w:rPr>
        <w:t>Limitation A2a (No modification in the Region 2 Plan further east than 54°W)</w:t>
      </w:r>
    </w:p>
    <w:p w14:paraId="784FF453" w14:textId="77777777" w:rsidR="000E2A48" w:rsidRPr="00E64E29" w:rsidRDefault="000E2A48" w:rsidP="000E2A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Batang"/>
          <w:color w:val="000000"/>
        </w:rPr>
      </w:pPr>
      <w:r w:rsidRPr="00E64E29">
        <w:rPr>
          <w:rFonts w:eastAsia="Batang"/>
          <w:color w:val="000000"/>
        </w:rPr>
        <w:t>Limitation A2b (No modification in the Region 2 Plan further east than 44°W)</w:t>
      </w:r>
    </w:p>
    <w:p w14:paraId="2E5D09CB" w14:textId="77777777" w:rsidR="000E2A48" w:rsidRPr="00E64E29" w:rsidRDefault="000E2A48" w:rsidP="000E2A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Batang"/>
          <w:color w:val="000000"/>
        </w:rPr>
      </w:pPr>
      <w:r w:rsidRPr="00E64E29">
        <w:rPr>
          <w:rFonts w:eastAsia="Batang"/>
          <w:color w:val="000000"/>
        </w:rPr>
        <w:t xml:space="preserve">Limitation A3 (part b) (Maximum </w:t>
      </w:r>
      <w:proofErr w:type="spellStart"/>
      <w:r w:rsidRPr="00E64E29">
        <w:rPr>
          <w:rFonts w:eastAsia="Batang"/>
          <w:color w:val="000000"/>
        </w:rPr>
        <w:t>e.i.r.p</w:t>
      </w:r>
      <w:proofErr w:type="spellEnd"/>
      <w:r w:rsidRPr="00E64E29">
        <w:rPr>
          <w:rFonts w:eastAsia="Batang"/>
          <w:color w:val="000000"/>
        </w:rPr>
        <w:t xml:space="preserve">. of 56 </w:t>
      </w:r>
      <w:proofErr w:type="spellStart"/>
      <w:r w:rsidRPr="00E64E29">
        <w:rPr>
          <w:rFonts w:eastAsia="Batang"/>
          <w:color w:val="000000"/>
        </w:rPr>
        <w:t>dBW</w:t>
      </w:r>
      <w:proofErr w:type="spellEnd"/>
      <w:r w:rsidRPr="00E64E29">
        <w:rPr>
          <w:rFonts w:eastAsia="Batang"/>
          <w:color w:val="000000"/>
        </w:rPr>
        <w:t xml:space="preserve"> for assignments in the Regions 1 &amp; 3. List at specific allowable portions of the orbital arc between 37.2°W and 10°E specified in Table 1 of Annex 7 to Appendix 30)</w:t>
      </w:r>
    </w:p>
    <w:p w14:paraId="424D6B1E" w14:textId="77777777" w:rsidR="000E2A48" w:rsidRPr="00E64E29" w:rsidRDefault="000E2A48" w:rsidP="000E2A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Batang"/>
          <w:color w:val="000000"/>
        </w:rPr>
      </w:pPr>
      <w:r w:rsidRPr="00E64E29">
        <w:rPr>
          <w:rFonts w:eastAsia="Batang"/>
          <w:color w:val="000000"/>
        </w:rPr>
        <w:t>Limitation A3 (part c) (Maximum power flux density of -138 dB(W/(m2/27 MHz)) at any point in Region 2 by assignments in the Regions 1 &amp; 3 List located at 4°W and 9°E)</w:t>
      </w:r>
    </w:p>
    <w:p w14:paraId="2F13247B" w14:textId="77777777" w:rsidR="000E2A48" w:rsidRDefault="000E2A48" w:rsidP="000E2A48">
      <w:pPr>
        <w:ind w:right="-270"/>
      </w:pPr>
    </w:p>
    <w:p w14:paraId="0C6B6092" w14:textId="77777777" w:rsidR="000E2A48" w:rsidRPr="00E64E29" w:rsidRDefault="000E2A48" w:rsidP="000E2A48">
      <w:pPr>
        <w:pStyle w:val="ListParagraph"/>
        <w:widowControl w:val="0"/>
        <w:autoSpaceDE w:val="0"/>
        <w:autoSpaceDN w:val="0"/>
        <w:adjustRightInd w:val="0"/>
        <w:ind w:hanging="720"/>
        <w:rPr>
          <w:rFonts w:eastAsia="Batang"/>
          <w:color w:val="000000"/>
        </w:rPr>
      </w:pPr>
      <w:r w:rsidRPr="00E64E29">
        <w:rPr>
          <w:rFonts w:eastAsia="Batang"/>
          <w:color w:val="000000"/>
        </w:rPr>
        <w:t>CEPT is considering the possible deletions of the limitations:</w:t>
      </w:r>
    </w:p>
    <w:p w14:paraId="0E648B5F" w14:textId="77777777" w:rsidR="000E2A48" w:rsidRPr="00E64E29" w:rsidRDefault="000E2A48" w:rsidP="000E2A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Batang"/>
          <w:color w:val="000000"/>
        </w:rPr>
      </w:pPr>
      <w:r w:rsidRPr="00E64E29">
        <w:rPr>
          <w:rFonts w:eastAsia="Batang"/>
          <w:color w:val="000000"/>
        </w:rPr>
        <w:t>Limitation A2c (No modification in the Region 2 Plan further west than 175.2°W)</w:t>
      </w:r>
    </w:p>
    <w:p w14:paraId="4243762E" w14:textId="77777777" w:rsidR="000E2A48" w:rsidRDefault="000E2A48" w:rsidP="000E2A48">
      <w:pPr>
        <w:widowControl w:val="0"/>
        <w:autoSpaceDE w:val="0"/>
        <w:autoSpaceDN w:val="0"/>
        <w:adjustRightInd w:val="0"/>
        <w:rPr>
          <w:rFonts w:eastAsia="Batang"/>
          <w:color w:val="000000"/>
        </w:rPr>
      </w:pPr>
    </w:p>
    <w:p w14:paraId="3119A52B" w14:textId="77777777" w:rsidR="000E2A48" w:rsidRPr="00961530" w:rsidRDefault="000E2A48" w:rsidP="000E2A48">
      <w:pPr>
        <w:widowControl w:val="0"/>
        <w:autoSpaceDE w:val="0"/>
        <w:autoSpaceDN w:val="0"/>
        <w:adjustRightInd w:val="0"/>
        <w:rPr>
          <w:rFonts w:eastAsia="Batang"/>
          <w:color w:val="000000"/>
        </w:rPr>
      </w:pPr>
      <w:r w:rsidRPr="006A72DC">
        <w:rPr>
          <w:rFonts w:eastAsia="Batang"/>
          <w:color w:val="000000"/>
        </w:rPr>
        <w:t>CEPT preliminarily opposes the removal of the A3 (part a) limitation (No assignments in</w:t>
      </w:r>
      <w:r>
        <w:rPr>
          <w:rFonts w:eastAsia="Batang"/>
          <w:color w:val="000000"/>
        </w:rPr>
        <w:t xml:space="preserve"> </w:t>
      </w:r>
      <w:r w:rsidRPr="006A72DC">
        <w:rPr>
          <w:rFonts w:eastAsia="Batang"/>
          <w:color w:val="000000"/>
        </w:rPr>
        <w:t>the Regions 1 &amp; 3 List outside specific allowable portions of the orbital arc between</w:t>
      </w:r>
      <w:r>
        <w:rPr>
          <w:rFonts w:eastAsia="Batang"/>
          <w:color w:val="000000"/>
        </w:rPr>
        <w:t xml:space="preserve"> </w:t>
      </w:r>
      <w:r w:rsidRPr="006A72DC">
        <w:rPr>
          <w:rFonts w:eastAsia="Batang"/>
          <w:color w:val="000000"/>
        </w:rPr>
        <w:t>37.2°W and 10°E specified in Table 1 of Annex 7 to Appendix 30). To guarantee the</w:t>
      </w:r>
      <w:r>
        <w:rPr>
          <w:rFonts w:eastAsia="Batang"/>
          <w:color w:val="000000"/>
        </w:rPr>
        <w:t xml:space="preserve"> </w:t>
      </w:r>
      <w:r w:rsidRPr="006A72DC">
        <w:rPr>
          <w:rFonts w:eastAsia="Batang"/>
          <w:color w:val="000000"/>
        </w:rPr>
        <w:t>protection of the BSS satellite networks implemented in accordance with the current</w:t>
      </w:r>
      <w:r>
        <w:rPr>
          <w:rFonts w:eastAsia="Batang"/>
          <w:color w:val="000000"/>
        </w:rPr>
        <w:t xml:space="preserve"> </w:t>
      </w:r>
      <w:r w:rsidRPr="006A72DC">
        <w:rPr>
          <w:rFonts w:eastAsia="Batang"/>
          <w:color w:val="000000"/>
        </w:rPr>
        <w:t>provisions of Annex 7 to Appendix 30 (which includes antennas smaller than</w:t>
      </w:r>
      <w:r>
        <w:rPr>
          <w:rFonts w:eastAsia="Batang"/>
          <w:color w:val="000000"/>
        </w:rPr>
        <w:t xml:space="preserve"> </w:t>
      </w:r>
      <w:r w:rsidRPr="006A72DC">
        <w:rPr>
          <w:rFonts w:eastAsia="Batang"/>
          <w:color w:val="000000"/>
        </w:rPr>
        <w:t>60 cm in the allowable portions of the orbital arc), CEPT proposes the following</w:t>
      </w:r>
      <w:r>
        <w:rPr>
          <w:rFonts w:eastAsia="Batang"/>
          <w:color w:val="000000"/>
        </w:rPr>
        <w:t xml:space="preserve"> </w:t>
      </w:r>
      <w:r w:rsidRPr="006A72DC">
        <w:rPr>
          <w:rFonts w:eastAsia="Batang"/>
          <w:color w:val="000000"/>
        </w:rPr>
        <w:t>modification to Table1 of Annex 7 to Appendix 30:</w:t>
      </w:r>
    </w:p>
    <w:p w14:paraId="3FE23006" w14:textId="77777777" w:rsidR="000E2A48" w:rsidRDefault="000E2A48" w:rsidP="000E2A48">
      <w:pPr>
        <w:tabs>
          <w:tab w:val="left" w:pos="3360"/>
        </w:tabs>
        <w:ind w:right="-270"/>
      </w:pPr>
    </w:p>
    <w:p w14:paraId="63592201" w14:textId="77777777" w:rsidR="000E2A48" w:rsidRDefault="000E2A48" w:rsidP="000E2A48">
      <w:pPr>
        <w:ind w:right="-270"/>
      </w:pPr>
      <w:r>
        <w:t xml:space="preserve">Preliminary CEPT position: </w:t>
      </w:r>
    </w:p>
    <w:p w14:paraId="6D7A79AB" w14:textId="77777777" w:rsidR="000E2A48" w:rsidRDefault="000E2A48" w:rsidP="000E2A48">
      <w:pPr>
        <w:ind w:right="-270"/>
      </w:pPr>
    </w:p>
    <w:p w14:paraId="0E9A9840" w14:textId="77777777" w:rsidR="000E2A48" w:rsidRPr="00B2029B" w:rsidRDefault="000E2A48" w:rsidP="000E2A48">
      <w:pPr>
        <w:ind w:left="1350" w:right="1883"/>
        <w:jc w:val="center"/>
        <w:rPr>
          <w:sz w:val="22"/>
          <w:szCs w:val="22"/>
        </w:rPr>
      </w:pPr>
      <w:r w:rsidRPr="00B2029B">
        <w:rPr>
          <w:sz w:val="22"/>
          <w:szCs w:val="22"/>
        </w:rPr>
        <w:t>Allowable potions of the orbital arc between 37.2W and 10E for assignments in the Regions 1 &amp; 3 and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49"/>
        <w:gridCol w:w="849"/>
        <w:gridCol w:w="841"/>
        <w:gridCol w:w="842"/>
        <w:gridCol w:w="842"/>
        <w:gridCol w:w="842"/>
        <w:gridCol w:w="842"/>
        <w:gridCol w:w="850"/>
        <w:gridCol w:w="846"/>
      </w:tblGrid>
      <w:tr w:rsidR="000E2A48" w14:paraId="421EF385" w14:textId="77777777" w:rsidTr="002951B6">
        <w:tc>
          <w:tcPr>
            <w:tcW w:w="9389" w:type="dxa"/>
            <w:gridSpan w:val="11"/>
          </w:tcPr>
          <w:p w14:paraId="5BCF7DEE" w14:textId="77777777" w:rsidR="000E2A48" w:rsidRDefault="000E2A48" w:rsidP="002951B6">
            <w:pPr>
              <w:ind w:right="-270"/>
              <w:jc w:val="center"/>
            </w:pPr>
            <w:r>
              <w:t>Allowable orbital position</w:t>
            </w:r>
          </w:p>
        </w:tc>
      </w:tr>
      <w:tr w:rsidR="000E2A48" w14:paraId="72564948" w14:textId="77777777" w:rsidTr="002951B6">
        <w:tc>
          <w:tcPr>
            <w:tcW w:w="853" w:type="dxa"/>
          </w:tcPr>
          <w:p w14:paraId="387109E9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 xml:space="preserve">37.2W </w:t>
            </w:r>
          </w:p>
          <w:p w14:paraId="63960C41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 xml:space="preserve">to </w:t>
            </w:r>
          </w:p>
          <w:p w14:paraId="0E6106F0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35W</w:t>
            </w:r>
          </w:p>
        </w:tc>
        <w:tc>
          <w:tcPr>
            <w:tcW w:w="853" w:type="dxa"/>
          </w:tcPr>
          <w:p w14:paraId="3B53D930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33.5W</w:t>
            </w:r>
          </w:p>
          <w:p w14:paraId="1ABFE287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 xml:space="preserve">to </w:t>
            </w:r>
          </w:p>
          <w:p w14:paraId="4E621196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32.5W</w:t>
            </w:r>
          </w:p>
        </w:tc>
        <w:tc>
          <w:tcPr>
            <w:tcW w:w="853" w:type="dxa"/>
          </w:tcPr>
          <w:p w14:paraId="23497858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32W</w:t>
            </w:r>
          </w:p>
          <w:p w14:paraId="549A7B12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 xml:space="preserve">to </w:t>
            </w:r>
          </w:p>
          <w:p w14:paraId="457036BC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28W</w:t>
            </w:r>
          </w:p>
        </w:tc>
        <w:tc>
          <w:tcPr>
            <w:tcW w:w="853" w:type="dxa"/>
          </w:tcPr>
          <w:p w14:paraId="7CF091ED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26W</w:t>
            </w:r>
          </w:p>
          <w:p w14:paraId="341B23D0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 xml:space="preserve">to </w:t>
            </w:r>
          </w:p>
          <w:p w14:paraId="1039C000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0E</w:t>
            </w:r>
          </w:p>
        </w:tc>
        <w:tc>
          <w:tcPr>
            <w:tcW w:w="853" w:type="dxa"/>
          </w:tcPr>
          <w:p w14:paraId="128786E3" w14:textId="77777777" w:rsidR="000E2A48" w:rsidRPr="00E64E29" w:rsidRDefault="000E2A48" w:rsidP="002951B6">
            <w:pPr>
              <w:ind w:left="720" w:right="-27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14:paraId="744E5F7E" w14:textId="77777777" w:rsidR="000E2A48" w:rsidRPr="00E64E29" w:rsidRDefault="000E2A48" w:rsidP="002951B6">
            <w:pPr>
              <w:ind w:left="720" w:right="-27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14:paraId="7DB26B57" w14:textId="77777777" w:rsidR="000E2A48" w:rsidRPr="00E64E29" w:rsidRDefault="000E2A48" w:rsidP="002951B6">
            <w:pPr>
              <w:ind w:left="720" w:right="-27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14:paraId="40CCF180" w14:textId="77777777" w:rsidR="000E2A48" w:rsidRPr="00E64E29" w:rsidRDefault="000E2A48" w:rsidP="002951B6">
            <w:pPr>
              <w:ind w:left="720" w:right="-27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14:paraId="11598FF3" w14:textId="77777777" w:rsidR="000E2A48" w:rsidRPr="00E64E29" w:rsidRDefault="000E2A48" w:rsidP="002951B6">
            <w:pPr>
              <w:ind w:left="720" w:right="-27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14:paraId="33F40597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2.8E</w:t>
            </w:r>
          </w:p>
          <w:p w14:paraId="3387410E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to</w:t>
            </w:r>
          </w:p>
          <w:p w14:paraId="66D78FB3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6.8E</w:t>
            </w:r>
          </w:p>
        </w:tc>
        <w:tc>
          <w:tcPr>
            <w:tcW w:w="854" w:type="dxa"/>
          </w:tcPr>
          <w:p w14:paraId="76B0A928" w14:textId="77777777" w:rsidR="000E2A48" w:rsidRPr="00E64E29" w:rsidRDefault="000E2A48" w:rsidP="002951B6">
            <w:pPr>
              <w:ind w:right="-270"/>
              <w:rPr>
                <w:sz w:val="22"/>
                <w:szCs w:val="22"/>
              </w:rPr>
            </w:pPr>
            <w:r w:rsidRPr="00E64E29">
              <w:rPr>
                <w:sz w:val="22"/>
                <w:szCs w:val="22"/>
              </w:rPr>
              <w:t>9E</w:t>
            </w:r>
          </w:p>
        </w:tc>
      </w:tr>
    </w:tbl>
    <w:p w14:paraId="734642C5" w14:textId="77777777" w:rsidR="000E2A48" w:rsidRDefault="000E2A48" w:rsidP="000E2A48">
      <w:pPr>
        <w:ind w:right="-270"/>
      </w:pPr>
    </w:p>
    <w:p w14:paraId="697C63E5" w14:textId="77777777" w:rsidR="000E2A48" w:rsidRPr="00371338" w:rsidRDefault="000E2A48" w:rsidP="000E2A48">
      <w:pPr>
        <w:ind w:right="-270"/>
      </w:pPr>
      <w:r w:rsidRPr="006A72DC">
        <w:rPr>
          <w:rFonts w:eastAsia="Batang"/>
        </w:rPr>
        <w:t>CEPT is of the view that Limitation B deals with the grouping concept of space</w:t>
      </w:r>
      <w:r>
        <w:t xml:space="preserve"> </w:t>
      </w:r>
      <w:r w:rsidRPr="006A72DC">
        <w:rPr>
          <w:rFonts w:eastAsia="Batang"/>
        </w:rPr>
        <w:t>stations in the Region 2 Plan and therefore decisions over this limitation are out</w:t>
      </w:r>
      <w:r>
        <w:t xml:space="preserve"> </w:t>
      </w:r>
      <w:r w:rsidRPr="006A72DC">
        <w:rPr>
          <w:rFonts w:eastAsia="Batang"/>
        </w:rPr>
        <w:t>of the scope of CEPT.</w:t>
      </w:r>
    </w:p>
    <w:p w14:paraId="64112A6C" w14:textId="77777777" w:rsidR="000E2A48" w:rsidRPr="006A72DC" w:rsidRDefault="000E2A48" w:rsidP="000E2A48">
      <w:pPr>
        <w:ind w:right="-270"/>
      </w:pPr>
    </w:p>
    <w:p w14:paraId="01955019" w14:textId="77777777" w:rsidR="000E2A48" w:rsidRPr="00DD0640" w:rsidRDefault="000E2A48" w:rsidP="000E2A48"/>
    <w:p w14:paraId="582E80E8" w14:textId="40D549E9" w:rsidR="000E2A48" w:rsidRPr="00DD0640" w:rsidRDefault="000E2A48" w:rsidP="000E2A48">
      <w:r>
        <w:rPr>
          <w:b/>
        </w:rPr>
        <w:t>7</w:t>
      </w:r>
      <w:r w:rsidRPr="004E15DF">
        <w:rPr>
          <w:b/>
        </w:rPr>
        <w:t>.</w:t>
      </w:r>
      <w:r w:rsidR="00CF6B42">
        <w:rPr>
          <w:b/>
        </w:rPr>
        <w:t>1.3</w:t>
      </w:r>
      <w:r w:rsidRPr="008B3AE6">
        <w:tab/>
      </w:r>
      <w:r>
        <w:rPr>
          <w:b/>
        </w:rPr>
        <w:t xml:space="preserve">CITEL </w:t>
      </w:r>
      <w:r w:rsidRPr="00E6142F">
        <w:rPr>
          <w:b/>
        </w:rPr>
        <w:t xml:space="preserve">- </w:t>
      </w:r>
      <w:r w:rsidRPr="00495675">
        <w:rPr>
          <w:b/>
          <w:lang w:val="en-NZ"/>
        </w:rPr>
        <w:t>APG19-3/INF-8 (Rev.1)</w:t>
      </w:r>
    </w:p>
    <w:p w14:paraId="0B143C79" w14:textId="77777777" w:rsidR="000E2A48" w:rsidRPr="00D21266" w:rsidRDefault="000E2A48" w:rsidP="000E2A48">
      <w:pPr>
        <w:rPr>
          <w:sz w:val="16"/>
          <w:szCs w:val="16"/>
          <w:lang w:val="en-NZ"/>
        </w:rPr>
      </w:pPr>
    </w:p>
    <w:p w14:paraId="22609406" w14:textId="77777777" w:rsidR="000E2A48" w:rsidRDefault="000E2A48" w:rsidP="000E2A48">
      <w:pPr>
        <w:rPr>
          <w:color w:val="000000"/>
        </w:rPr>
      </w:pPr>
      <w:r w:rsidRPr="00495675">
        <w:rPr>
          <w:color w:val="000000"/>
        </w:rPr>
        <w:t>Preliminary views from a few countries support studies but there is a need to ensure the protection of existing assignments in the Plan and the List and future BSS development within the Plan, and existing and planned FSS networks</w:t>
      </w:r>
      <w:r>
        <w:rPr>
          <w:color w:val="000000"/>
        </w:rPr>
        <w:t>.</w:t>
      </w:r>
    </w:p>
    <w:p w14:paraId="6E1B6825" w14:textId="77777777" w:rsidR="000E2A48" w:rsidRDefault="000E2A48" w:rsidP="000E2A48">
      <w:pPr>
        <w:rPr>
          <w:rFonts w:eastAsia="Batang"/>
        </w:rPr>
      </w:pPr>
    </w:p>
    <w:p w14:paraId="2C773599" w14:textId="6837A85B" w:rsidR="000E2A48" w:rsidRDefault="000E2A48" w:rsidP="000E2A48">
      <w:pPr>
        <w:rPr>
          <w:b/>
        </w:rPr>
      </w:pPr>
      <w:r>
        <w:rPr>
          <w:rFonts w:eastAsia="Batang"/>
          <w:b/>
        </w:rPr>
        <w:t>7</w:t>
      </w:r>
      <w:r w:rsidRPr="004E15DF">
        <w:rPr>
          <w:rFonts w:eastAsia="Batang"/>
          <w:b/>
        </w:rPr>
        <w:t>.</w:t>
      </w:r>
      <w:r w:rsidR="00CF6B42">
        <w:rPr>
          <w:rFonts w:eastAsia="Batang"/>
          <w:b/>
        </w:rPr>
        <w:t>1.4</w:t>
      </w:r>
      <w:r>
        <w:rPr>
          <w:rFonts w:eastAsia="Batang"/>
        </w:rPr>
        <w:t xml:space="preserve"> </w:t>
      </w:r>
      <w:r>
        <w:rPr>
          <w:rFonts w:eastAsia="Batang"/>
        </w:rPr>
        <w:tab/>
      </w:r>
      <w:r>
        <w:rPr>
          <w:b/>
        </w:rPr>
        <w:t>RCC</w:t>
      </w:r>
    </w:p>
    <w:p w14:paraId="7450069F" w14:textId="77777777" w:rsidR="000E2A48" w:rsidRPr="00D21266" w:rsidRDefault="000E2A48" w:rsidP="000E2A48">
      <w:pPr>
        <w:rPr>
          <w:sz w:val="16"/>
          <w:szCs w:val="16"/>
        </w:rPr>
      </w:pPr>
    </w:p>
    <w:p w14:paraId="3D1AEC03" w14:textId="77777777" w:rsidR="000E2A48" w:rsidRPr="003D004F" w:rsidRDefault="000E2A48" w:rsidP="000E2A48">
      <w:r>
        <w:t xml:space="preserve">RCC has met once since the last APG19-2 meeting, and the draft update 14 September 2017 can be found in the following web site: </w:t>
      </w:r>
      <w:r w:rsidRPr="0056674D">
        <w:t>http://www.en.rcc.org.ru/about_en/RCC_positionWRC-19</w:t>
      </w:r>
      <w:r>
        <w:t>.</w:t>
      </w:r>
    </w:p>
    <w:p w14:paraId="54340095" w14:textId="77777777" w:rsidR="000E2A48" w:rsidRPr="00441526" w:rsidRDefault="000E2A48" w:rsidP="000E2A48">
      <w:pPr>
        <w:rPr>
          <w:lang w:val="en-NZ"/>
        </w:rPr>
      </w:pPr>
    </w:p>
    <w:p w14:paraId="6A0745CB" w14:textId="69481086" w:rsidR="000E2A48" w:rsidRPr="00441526" w:rsidRDefault="00CF6B42" w:rsidP="000E2A4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="000E2A48" w:rsidRPr="00441526">
        <w:rPr>
          <w:b/>
          <w:lang w:val="en-NZ" w:eastAsia="ko-KR"/>
        </w:rPr>
        <w:t>.</w:t>
      </w:r>
      <w:r>
        <w:rPr>
          <w:b/>
          <w:lang w:val="en-NZ" w:eastAsia="ko-KR"/>
        </w:rPr>
        <w:t>2</w:t>
      </w:r>
      <w:r w:rsidR="000E2A48" w:rsidRPr="00441526">
        <w:rPr>
          <w:b/>
          <w:lang w:val="en-NZ" w:eastAsia="ko-KR"/>
        </w:rPr>
        <w:tab/>
        <w:t>International Organisations</w:t>
      </w:r>
    </w:p>
    <w:p w14:paraId="340D6BA4" w14:textId="4FE5F227" w:rsidR="000E2A48" w:rsidRPr="00441526" w:rsidRDefault="00CF6B42" w:rsidP="000E2A4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7.2.</w:t>
      </w:r>
      <w:r w:rsidR="000E2A48" w:rsidRPr="00441526">
        <w:rPr>
          <w:b/>
          <w:lang w:val="en-NZ" w:eastAsia="ko-KR"/>
        </w:rPr>
        <w:t xml:space="preserve">1 </w:t>
      </w:r>
      <w:r w:rsidR="000E2A48" w:rsidRPr="00441526">
        <w:rPr>
          <w:b/>
          <w:lang w:val="en-NZ" w:eastAsia="ko-KR"/>
        </w:rPr>
        <w:tab/>
        <w:t xml:space="preserve">IARU </w:t>
      </w:r>
    </w:p>
    <w:p w14:paraId="01E745D4" w14:textId="77777777" w:rsidR="000E2A48" w:rsidRDefault="000E2A48" w:rsidP="000E2A48">
      <w:pPr>
        <w:rPr>
          <w:lang w:val="en-NZ"/>
        </w:rPr>
      </w:pPr>
      <w:r>
        <w:rPr>
          <w:lang w:val="en-NZ"/>
        </w:rPr>
        <w:t>No view on this agenda item has been received from IARU.</w:t>
      </w:r>
    </w:p>
    <w:p w14:paraId="206E81ED" w14:textId="77777777" w:rsidR="000E2A48" w:rsidRPr="00441526" w:rsidRDefault="000E2A48" w:rsidP="000E2A48">
      <w:pPr>
        <w:rPr>
          <w:lang w:val="en-NZ"/>
        </w:rPr>
      </w:pPr>
    </w:p>
    <w:p w14:paraId="4A7B2582" w14:textId="44422CDB" w:rsidR="000E2A48" w:rsidRPr="00441526" w:rsidRDefault="00CF6B42" w:rsidP="000E2A4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7.2</w:t>
      </w:r>
      <w:r w:rsidR="000E2A48" w:rsidRPr="00441526">
        <w:rPr>
          <w:b/>
          <w:lang w:val="en-NZ" w:eastAsia="ko-KR"/>
        </w:rPr>
        <w:t xml:space="preserve">.2 </w:t>
      </w:r>
      <w:r w:rsidR="000E2A48" w:rsidRPr="00441526">
        <w:rPr>
          <w:b/>
          <w:lang w:val="en-NZ" w:eastAsia="ko-KR"/>
        </w:rPr>
        <w:tab/>
        <w:t xml:space="preserve">ICAO </w:t>
      </w:r>
    </w:p>
    <w:p w14:paraId="715AD6D9" w14:textId="77777777" w:rsidR="000E2A48" w:rsidRPr="00441526" w:rsidRDefault="000E2A48" w:rsidP="000E2A48">
      <w:pPr>
        <w:rPr>
          <w:lang w:val="en-NZ"/>
        </w:rPr>
      </w:pPr>
      <w:r>
        <w:rPr>
          <w:lang w:val="en-NZ"/>
        </w:rPr>
        <w:t>No view on this agenda item has been received from ICAO.</w:t>
      </w:r>
    </w:p>
    <w:p w14:paraId="44F12EE1" w14:textId="77777777" w:rsidR="000E2A48" w:rsidRPr="00441526" w:rsidRDefault="000E2A48" w:rsidP="000E2A48">
      <w:pPr>
        <w:jc w:val="both"/>
        <w:rPr>
          <w:lang w:val="en-NZ"/>
        </w:rPr>
      </w:pPr>
    </w:p>
    <w:p w14:paraId="73A044E1" w14:textId="77777777" w:rsidR="000E2A48" w:rsidRPr="00441526" w:rsidRDefault="000E2A48" w:rsidP="000E2A48">
      <w:pPr>
        <w:rPr>
          <w:b/>
          <w:lang w:val="en-NZ"/>
        </w:rPr>
      </w:pPr>
    </w:p>
    <w:p w14:paraId="27C5B5C1" w14:textId="77777777" w:rsidR="00424ACC" w:rsidRDefault="00424ACC" w:rsidP="00CD4C1F">
      <w:pPr>
        <w:rPr>
          <w:rFonts w:eastAsia="MS Mincho"/>
          <w:lang w:eastAsia="ja-JP"/>
        </w:rPr>
      </w:pPr>
    </w:p>
    <w:p w14:paraId="2E0E6770" w14:textId="63BE2BC8" w:rsidR="00B64A60" w:rsidRDefault="00B64A60" w:rsidP="00CD4C1F">
      <w:pPr>
        <w:jc w:val="center"/>
        <w:rPr>
          <w:lang w:val="en-NZ"/>
        </w:rPr>
      </w:pPr>
      <w:r w:rsidRPr="00710333">
        <w:rPr>
          <w:lang w:val="en-NZ"/>
        </w:rPr>
        <w:t>____________</w:t>
      </w:r>
      <w:r w:rsidR="00424ACC" w:rsidRPr="00424ACC">
        <w:rPr>
          <w:u w:val="single"/>
          <w:lang w:val="en-NZ"/>
        </w:rPr>
        <w:tab/>
      </w:r>
    </w:p>
    <w:sectPr w:rsidR="00B64A60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C1B4" w14:textId="77777777" w:rsidR="00604DDD" w:rsidRDefault="00604DDD">
      <w:r>
        <w:separator/>
      </w:r>
    </w:p>
  </w:endnote>
  <w:endnote w:type="continuationSeparator" w:id="0">
    <w:p w14:paraId="03BC535D" w14:textId="77777777" w:rsidR="00604DDD" w:rsidRDefault="0060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A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E677B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C" w14:textId="1889D1D7" w:rsidR="0097693B" w:rsidRDefault="009E42F8" w:rsidP="009E42F8">
    <w:pPr>
      <w:pStyle w:val="Footer"/>
      <w:tabs>
        <w:tab w:val="left" w:pos="540"/>
        <w:tab w:val="right" w:pos="8957"/>
      </w:tabs>
      <w:ind w:right="360"/>
    </w:pPr>
    <w:r>
      <w:rPr>
        <w:rFonts w:hint="eastAsia"/>
        <w:lang w:eastAsia="ko-KR"/>
      </w:rPr>
      <w:t>A</w:t>
    </w:r>
    <w:r w:rsidR="004F4F4E">
      <w:rPr>
        <w:lang w:eastAsia="ko-KR"/>
      </w:rPr>
      <w:t>PG19-3</w:t>
    </w:r>
    <w:r w:rsidR="000E2A48">
      <w:rPr>
        <w:lang w:eastAsia="ko-KR"/>
      </w:rPr>
      <w:t>/OUT-13</w:t>
    </w:r>
    <w:r w:rsidR="00CF6B42">
      <w:rPr>
        <w:lang w:eastAsia="ko-KR"/>
      </w:rPr>
      <w:t>(Rev.1)</w:t>
    </w:r>
    <w:r>
      <w:rPr>
        <w:rStyle w:val="PageNumber"/>
      </w:rPr>
      <w:tab/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F23B6D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F23B6D">
      <w:rPr>
        <w:rStyle w:val="PageNumber"/>
        <w:noProof/>
      </w:rPr>
      <w:t>4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233"/>
      <w:gridCol w:w="4073"/>
    </w:tblGrid>
    <w:tr w:rsidR="00F23B6D" w14:paraId="6AE067A2" w14:textId="77777777" w:rsidTr="000802E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07249E6E" w14:textId="77777777" w:rsidR="00F23B6D" w:rsidRDefault="00F23B6D" w:rsidP="00F23B6D">
          <w:pPr>
            <w:rPr>
              <w:b/>
              <w:bCs/>
            </w:rPr>
          </w:pPr>
          <w:r>
            <w:rPr>
              <w:b/>
              <w:bCs/>
            </w:rPr>
            <w:t xml:space="preserve">Contact: </w:t>
          </w:r>
        </w:p>
      </w:tc>
      <w:tc>
        <w:tcPr>
          <w:tcW w:w="4233" w:type="dxa"/>
          <w:tcBorders>
            <w:top w:val="single" w:sz="12" w:space="0" w:color="auto"/>
          </w:tcBorders>
        </w:tcPr>
        <w:p w14:paraId="22DEA194" w14:textId="77777777" w:rsidR="00F23B6D" w:rsidRDefault="00F23B6D" w:rsidP="00F23B6D">
          <w:pPr>
            <w:rPr>
              <w:rFonts w:eastAsia="Batang"/>
            </w:rPr>
          </w:pPr>
          <w:r>
            <w:rPr>
              <w:rFonts w:eastAsia="Batang"/>
            </w:rPr>
            <w:t>MR. MUNEO ABE</w:t>
          </w:r>
        </w:p>
        <w:p w14:paraId="51E96668" w14:textId="77777777" w:rsidR="00F23B6D" w:rsidRDefault="00F23B6D" w:rsidP="00F23B6D">
          <w:pPr>
            <w:rPr>
              <w:rFonts w:eastAsia="Batang"/>
            </w:rPr>
          </w:pPr>
          <w:r>
            <w:rPr>
              <w:rFonts w:eastAsia="Batang"/>
            </w:rPr>
            <w:t>Chairman, WP3</w:t>
          </w:r>
        </w:p>
      </w:tc>
      <w:tc>
        <w:tcPr>
          <w:tcW w:w="4073" w:type="dxa"/>
          <w:tcBorders>
            <w:top w:val="single" w:sz="12" w:space="0" w:color="auto"/>
          </w:tcBorders>
        </w:tcPr>
        <w:p w14:paraId="020A941A" w14:textId="77777777" w:rsidR="00F23B6D" w:rsidRDefault="00F23B6D" w:rsidP="00F23B6D">
          <w:pPr>
            <w:rPr>
              <w:lang w:eastAsia="ja-JP"/>
            </w:rPr>
          </w:pPr>
          <w:r>
            <w:rPr>
              <w:lang w:eastAsia="ja-JP"/>
            </w:rPr>
            <w:t xml:space="preserve">Email: </w:t>
          </w:r>
          <w:hyperlink r:id="rId1" w:history="1">
            <w:r w:rsidRPr="001C68DD">
              <w:rPr>
                <w:rStyle w:val="Hyperlink"/>
                <w:lang w:eastAsia="ja-JP"/>
              </w:rPr>
              <w:t>Abe.Muneo@cj.MitsubishiElectric.co.jp</w:t>
            </w:r>
          </w:hyperlink>
          <w:r>
            <w:rPr>
              <w:lang w:eastAsia="ja-JP"/>
            </w:rPr>
            <w:t xml:space="preserve"> </w:t>
          </w:r>
        </w:p>
      </w:tc>
    </w:tr>
  </w:tbl>
  <w:p w14:paraId="2E0E6781" w14:textId="77777777" w:rsidR="0097693B" w:rsidRDefault="0097693B" w:rsidP="00F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1573" w14:textId="77777777" w:rsidR="00604DDD" w:rsidRDefault="00604DDD">
      <w:r>
        <w:separator/>
      </w:r>
    </w:p>
  </w:footnote>
  <w:footnote w:type="continuationSeparator" w:id="0">
    <w:p w14:paraId="6C5BF119" w14:textId="77777777" w:rsidR="00604DDD" w:rsidRDefault="00604DDD">
      <w:r>
        <w:continuationSeparator/>
      </w:r>
    </w:p>
  </w:footnote>
  <w:footnote w:id="1">
    <w:p w14:paraId="667F4F17" w14:textId="77777777" w:rsidR="000E2A48" w:rsidRDefault="000E2A48" w:rsidP="000E2A48">
      <w:pPr>
        <w:pStyle w:val="FootnoteText"/>
      </w:pPr>
      <w:r>
        <w:rPr>
          <w:rStyle w:val="FootnoteReference"/>
        </w:rPr>
        <w:footnoteRef/>
      </w:r>
      <w:r>
        <w:t xml:space="preserve"> Please note that the term ‘Issues/issues’ should not be confused with Issues in WRC-19 Agenda Items 7 and 9.</w:t>
      </w:r>
    </w:p>
  </w:footnote>
  <w:footnote w:id="2">
    <w:p w14:paraId="221D0F19" w14:textId="2F537EE9" w:rsidR="00CF6B42" w:rsidRDefault="00CF6B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F6B42">
          <w:rPr>
            <w:rStyle w:val="Hyperlink"/>
          </w:rPr>
          <w:t>Document APG19-3/OUT-01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8" w14:textId="7DBD5BDB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2E0E6779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367147"/>
    <w:multiLevelType w:val="hybridMultilevel"/>
    <w:tmpl w:val="1E9A70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96786B"/>
    <w:multiLevelType w:val="multilevel"/>
    <w:tmpl w:val="CADAB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ED7C99"/>
    <w:multiLevelType w:val="multilevel"/>
    <w:tmpl w:val="AECE85F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056106"/>
    <w:multiLevelType w:val="hybridMultilevel"/>
    <w:tmpl w:val="FCC0F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50536B"/>
    <w:multiLevelType w:val="hybridMultilevel"/>
    <w:tmpl w:val="E6B4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319E2EB0"/>
    <w:multiLevelType w:val="hybridMultilevel"/>
    <w:tmpl w:val="6A7A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9890163"/>
    <w:multiLevelType w:val="hybridMultilevel"/>
    <w:tmpl w:val="CD48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3338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9" w15:restartNumberingAfterBreak="0">
    <w:nsid w:val="40B46B16"/>
    <w:multiLevelType w:val="hybridMultilevel"/>
    <w:tmpl w:val="FC76D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CE035C"/>
    <w:multiLevelType w:val="hybridMultilevel"/>
    <w:tmpl w:val="23FAB1BC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A6D56"/>
    <w:multiLevelType w:val="hybridMultilevel"/>
    <w:tmpl w:val="8BCC9862"/>
    <w:lvl w:ilvl="0" w:tplc="8A0A331C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EA763B"/>
    <w:multiLevelType w:val="hybridMultilevel"/>
    <w:tmpl w:val="A8FE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A0917"/>
    <w:multiLevelType w:val="multilevel"/>
    <w:tmpl w:val="EF309FB4"/>
    <w:lvl w:ilvl="0"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0477784"/>
    <w:multiLevelType w:val="hybridMultilevel"/>
    <w:tmpl w:val="3710E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5BBB"/>
    <w:multiLevelType w:val="multilevel"/>
    <w:tmpl w:val="D656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E74C4"/>
    <w:multiLevelType w:val="hybridMultilevel"/>
    <w:tmpl w:val="844E0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7462D4"/>
    <w:multiLevelType w:val="hybridMultilevel"/>
    <w:tmpl w:val="3A705D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5755024"/>
    <w:multiLevelType w:val="hybridMultilevel"/>
    <w:tmpl w:val="E51AD7FC"/>
    <w:lvl w:ilvl="0" w:tplc="637AB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4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1"/>
  </w:num>
  <w:num w:numId="5">
    <w:abstractNumId w:val="13"/>
  </w:num>
  <w:num w:numId="6">
    <w:abstractNumId w:val="16"/>
  </w:num>
  <w:num w:numId="7">
    <w:abstractNumId w:val="3"/>
  </w:num>
  <w:num w:numId="8">
    <w:abstractNumId w:val="1"/>
  </w:num>
  <w:num w:numId="9">
    <w:abstractNumId w:val="34"/>
  </w:num>
  <w:num w:numId="10">
    <w:abstractNumId w:val="27"/>
  </w:num>
  <w:num w:numId="11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6"/>
  </w:num>
  <w:num w:numId="18">
    <w:abstractNumId w:val="18"/>
  </w:num>
  <w:num w:numId="19">
    <w:abstractNumId w:val="32"/>
  </w:num>
  <w:num w:numId="20">
    <w:abstractNumId w:val="12"/>
  </w:num>
  <w:num w:numId="21">
    <w:abstractNumId w:val="20"/>
  </w:num>
  <w:num w:numId="22">
    <w:abstractNumId w:val="23"/>
  </w:num>
  <w:num w:numId="23">
    <w:abstractNumId w:val="19"/>
  </w:num>
  <w:num w:numId="24">
    <w:abstractNumId w:val="28"/>
  </w:num>
  <w:num w:numId="25">
    <w:abstractNumId w:val="5"/>
  </w:num>
  <w:num w:numId="26">
    <w:abstractNumId w:val="24"/>
  </w:num>
  <w:num w:numId="27">
    <w:abstractNumId w:val="6"/>
  </w:num>
  <w:num w:numId="28">
    <w:abstractNumId w:val="33"/>
  </w:num>
  <w:num w:numId="29">
    <w:abstractNumId w:val="21"/>
  </w:num>
  <w:num w:numId="30">
    <w:abstractNumId w:val="9"/>
  </w:num>
  <w:num w:numId="31">
    <w:abstractNumId w:val="30"/>
  </w:num>
  <w:num w:numId="32">
    <w:abstractNumId w:val="29"/>
  </w:num>
  <w:num w:numId="33">
    <w:abstractNumId w:val="14"/>
  </w:num>
  <w:num w:numId="34">
    <w:abstractNumId w:val="11"/>
  </w:num>
  <w:num w:numId="35">
    <w:abstractNumId w:val="17"/>
  </w:num>
  <w:num w:numId="36">
    <w:abstractNumId w:val="2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611F"/>
    <w:rsid w:val="00007FC0"/>
    <w:rsid w:val="000103ED"/>
    <w:rsid w:val="00010C8E"/>
    <w:rsid w:val="000172F2"/>
    <w:rsid w:val="00020E68"/>
    <w:rsid w:val="0003595B"/>
    <w:rsid w:val="00036517"/>
    <w:rsid w:val="00036CC9"/>
    <w:rsid w:val="00050D08"/>
    <w:rsid w:val="00070642"/>
    <w:rsid w:val="000713CF"/>
    <w:rsid w:val="000734FA"/>
    <w:rsid w:val="00075C14"/>
    <w:rsid w:val="000822B5"/>
    <w:rsid w:val="00094B87"/>
    <w:rsid w:val="000A012B"/>
    <w:rsid w:val="000A5418"/>
    <w:rsid w:val="000B3623"/>
    <w:rsid w:val="000C6DD4"/>
    <w:rsid w:val="000D4155"/>
    <w:rsid w:val="000E2A48"/>
    <w:rsid w:val="000F074E"/>
    <w:rsid w:val="000F345F"/>
    <w:rsid w:val="000F517C"/>
    <w:rsid w:val="000F5540"/>
    <w:rsid w:val="00101B58"/>
    <w:rsid w:val="001057E4"/>
    <w:rsid w:val="00105F1A"/>
    <w:rsid w:val="00111146"/>
    <w:rsid w:val="00120C56"/>
    <w:rsid w:val="001409B2"/>
    <w:rsid w:val="00141399"/>
    <w:rsid w:val="00152636"/>
    <w:rsid w:val="001539DD"/>
    <w:rsid w:val="00155761"/>
    <w:rsid w:val="00156782"/>
    <w:rsid w:val="0016326A"/>
    <w:rsid w:val="001731F4"/>
    <w:rsid w:val="00180A4E"/>
    <w:rsid w:val="001816FF"/>
    <w:rsid w:val="001911F4"/>
    <w:rsid w:val="00196568"/>
    <w:rsid w:val="00197806"/>
    <w:rsid w:val="00197878"/>
    <w:rsid w:val="00197C18"/>
    <w:rsid w:val="001A2F16"/>
    <w:rsid w:val="001A764B"/>
    <w:rsid w:val="001B1804"/>
    <w:rsid w:val="001B18C2"/>
    <w:rsid w:val="001B5016"/>
    <w:rsid w:val="001C1C58"/>
    <w:rsid w:val="001C4FF8"/>
    <w:rsid w:val="001C61A5"/>
    <w:rsid w:val="001C6707"/>
    <w:rsid w:val="001C7CEE"/>
    <w:rsid w:val="001D5D7E"/>
    <w:rsid w:val="001E067B"/>
    <w:rsid w:val="001F00A1"/>
    <w:rsid w:val="001F5947"/>
    <w:rsid w:val="001F71A2"/>
    <w:rsid w:val="00201B98"/>
    <w:rsid w:val="00202410"/>
    <w:rsid w:val="00204433"/>
    <w:rsid w:val="0020463A"/>
    <w:rsid w:val="00204D05"/>
    <w:rsid w:val="002103F7"/>
    <w:rsid w:val="00210ED7"/>
    <w:rsid w:val="002111B1"/>
    <w:rsid w:val="0021498B"/>
    <w:rsid w:val="00214A0C"/>
    <w:rsid w:val="0021588B"/>
    <w:rsid w:val="002216AC"/>
    <w:rsid w:val="00227127"/>
    <w:rsid w:val="00230BBA"/>
    <w:rsid w:val="00232D82"/>
    <w:rsid w:val="002444AD"/>
    <w:rsid w:val="00245F0F"/>
    <w:rsid w:val="002506D2"/>
    <w:rsid w:val="00250DE2"/>
    <w:rsid w:val="00254A1B"/>
    <w:rsid w:val="0026064A"/>
    <w:rsid w:val="00265A7A"/>
    <w:rsid w:val="0028454D"/>
    <w:rsid w:val="00287988"/>
    <w:rsid w:val="00291C9E"/>
    <w:rsid w:val="002926D4"/>
    <w:rsid w:val="002A62A6"/>
    <w:rsid w:val="002B06A3"/>
    <w:rsid w:val="002B435C"/>
    <w:rsid w:val="002B447F"/>
    <w:rsid w:val="002C07DA"/>
    <w:rsid w:val="002C295F"/>
    <w:rsid w:val="002C45D2"/>
    <w:rsid w:val="002C7EA9"/>
    <w:rsid w:val="002E1735"/>
    <w:rsid w:val="002F2A53"/>
    <w:rsid w:val="002F575D"/>
    <w:rsid w:val="002F68F0"/>
    <w:rsid w:val="00300DC1"/>
    <w:rsid w:val="003066AB"/>
    <w:rsid w:val="0030715F"/>
    <w:rsid w:val="003113D7"/>
    <w:rsid w:val="00311E8A"/>
    <w:rsid w:val="00312FEA"/>
    <w:rsid w:val="00342F20"/>
    <w:rsid w:val="00346242"/>
    <w:rsid w:val="003479C0"/>
    <w:rsid w:val="003561D7"/>
    <w:rsid w:val="00360377"/>
    <w:rsid w:val="00362B4D"/>
    <w:rsid w:val="00366548"/>
    <w:rsid w:val="003772CC"/>
    <w:rsid w:val="003809C7"/>
    <w:rsid w:val="0038236C"/>
    <w:rsid w:val="00395B40"/>
    <w:rsid w:val="003A1ABB"/>
    <w:rsid w:val="003A22D6"/>
    <w:rsid w:val="003A6568"/>
    <w:rsid w:val="003B6263"/>
    <w:rsid w:val="003C29E6"/>
    <w:rsid w:val="003C64A7"/>
    <w:rsid w:val="003D1671"/>
    <w:rsid w:val="003D3FDA"/>
    <w:rsid w:val="003D6D00"/>
    <w:rsid w:val="003E166F"/>
    <w:rsid w:val="003F6C79"/>
    <w:rsid w:val="003F78D4"/>
    <w:rsid w:val="004001E5"/>
    <w:rsid w:val="00411797"/>
    <w:rsid w:val="00414C58"/>
    <w:rsid w:val="00420822"/>
    <w:rsid w:val="00420C74"/>
    <w:rsid w:val="00424ACC"/>
    <w:rsid w:val="00433A59"/>
    <w:rsid w:val="004465AA"/>
    <w:rsid w:val="0045458F"/>
    <w:rsid w:val="00462166"/>
    <w:rsid w:val="004633B4"/>
    <w:rsid w:val="00495A35"/>
    <w:rsid w:val="004A2F96"/>
    <w:rsid w:val="004B0E2F"/>
    <w:rsid w:val="004B3553"/>
    <w:rsid w:val="004B3F4B"/>
    <w:rsid w:val="004C15A4"/>
    <w:rsid w:val="004C2B2A"/>
    <w:rsid w:val="004C4E7F"/>
    <w:rsid w:val="004C5410"/>
    <w:rsid w:val="004D586B"/>
    <w:rsid w:val="004F4F4E"/>
    <w:rsid w:val="00500DBB"/>
    <w:rsid w:val="00503189"/>
    <w:rsid w:val="005033E8"/>
    <w:rsid w:val="00511577"/>
    <w:rsid w:val="00515508"/>
    <w:rsid w:val="005163DE"/>
    <w:rsid w:val="00526D01"/>
    <w:rsid w:val="0053050A"/>
    <w:rsid w:val="00530E8C"/>
    <w:rsid w:val="00545933"/>
    <w:rsid w:val="00547745"/>
    <w:rsid w:val="0055013E"/>
    <w:rsid w:val="00552105"/>
    <w:rsid w:val="00552364"/>
    <w:rsid w:val="005562F2"/>
    <w:rsid w:val="00557544"/>
    <w:rsid w:val="00564A74"/>
    <w:rsid w:val="00565BBB"/>
    <w:rsid w:val="005676E1"/>
    <w:rsid w:val="00585F3C"/>
    <w:rsid w:val="00586CA0"/>
    <w:rsid w:val="00587445"/>
    <w:rsid w:val="00587875"/>
    <w:rsid w:val="00592AE9"/>
    <w:rsid w:val="00593133"/>
    <w:rsid w:val="005A18F2"/>
    <w:rsid w:val="005A63EB"/>
    <w:rsid w:val="005B0861"/>
    <w:rsid w:val="005C1EDE"/>
    <w:rsid w:val="005C33B6"/>
    <w:rsid w:val="005C5499"/>
    <w:rsid w:val="005D6097"/>
    <w:rsid w:val="005D6202"/>
    <w:rsid w:val="005D6E98"/>
    <w:rsid w:val="005E701A"/>
    <w:rsid w:val="005E717A"/>
    <w:rsid w:val="005F77EC"/>
    <w:rsid w:val="00604DDD"/>
    <w:rsid w:val="00607E2B"/>
    <w:rsid w:val="006139D6"/>
    <w:rsid w:val="00616D1B"/>
    <w:rsid w:val="00621C19"/>
    <w:rsid w:val="00623CE1"/>
    <w:rsid w:val="0063062B"/>
    <w:rsid w:val="00637351"/>
    <w:rsid w:val="00640D42"/>
    <w:rsid w:val="00641D40"/>
    <w:rsid w:val="00643A33"/>
    <w:rsid w:val="00646166"/>
    <w:rsid w:val="00652970"/>
    <w:rsid w:val="00654896"/>
    <w:rsid w:val="006621F0"/>
    <w:rsid w:val="006647BA"/>
    <w:rsid w:val="00667229"/>
    <w:rsid w:val="006707A1"/>
    <w:rsid w:val="00671D5A"/>
    <w:rsid w:val="00674E92"/>
    <w:rsid w:val="00682BE5"/>
    <w:rsid w:val="00690382"/>
    <w:rsid w:val="00690FED"/>
    <w:rsid w:val="006939A5"/>
    <w:rsid w:val="00697582"/>
    <w:rsid w:val="00697B5C"/>
    <w:rsid w:val="006A2E69"/>
    <w:rsid w:val="006C2744"/>
    <w:rsid w:val="006D5223"/>
    <w:rsid w:val="006E12FC"/>
    <w:rsid w:val="006E61B6"/>
    <w:rsid w:val="006E7427"/>
    <w:rsid w:val="006F2B2E"/>
    <w:rsid w:val="006F4471"/>
    <w:rsid w:val="00705962"/>
    <w:rsid w:val="00707C21"/>
    <w:rsid w:val="00712451"/>
    <w:rsid w:val="00717DE9"/>
    <w:rsid w:val="0072518B"/>
    <w:rsid w:val="00726117"/>
    <w:rsid w:val="00726D27"/>
    <w:rsid w:val="00731041"/>
    <w:rsid w:val="007329E4"/>
    <w:rsid w:val="00732A2C"/>
    <w:rsid w:val="00732F08"/>
    <w:rsid w:val="007342F0"/>
    <w:rsid w:val="00736E38"/>
    <w:rsid w:val="00737DF5"/>
    <w:rsid w:val="0074190C"/>
    <w:rsid w:val="00751A10"/>
    <w:rsid w:val="00752C06"/>
    <w:rsid w:val="00753090"/>
    <w:rsid w:val="00753260"/>
    <w:rsid w:val="00755BF3"/>
    <w:rsid w:val="00762576"/>
    <w:rsid w:val="007673CA"/>
    <w:rsid w:val="00770750"/>
    <w:rsid w:val="007765E4"/>
    <w:rsid w:val="00777339"/>
    <w:rsid w:val="007800CB"/>
    <w:rsid w:val="00780BD3"/>
    <w:rsid w:val="00791060"/>
    <w:rsid w:val="00795D7D"/>
    <w:rsid w:val="007A2B2D"/>
    <w:rsid w:val="007A5390"/>
    <w:rsid w:val="007B5626"/>
    <w:rsid w:val="007B6124"/>
    <w:rsid w:val="007B6735"/>
    <w:rsid w:val="007C0F4A"/>
    <w:rsid w:val="007C5525"/>
    <w:rsid w:val="007D3C53"/>
    <w:rsid w:val="007D5B15"/>
    <w:rsid w:val="007F2628"/>
    <w:rsid w:val="007F2FBA"/>
    <w:rsid w:val="007F3573"/>
    <w:rsid w:val="00800C3A"/>
    <w:rsid w:val="0080570B"/>
    <w:rsid w:val="00805D8F"/>
    <w:rsid w:val="008111E0"/>
    <w:rsid w:val="00813A71"/>
    <w:rsid w:val="008148E1"/>
    <w:rsid w:val="008319BF"/>
    <w:rsid w:val="00842C61"/>
    <w:rsid w:val="008433C2"/>
    <w:rsid w:val="00844457"/>
    <w:rsid w:val="008454C8"/>
    <w:rsid w:val="00851D78"/>
    <w:rsid w:val="00853C40"/>
    <w:rsid w:val="008543B5"/>
    <w:rsid w:val="00872B9D"/>
    <w:rsid w:val="00875D6B"/>
    <w:rsid w:val="00881A2A"/>
    <w:rsid w:val="008A1A0D"/>
    <w:rsid w:val="008A5155"/>
    <w:rsid w:val="008A76ED"/>
    <w:rsid w:val="008B3C72"/>
    <w:rsid w:val="008C5BFA"/>
    <w:rsid w:val="008D0E09"/>
    <w:rsid w:val="008D31F9"/>
    <w:rsid w:val="008E7E97"/>
    <w:rsid w:val="00903007"/>
    <w:rsid w:val="00905DC7"/>
    <w:rsid w:val="00923816"/>
    <w:rsid w:val="0093074B"/>
    <w:rsid w:val="00930E64"/>
    <w:rsid w:val="009321B7"/>
    <w:rsid w:val="0094157C"/>
    <w:rsid w:val="00956F8C"/>
    <w:rsid w:val="0095753F"/>
    <w:rsid w:val="00961D57"/>
    <w:rsid w:val="00976716"/>
    <w:rsid w:val="0097693B"/>
    <w:rsid w:val="0097736E"/>
    <w:rsid w:val="0099049F"/>
    <w:rsid w:val="00991532"/>
    <w:rsid w:val="00991E83"/>
    <w:rsid w:val="00993355"/>
    <w:rsid w:val="00993ED9"/>
    <w:rsid w:val="009963F7"/>
    <w:rsid w:val="009A133E"/>
    <w:rsid w:val="009A4A6D"/>
    <w:rsid w:val="009A78BB"/>
    <w:rsid w:val="009B1081"/>
    <w:rsid w:val="009B5802"/>
    <w:rsid w:val="009B7E42"/>
    <w:rsid w:val="009D76AA"/>
    <w:rsid w:val="009E13DD"/>
    <w:rsid w:val="009E42F8"/>
    <w:rsid w:val="009E46E0"/>
    <w:rsid w:val="00A0503B"/>
    <w:rsid w:val="00A111D4"/>
    <w:rsid w:val="00A13265"/>
    <w:rsid w:val="00A1482F"/>
    <w:rsid w:val="00A14900"/>
    <w:rsid w:val="00A2159F"/>
    <w:rsid w:val="00A421A0"/>
    <w:rsid w:val="00A529BC"/>
    <w:rsid w:val="00A5346C"/>
    <w:rsid w:val="00A562F0"/>
    <w:rsid w:val="00A564B5"/>
    <w:rsid w:val="00A564FB"/>
    <w:rsid w:val="00A614C1"/>
    <w:rsid w:val="00A61EA6"/>
    <w:rsid w:val="00A71136"/>
    <w:rsid w:val="00A76002"/>
    <w:rsid w:val="00A83D7A"/>
    <w:rsid w:val="00A83ECB"/>
    <w:rsid w:val="00AA474C"/>
    <w:rsid w:val="00AC35EF"/>
    <w:rsid w:val="00AD2697"/>
    <w:rsid w:val="00AD7E5F"/>
    <w:rsid w:val="00AE1D9B"/>
    <w:rsid w:val="00AE3066"/>
    <w:rsid w:val="00AF68E4"/>
    <w:rsid w:val="00B0082E"/>
    <w:rsid w:val="00B01AA1"/>
    <w:rsid w:val="00B13455"/>
    <w:rsid w:val="00B14463"/>
    <w:rsid w:val="00B25E16"/>
    <w:rsid w:val="00B30C81"/>
    <w:rsid w:val="00B34241"/>
    <w:rsid w:val="00B36080"/>
    <w:rsid w:val="00B447D0"/>
    <w:rsid w:val="00B4793B"/>
    <w:rsid w:val="00B64A60"/>
    <w:rsid w:val="00B70590"/>
    <w:rsid w:val="00B715B9"/>
    <w:rsid w:val="00B83EDF"/>
    <w:rsid w:val="00B86C70"/>
    <w:rsid w:val="00B9307A"/>
    <w:rsid w:val="00B937D7"/>
    <w:rsid w:val="00B96B67"/>
    <w:rsid w:val="00BB67B0"/>
    <w:rsid w:val="00BC57EF"/>
    <w:rsid w:val="00BD5540"/>
    <w:rsid w:val="00BD665F"/>
    <w:rsid w:val="00BF25F9"/>
    <w:rsid w:val="00C13FD5"/>
    <w:rsid w:val="00C15633"/>
    <w:rsid w:val="00C15799"/>
    <w:rsid w:val="00C226E5"/>
    <w:rsid w:val="00C23B83"/>
    <w:rsid w:val="00C32E84"/>
    <w:rsid w:val="00C32F8A"/>
    <w:rsid w:val="00C35415"/>
    <w:rsid w:val="00C357AD"/>
    <w:rsid w:val="00C46B6F"/>
    <w:rsid w:val="00C47734"/>
    <w:rsid w:val="00C554CC"/>
    <w:rsid w:val="00C6069C"/>
    <w:rsid w:val="00C74745"/>
    <w:rsid w:val="00C81C84"/>
    <w:rsid w:val="00C831BD"/>
    <w:rsid w:val="00C84A6B"/>
    <w:rsid w:val="00C85119"/>
    <w:rsid w:val="00CA488B"/>
    <w:rsid w:val="00CA63B9"/>
    <w:rsid w:val="00CC574F"/>
    <w:rsid w:val="00CC6D57"/>
    <w:rsid w:val="00CD320B"/>
    <w:rsid w:val="00CD3F37"/>
    <w:rsid w:val="00CD4C1F"/>
    <w:rsid w:val="00CD5431"/>
    <w:rsid w:val="00CD5D71"/>
    <w:rsid w:val="00CE02B0"/>
    <w:rsid w:val="00CE4B93"/>
    <w:rsid w:val="00CF2491"/>
    <w:rsid w:val="00CF3963"/>
    <w:rsid w:val="00CF4D8B"/>
    <w:rsid w:val="00CF6B42"/>
    <w:rsid w:val="00D07C04"/>
    <w:rsid w:val="00D1252E"/>
    <w:rsid w:val="00D13D9D"/>
    <w:rsid w:val="00D3283A"/>
    <w:rsid w:val="00D373CF"/>
    <w:rsid w:val="00D459A2"/>
    <w:rsid w:val="00D530FF"/>
    <w:rsid w:val="00D53688"/>
    <w:rsid w:val="00D5407A"/>
    <w:rsid w:val="00D55656"/>
    <w:rsid w:val="00D57772"/>
    <w:rsid w:val="00D62128"/>
    <w:rsid w:val="00D70472"/>
    <w:rsid w:val="00D72AE3"/>
    <w:rsid w:val="00D75A4D"/>
    <w:rsid w:val="00D8478B"/>
    <w:rsid w:val="00D86151"/>
    <w:rsid w:val="00D9172D"/>
    <w:rsid w:val="00DA7595"/>
    <w:rsid w:val="00DB0A68"/>
    <w:rsid w:val="00DB3715"/>
    <w:rsid w:val="00DC24F3"/>
    <w:rsid w:val="00DC43A3"/>
    <w:rsid w:val="00DC4CF3"/>
    <w:rsid w:val="00DC5C01"/>
    <w:rsid w:val="00DD383E"/>
    <w:rsid w:val="00DD66E3"/>
    <w:rsid w:val="00DD7C09"/>
    <w:rsid w:val="00DE790D"/>
    <w:rsid w:val="00DF6DE8"/>
    <w:rsid w:val="00E0124F"/>
    <w:rsid w:val="00E03542"/>
    <w:rsid w:val="00E131D0"/>
    <w:rsid w:val="00E15F4E"/>
    <w:rsid w:val="00E25084"/>
    <w:rsid w:val="00E25E60"/>
    <w:rsid w:val="00E47E8D"/>
    <w:rsid w:val="00E561A3"/>
    <w:rsid w:val="00E6417B"/>
    <w:rsid w:val="00E674D3"/>
    <w:rsid w:val="00E70FD0"/>
    <w:rsid w:val="00E727DD"/>
    <w:rsid w:val="00E77C4B"/>
    <w:rsid w:val="00E84028"/>
    <w:rsid w:val="00E871AA"/>
    <w:rsid w:val="00E87D7E"/>
    <w:rsid w:val="00E9301F"/>
    <w:rsid w:val="00E9690A"/>
    <w:rsid w:val="00E97DC7"/>
    <w:rsid w:val="00EA0C18"/>
    <w:rsid w:val="00EA1B75"/>
    <w:rsid w:val="00EA26A3"/>
    <w:rsid w:val="00EB72B4"/>
    <w:rsid w:val="00EF0A25"/>
    <w:rsid w:val="00EF1D71"/>
    <w:rsid w:val="00F000EF"/>
    <w:rsid w:val="00F23B6D"/>
    <w:rsid w:val="00F2504E"/>
    <w:rsid w:val="00F2585B"/>
    <w:rsid w:val="00F4053F"/>
    <w:rsid w:val="00F4162C"/>
    <w:rsid w:val="00F516E7"/>
    <w:rsid w:val="00F5673C"/>
    <w:rsid w:val="00F57BF7"/>
    <w:rsid w:val="00F6263E"/>
    <w:rsid w:val="00F627C2"/>
    <w:rsid w:val="00F63759"/>
    <w:rsid w:val="00F84067"/>
    <w:rsid w:val="00F9328C"/>
    <w:rsid w:val="00FA0834"/>
    <w:rsid w:val="00FA4E70"/>
    <w:rsid w:val="00FA50B4"/>
    <w:rsid w:val="00FB680B"/>
    <w:rsid w:val="00FC1253"/>
    <w:rsid w:val="00FC156A"/>
    <w:rsid w:val="00FD3CD4"/>
    <w:rsid w:val="00FD6235"/>
    <w:rsid w:val="00FE3DE5"/>
    <w:rsid w:val="00FE4812"/>
    <w:rsid w:val="00FF48C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672F"/>
  <w15:docId w15:val="{EA9D6779-8880-4E35-A482-A13B942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paragraph" w:styleId="Date">
    <w:name w:val="Date"/>
    <w:basedOn w:val="Normal"/>
    <w:next w:val="Normal"/>
    <w:link w:val="DateChar"/>
    <w:rsid w:val="00007FC0"/>
  </w:style>
  <w:style w:type="character" w:customStyle="1" w:styleId="DateChar">
    <w:name w:val="Date Char"/>
    <w:basedOn w:val="DefaultParagraphFont"/>
    <w:link w:val="Date"/>
    <w:rsid w:val="00007FC0"/>
    <w:rPr>
      <w:rFonts w:eastAsia="BatangChe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6D27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26D27"/>
    <w:rPr>
      <w:rFonts w:ascii="Calibri" w:eastAsiaTheme="minorEastAsia" w:hAnsi="Calibri"/>
      <w:sz w:val="22"/>
      <w:szCs w:val="22"/>
    </w:rPr>
  </w:style>
  <w:style w:type="paragraph" w:customStyle="1" w:styleId="Default">
    <w:name w:val="Default"/>
    <w:rsid w:val="00FF74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E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be.Muneo@cj.MitsubishiElectric.co.j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t.int/sites/default/files/2018/03/APG19-3-OUT-01_Meeting_Report_Adhoc_Plena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E725-9F48-41CA-B77C-0EB6A716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5</cp:revision>
  <cp:lastPrinted>2015-02-02T07:28:00Z</cp:lastPrinted>
  <dcterms:created xsi:type="dcterms:W3CDTF">2018-03-16T08:17:00Z</dcterms:created>
  <dcterms:modified xsi:type="dcterms:W3CDTF">2018-03-20T03:19:00Z</dcterms:modified>
</cp:coreProperties>
</file>