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7D7378">
        <w:trPr>
          <w:cantSplit/>
        </w:trPr>
        <w:tc>
          <w:tcPr>
            <w:tcW w:w="1399" w:type="dxa"/>
            <w:vMerge w:val="restart"/>
          </w:tcPr>
          <w:p w14:paraId="41AAFC28" w14:textId="77777777" w:rsidR="00CF3963" w:rsidRPr="00441526"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7D7378">
            <w:r w:rsidRPr="00441526">
              <w:t>ASIA-PACIFIC TELECOMMUNITY</w:t>
            </w:r>
          </w:p>
        </w:tc>
        <w:tc>
          <w:tcPr>
            <w:tcW w:w="2700" w:type="dxa"/>
          </w:tcPr>
          <w:p w14:paraId="0D82F459" w14:textId="6A16F1E2" w:rsidR="00CF3963" w:rsidRPr="00441526" w:rsidRDefault="00CF3963" w:rsidP="007D7378">
            <w:pPr>
              <w:rPr>
                <w:b/>
                <w:bCs/>
                <w:lang w:val="fr-FR"/>
              </w:rPr>
            </w:pPr>
            <w:r w:rsidRPr="00441526">
              <w:rPr>
                <w:b/>
                <w:lang w:val="fr-FR"/>
              </w:rPr>
              <w:t>Document</w:t>
            </w:r>
            <w:r w:rsidR="00A324FF">
              <w:rPr>
                <w:b/>
                <w:lang w:val="fr-FR"/>
              </w:rPr>
              <w:t xml:space="preserve"> No</w:t>
            </w:r>
            <w:r w:rsidRPr="00441526">
              <w:rPr>
                <w:b/>
                <w:lang w:val="fr-FR"/>
              </w:rPr>
              <w:t xml:space="preserve">: </w:t>
            </w:r>
          </w:p>
        </w:tc>
      </w:tr>
      <w:tr w:rsidR="00CF3963" w:rsidRPr="00441526" w14:paraId="448FBFF1" w14:textId="77777777" w:rsidTr="007D7378">
        <w:trPr>
          <w:cantSplit/>
        </w:trPr>
        <w:tc>
          <w:tcPr>
            <w:tcW w:w="1399" w:type="dxa"/>
            <w:vMerge/>
          </w:tcPr>
          <w:p w14:paraId="29C3EF27" w14:textId="77777777" w:rsidR="00CF3963" w:rsidRPr="00441526" w:rsidRDefault="00CF3963" w:rsidP="007D7378"/>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79829DD9" w:rsidR="00CF3963" w:rsidRPr="00441526" w:rsidRDefault="00CF3963" w:rsidP="002A0111">
            <w:pPr>
              <w:rPr>
                <w:b/>
                <w:bCs/>
                <w:lang w:val="fr-FR"/>
              </w:rPr>
            </w:pPr>
            <w:r w:rsidRPr="00441526">
              <w:rPr>
                <w:b/>
                <w:bCs/>
                <w:lang w:val="fr-FR"/>
              </w:rPr>
              <w:t>APG19-</w:t>
            </w:r>
            <w:r w:rsidR="00393DCD" w:rsidRPr="00441526">
              <w:rPr>
                <w:b/>
                <w:bCs/>
                <w:lang w:val="fr-FR"/>
              </w:rPr>
              <w:t>3</w:t>
            </w:r>
            <w:r w:rsidRPr="00441526">
              <w:rPr>
                <w:b/>
                <w:bCs/>
                <w:lang w:val="fr-FR"/>
              </w:rPr>
              <w:t>/</w:t>
            </w:r>
            <w:r w:rsidR="009B4B1C">
              <w:rPr>
                <w:b/>
                <w:bCs/>
                <w:lang w:val="fr-FR"/>
              </w:rPr>
              <w:t>OUT</w:t>
            </w:r>
            <w:r w:rsidR="00311E8A" w:rsidRPr="00441526">
              <w:rPr>
                <w:b/>
                <w:bCs/>
                <w:lang w:val="fr-FR"/>
              </w:rPr>
              <w:t>-</w:t>
            </w:r>
            <w:r w:rsidR="009B4B1C">
              <w:rPr>
                <w:b/>
                <w:bCs/>
                <w:lang w:val="fr-FR"/>
              </w:rPr>
              <w:t>20</w:t>
            </w:r>
          </w:p>
        </w:tc>
      </w:tr>
      <w:tr w:rsidR="00CF3963" w:rsidRPr="00441526" w14:paraId="53A9E6D1" w14:textId="77777777" w:rsidTr="007D7378">
        <w:trPr>
          <w:cantSplit/>
          <w:trHeight w:val="219"/>
        </w:trPr>
        <w:tc>
          <w:tcPr>
            <w:tcW w:w="1399" w:type="dxa"/>
            <w:vMerge/>
          </w:tcPr>
          <w:p w14:paraId="59C3513F" w14:textId="77777777" w:rsidR="00CF3963" w:rsidRPr="00441526" w:rsidRDefault="00CF3963" w:rsidP="007D7378">
            <w:pPr>
              <w:rPr>
                <w:lang w:val="fr-FR"/>
              </w:rPr>
            </w:pPr>
          </w:p>
        </w:tc>
        <w:tc>
          <w:tcPr>
            <w:tcW w:w="5720" w:type="dxa"/>
          </w:tcPr>
          <w:p w14:paraId="3510CFC7" w14:textId="772C4D3C" w:rsidR="00CF3963" w:rsidRPr="00441526" w:rsidRDefault="00CF3963" w:rsidP="00393DCD">
            <w:r w:rsidRPr="00441526">
              <w:t>1</w:t>
            </w:r>
            <w:r w:rsidR="00393DCD" w:rsidRPr="00441526">
              <w:t>2</w:t>
            </w:r>
            <w:r w:rsidRPr="00441526">
              <w:t xml:space="preserve"> – 1</w:t>
            </w:r>
            <w:r w:rsidR="00A324FF">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142ECD74" w:rsidR="00CF3963" w:rsidRPr="00441526" w:rsidRDefault="009B4B1C" w:rsidP="00393DCD">
            <w:pPr>
              <w:rPr>
                <w:b/>
              </w:rPr>
            </w:pPr>
            <w:r>
              <w:rPr>
                <w:b/>
              </w:rPr>
              <w:t>16</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A324FF" w:rsidRDefault="00D13D9D" w:rsidP="00DA7595">
      <w:pPr>
        <w:rPr>
          <w:lang w:val="en-NZ" w:eastAsia="ko-KR"/>
        </w:rPr>
      </w:pPr>
    </w:p>
    <w:p w14:paraId="7DE0A182" w14:textId="77777777" w:rsidR="00311E8A" w:rsidRPr="00A324FF" w:rsidRDefault="00311E8A" w:rsidP="0072518B">
      <w:pPr>
        <w:jc w:val="center"/>
        <w:rPr>
          <w:lang w:val="en-NZ"/>
        </w:rPr>
      </w:pPr>
    </w:p>
    <w:p w14:paraId="2E0E6744" w14:textId="499A460F" w:rsidR="00B64A60" w:rsidRPr="002A0111" w:rsidRDefault="00CF3304" w:rsidP="00B64A60">
      <w:pPr>
        <w:jc w:val="center"/>
        <w:rPr>
          <w:lang w:val="en-NZ" w:eastAsia="ko-KR"/>
        </w:rPr>
      </w:pPr>
      <w:r>
        <w:rPr>
          <w:lang w:val="en-NZ" w:eastAsia="ko-KR"/>
        </w:rPr>
        <w:t>Working Party 4</w:t>
      </w:r>
    </w:p>
    <w:p w14:paraId="2E0E6745" w14:textId="77777777" w:rsidR="00B64A60" w:rsidRPr="002A0111" w:rsidRDefault="00B64A60" w:rsidP="00B64A60">
      <w:pPr>
        <w:jc w:val="center"/>
        <w:rPr>
          <w:bCs/>
          <w:caps/>
          <w:lang w:val="en-NZ"/>
        </w:rPr>
      </w:pPr>
    </w:p>
    <w:p w14:paraId="2E0E6746" w14:textId="6AE4F1B9" w:rsidR="00B64A60" w:rsidRPr="00441526" w:rsidRDefault="00B64A60" w:rsidP="00B64A60">
      <w:pPr>
        <w:jc w:val="center"/>
        <w:rPr>
          <w:b/>
          <w:bCs/>
          <w:caps/>
          <w:lang w:val="en-NZ"/>
        </w:rPr>
      </w:pPr>
      <w:r w:rsidRPr="00441526">
        <w:rPr>
          <w:b/>
          <w:bCs/>
          <w:caps/>
          <w:lang w:val="en-NZ"/>
        </w:rPr>
        <w:t>PRELIMINARY VIEWs on WRC-19 agenda item 1.</w:t>
      </w:r>
      <w:r w:rsidR="009C29EE">
        <w:rPr>
          <w:b/>
          <w:bCs/>
          <w:caps/>
          <w:lang w:val="en-NZ"/>
        </w:rPr>
        <w:t>7</w:t>
      </w:r>
      <w:r w:rsidR="002A0111">
        <w:rPr>
          <w:b/>
          <w:bCs/>
          <w:caps/>
          <w:lang w:val="en-NZ"/>
        </w:rPr>
        <w:t xml:space="preserve"> </w:t>
      </w:r>
    </w:p>
    <w:p w14:paraId="2E0E6747" w14:textId="77777777" w:rsidR="00B64A60" w:rsidRPr="00441526" w:rsidRDefault="00B64A60" w:rsidP="00264566">
      <w:pPr>
        <w:spacing w:after="120"/>
        <w:rPr>
          <w:lang w:val="en-NZ"/>
        </w:rPr>
      </w:pPr>
    </w:p>
    <w:p w14:paraId="62F94C58" w14:textId="559A0D20" w:rsidR="002A0111" w:rsidRPr="00441526" w:rsidRDefault="002A0111" w:rsidP="002A0111">
      <w:pPr>
        <w:spacing w:after="120"/>
        <w:jc w:val="both"/>
        <w:rPr>
          <w:lang w:val="en-NZ"/>
        </w:rPr>
      </w:pPr>
      <w:r w:rsidRPr="00441526">
        <w:rPr>
          <w:b/>
          <w:lang w:val="en-NZ"/>
        </w:rPr>
        <w:t>Agenda Item 1.</w:t>
      </w:r>
      <w:r w:rsidR="009C29EE">
        <w:rPr>
          <w:b/>
          <w:lang w:val="en-NZ"/>
        </w:rPr>
        <w:t>7</w:t>
      </w:r>
      <w:r w:rsidRPr="00441526">
        <w:rPr>
          <w:b/>
          <w:lang w:val="en-NZ"/>
        </w:rPr>
        <w:t xml:space="preserve">: </w:t>
      </w:r>
    </w:p>
    <w:p w14:paraId="10F2C295" w14:textId="44942CBE" w:rsidR="002A0111" w:rsidRPr="00441526" w:rsidRDefault="009C29EE" w:rsidP="002A0111">
      <w:pPr>
        <w:spacing w:after="120"/>
        <w:jc w:val="both"/>
        <w:rPr>
          <w:i/>
          <w:lang w:val="en-NZ"/>
        </w:rPr>
      </w:pPr>
      <w:r w:rsidRPr="009C29EE">
        <w:rPr>
          <w:i/>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9C29EE">
        <w:rPr>
          <w:b/>
          <w:i/>
        </w:rPr>
        <w:t>659 (WRC-15)</w:t>
      </w:r>
      <w:r w:rsidRPr="009C29EE">
        <w:rPr>
          <w:i/>
        </w:rPr>
        <w:t>;</w:t>
      </w:r>
    </w:p>
    <w:p w14:paraId="7F30BAE6" w14:textId="77777777" w:rsidR="0038717A" w:rsidRDefault="0038717A" w:rsidP="002A0111">
      <w:pPr>
        <w:spacing w:after="120"/>
        <w:jc w:val="both"/>
        <w:rPr>
          <w:b/>
          <w:lang w:val="en-NZ" w:eastAsia="ko-KR"/>
        </w:rPr>
      </w:pPr>
    </w:p>
    <w:p w14:paraId="72D2656A"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6BF3F75F" w14:textId="77777777" w:rsidR="009C29EE" w:rsidRPr="009C29EE" w:rsidRDefault="009C29EE" w:rsidP="009C29EE">
      <w:pPr>
        <w:jc w:val="both"/>
        <w:rPr>
          <w:lang w:val="en-NZ"/>
        </w:rPr>
      </w:pPr>
      <w:r w:rsidRPr="009C29EE">
        <w:rPr>
          <w:lang w:val="en-NZ"/>
        </w:rPr>
        <w:t xml:space="preserve">The need for more spectrum dedicated to telemetry, tracking and command (TT&amp;C) requirement, particularly for small satellites operating in non-geostationary orbit (non-GSO), was considered at WRC-15. </w:t>
      </w:r>
    </w:p>
    <w:p w14:paraId="0965E609" w14:textId="77777777" w:rsidR="009C29EE" w:rsidRPr="009C29EE" w:rsidRDefault="009C29EE" w:rsidP="009C29EE">
      <w:pPr>
        <w:jc w:val="both"/>
      </w:pPr>
      <w:r w:rsidRPr="009C29EE">
        <w:t xml:space="preserve">Resolution </w:t>
      </w:r>
      <w:r w:rsidRPr="009C29EE">
        <w:rPr>
          <w:b/>
          <w:bCs/>
        </w:rPr>
        <w:t>659 (WRC-15)</w:t>
      </w:r>
      <w:r w:rsidRPr="009C29EE">
        <w:t xml:space="preserve"> calls to study the spectrum needs for telemetry, tracking and command in the space operation service for NGSO satellites with short duration missions, to assess the suitability of existing allocations to the space operation service and, if necessary, to consider new allocations.</w:t>
      </w:r>
      <w:r w:rsidRPr="009C29EE">
        <w:rPr>
          <w:lang w:val="en-NZ"/>
        </w:rPr>
        <w:t xml:space="preserve"> Typical short duration missions are understood in this context to have a maximum lifetime of three years. </w:t>
      </w:r>
    </w:p>
    <w:p w14:paraId="253697C0" w14:textId="77777777" w:rsidR="009C29EE" w:rsidRPr="009C29EE" w:rsidRDefault="009C29EE" w:rsidP="009C29EE">
      <w:pPr>
        <w:jc w:val="both"/>
      </w:pPr>
      <w:r w:rsidRPr="009C29EE">
        <w:t xml:space="preserve">Resolution </w:t>
      </w:r>
      <w:r w:rsidRPr="009C29EE">
        <w:rPr>
          <w:b/>
          <w:bCs/>
        </w:rPr>
        <w:t>659</w:t>
      </w:r>
      <w:r w:rsidRPr="009C29EE">
        <w:t xml:space="preserve"> </w:t>
      </w:r>
      <w:r w:rsidRPr="009C29EE">
        <w:rPr>
          <w:b/>
        </w:rPr>
        <w:t>(WRC-15)</w:t>
      </w:r>
      <w:r w:rsidRPr="009C29EE">
        <w:t xml:space="preserve"> invites ITU-R:</w:t>
      </w:r>
    </w:p>
    <w:p w14:paraId="3A68683B" w14:textId="77777777" w:rsidR="009C29EE" w:rsidRPr="009C29EE" w:rsidRDefault="009C29EE" w:rsidP="009C29EE">
      <w:pPr>
        <w:jc w:val="both"/>
      </w:pPr>
      <w:r w:rsidRPr="009C29EE">
        <w:t>1</w:t>
      </w:r>
      <w:r w:rsidRPr="009C29EE">
        <w:tab/>
        <w:t xml:space="preserve">to study the spectrum requirements for telemetry, tracking and command in the space operation service for the growing number of non-GSO satellites with short duration missions, taking into account RR No. </w:t>
      </w:r>
      <w:r w:rsidRPr="009C29EE">
        <w:rPr>
          <w:b/>
        </w:rPr>
        <w:t>1.23</w:t>
      </w:r>
      <w:r w:rsidRPr="009C29EE">
        <w:t>;</w:t>
      </w:r>
    </w:p>
    <w:p w14:paraId="52738436" w14:textId="77777777" w:rsidR="009C29EE" w:rsidRPr="009C29EE" w:rsidRDefault="009C29EE" w:rsidP="009C29EE">
      <w:pPr>
        <w:jc w:val="both"/>
      </w:pPr>
      <w:r w:rsidRPr="009C29EE">
        <w:t>2</w:t>
      </w:r>
      <w:r w:rsidRPr="009C29EE">
        <w:tab/>
        <w:t xml:space="preserve">to assess the suitability of existing allocations to the space operation service in the </w:t>
      </w:r>
      <w:proofErr w:type="gramStart"/>
      <w:r w:rsidRPr="009C29EE">
        <w:t>frequency</w:t>
      </w:r>
      <w:proofErr w:type="gramEnd"/>
      <w:r w:rsidRPr="009C29EE">
        <w:t xml:space="preserve"> range below 1 GHz, taking into account current use and that the existing allocations to the space operation service below 1 GHz, where RR No. </w:t>
      </w:r>
      <w:r w:rsidRPr="009C29EE">
        <w:rPr>
          <w:b/>
        </w:rPr>
        <w:t>9.21</w:t>
      </w:r>
      <w:r w:rsidRPr="009C29EE">
        <w:t xml:space="preserve"> applies, are not suitable for non-GSO satellites with short duration missions. </w:t>
      </w:r>
    </w:p>
    <w:p w14:paraId="34A3F139" w14:textId="77777777" w:rsidR="009C29EE" w:rsidRPr="009C29EE" w:rsidRDefault="009C29EE" w:rsidP="009C29EE">
      <w:pPr>
        <w:jc w:val="both"/>
      </w:pPr>
      <w:r w:rsidRPr="009C29EE">
        <w:t>3</w:t>
      </w:r>
      <w:r w:rsidRPr="009C29EE">
        <w:tab/>
        <w:t xml:space="preserve">if studies of the current allocations to the space operations service indicate that requirements cannot be met under </w:t>
      </w:r>
      <w:r w:rsidRPr="009C29EE">
        <w:rPr>
          <w:i/>
        </w:rPr>
        <w:t>invites ITU-R</w:t>
      </w:r>
      <w:r w:rsidRPr="009C29EE">
        <w:t xml:space="preserve">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w:t>
      </w:r>
      <w:r w:rsidRPr="009C29EE">
        <w:noBreakHyphen/>
        <w:t>420MHz.</w:t>
      </w:r>
    </w:p>
    <w:p w14:paraId="4DA39B33" w14:textId="7A764780" w:rsidR="009C29EE" w:rsidRPr="009C29EE" w:rsidRDefault="009C29EE" w:rsidP="003E2239">
      <w:pPr>
        <w:spacing w:before="120" w:after="120"/>
        <w:jc w:val="both"/>
        <w:rPr>
          <w:b/>
          <w:lang w:val="en-AU"/>
        </w:rPr>
      </w:pPr>
      <w:r w:rsidRPr="009C29EE">
        <w:rPr>
          <w:b/>
          <w:lang w:val="en-AU"/>
        </w:rPr>
        <w:t>Progress of ITU-R ongo</w:t>
      </w:r>
      <w:r>
        <w:rPr>
          <w:b/>
          <w:lang w:val="en-AU"/>
        </w:rPr>
        <w:t>ing study</w:t>
      </w:r>
    </w:p>
    <w:p w14:paraId="5FD7BB99" w14:textId="66330B9D" w:rsidR="00723979" w:rsidRDefault="009C29EE" w:rsidP="009C29EE">
      <w:pPr>
        <w:jc w:val="both"/>
        <w:rPr>
          <w:bCs/>
        </w:rPr>
      </w:pPr>
      <w:r w:rsidRPr="009C29EE">
        <w:rPr>
          <w:iCs/>
          <w:lang w:val="en-GB"/>
        </w:rPr>
        <w:t xml:space="preserve">A working document towards a preliminary draft new Report ITU-R SA.[SHORT DURATION NGSO] </w:t>
      </w:r>
      <w:r w:rsidRPr="009C29EE">
        <w:rPr>
          <w:lang w:val="en-GB"/>
        </w:rPr>
        <w:t>was developed in the April 2016 meetings of WP 7B which compiled elements related to background on WRC-19 agenda item </w:t>
      </w:r>
      <w:r w:rsidRPr="009C29EE">
        <w:rPr>
          <w:b/>
          <w:lang w:val="en-GB"/>
        </w:rPr>
        <w:t>1.7</w:t>
      </w:r>
      <w:r w:rsidRPr="009C29EE">
        <w:rPr>
          <w:lang w:val="en-GB"/>
        </w:rPr>
        <w:t xml:space="preserve">. </w:t>
      </w:r>
      <w:r w:rsidRPr="009C29EE">
        <w:rPr>
          <w:bCs/>
          <w:lang w:val="en-GB"/>
        </w:rPr>
        <w:t>At the subsequent October 2016 meetings of WP 7B</w:t>
      </w:r>
      <w:r w:rsidRPr="009C29EE">
        <w:rPr>
          <w:lang w:val="en-GB"/>
        </w:rPr>
        <w:t xml:space="preserve">, </w:t>
      </w:r>
      <w:r w:rsidRPr="009C29EE">
        <w:rPr>
          <w:bCs/>
        </w:rPr>
        <w:t>the working document was split into three separate PDN</w:t>
      </w:r>
      <w:r w:rsidRPr="009C29EE">
        <w:rPr>
          <w:rFonts w:hint="eastAsia"/>
          <w:bCs/>
        </w:rPr>
        <w:t xml:space="preserve"> </w:t>
      </w:r>
      <w:r w:rsidRPr="009C29EE">
        <w:rPr>
          <w:bCs/>
        </w:rPr>
        <w:t xml:space="preserve">Reports in the interest of improving document clarity and work efficiency. At the April 2017 meetings of </w:t>
      </w:r>
      <w:r w:rsidRPr="009C29EE">
        <w:rPr>
          <w:bCs/>
          <w:lang w:val="en-GB"/>
        </w:rPr>
        <w:t>WP 7B,</w:t>
      </w:r>
      <w:r w:rsidRPr="009C29EE">
        <w:rPr>
          <w:bCs/>
        </w:rPr>
        <w:t xml:space="preserve"> output documents were produced: four draft Reports and the draft CPM Text</w:t>
      </w:r>
      <w:r w:rsidR="00723979">
        <w:rPr>
          <w:bCs/>
        </w:rPr>
        <w:t xml:space="preserve">. At the </w:t>
      </w:r>
      <w:r w:rsidR="00723979" w:rsidRPr="00723979">
        <w:rPr>
          <w:bCs/>
        </w:rPr>
        <w:t>October 2017</w:t>
      </w:r>
      <w:r w:rsidR="00723979">
        <w:rPr>
          <w:bCs/>
        </w:rPr>
        <w:t xml:space="preserve"> meeting </w:t>
      </w:r>
      <w:r w:rsidR="00CF6A79">
        <w:rPr>
          <w:bCs/>
        </w:rPr>
        <w:t xml:space="preserve">of </w:t>
      </w:r>
      <w:r w:rsidR="00CF6A79" w:rsidRPr="00CF6A79">
        <w:rPr>
          <w:bCs/>
          <w:lang w:val="en-GB"/>
        </w:rPr>
        <w:t xml:space="preserve">WP </w:t>
      </w:r>
      <w:r w:rsidR="00CF6A79" w:rsidRPr="00CF6A79">
        <w:rPr>
          <w:bCs/>
          <w:lang w:val="en-GB"/>
        </w:rPr>
        <w:lastRenderedPageBreak/>
        <w:t>7B</w:t>
      </w:r>
      <w:r w:rsidR="00282046">
        <w:rPr>
          <w:bCs/>
        </w:rPr>
        <w:t xml:space="preserve">, the </w:t>
      </w:r>
      <w:r w:rsidR="00723979" w:rsidRPr="00723979">
        <w:rPr>
          <w:bCs/>
        </w:rPr>
        <w:t>seven output documents</w:t>
      </w:r>
      <w:r w:rsidR="00282046">
        <w:rPr>
          <w:bCs/>
        </w:rPr>
        <w:t xml:space="preserve"> </w:t>
      </w:r>
      <w:r w:rsidR="00282046" w:rsidRPr="00282046">
        <w:rPr>
          <w:bCs/>
        </w:rPr>
        <w:t>produced</w:t>
      </w:r>
      <w:r w:rsidR="00723979" w:rsidRPr="00723979">
        <w:rPr>
          <w:bCs/>
        </w:rPr>
        <w:t>: a work plan, three Reports, draft CPM Text, and two liaison statements</w:t>
      </w:r>
      <w:r w:rsidR="00282046">
        <w:rPr>
          <w:bCs/>
        </w:rPr>
        <w:t>:</w:t>
      </w:r>
    </w:p>
    <w:p w14:paraId="2A576BFB" w14:textId="60036430" w:rsidR="00282046" w:rsidRPr="00282046" w:rsidRDefault="00282046" w:rsidP="00282046">
      <w:pPr>
        <w:pStyle w:val="ListParagraph"/>
        <w:numPr>
          <w:ilvl w:val="0"/>
          <w:numId w:val="27"/>
        </w:numPr>
        <w:jc w:val="both"/>
        <w:rPr>
          <w:bCs/>
          <w:lang w:val="en-GB"/>
        </w:rPr>
      </w:pPr>
      <w:r w:rsidRPr="00282046">
        <w:rPr>
          <w:bCs/>
          <w:lang w:val="en-GB"/>
        </w:rPr>
        <w:t>Draft new Report ITU-R SA</w:t>
      </w:r>
      <w:proofErr w:type="gramStart"/>
      <w:r w:rsidRPr="00282046">
        <w:rPr>
          <w:bCs/>
          <w:lang w:val="en-GB"/>
        </w:rPr>
        <w:t>.[</w:t>
      </w:r>
      <w:proofErr w:type="gramEnd"/>
      <w:r w:rsidRPr="00282046">
        <w:rPr>
          <w:bCs/>
          <w:lang w:val="en-GB"/>
        </w:rPr>
        <w:t>SHORT DURATION NGSO – CHARACTERISTICS] (Doc. </w:t>
      </w:r>
      <w:hyperlink r:id="rId9" w:history="1">
        <w:r w:rsidRPr="00282046">
          <w:rPr>
            <w:rStyle w:val="Hyperlink"/>
            <w:bCs/>
            <w:lang w:val="en-GB"/>
          </w:rPr>
          <w:t>7/73</w:t>
        </w:r>
      </w:hyperlink>
      <w:r w:rsidRPr="00282046">
        <w:rPr>
          <w:bCs/>
          <w:lang w:val="en-GB"/>
        </w:rPr>
        <w:t xml:space="preserve">) was completed during WP 7B’s October 2017 meeting and has been forwarded to SG 7’s meeting in September 2018 for approval. </w:t>
      </w:r>
    </w:p>
    <w:p w14:paraId="76D6459C" w14:textId="540DFF34" w:rsidR="00282046" w:rsidRPr="00282046" w:rsidRDefault="00282046" w:rsidP="00282046">
      <w:pPr>
        <w:pStyle w:val="ListParagraph"/>
        <w:numPr>
          <w:ilvl w:val="0"/>
          <w:numId w:val="27"/>
        </w:numPr>
        <w:jc w:val="both"/>
        <w:rPr>
          <w:bCs/>
          <w:lang w:val="en-GB"/>
        </w:rPr>
      </w:pPr>
      <w:r w:rsidRPr="00282046">
        <w:rPr>
          <w:bCs/>
          <w:lang w:val="en-GB"/>
        </w:rPr>
        <w:t>Draft new Report ITU-R SA</w:t>
      </w:r>
      <w:proofErr w:type="gramStart"/>
      <w:r w:rsidRPr="00282046">
        <w:rPr>
          <w:bCs/>
          <w:lang w:val="en-GB"/>
        </w:rPr>
        <w:t>.[</w:t>
      </w:r>
      <w:proofErr w:type="gramEnd"/>
      <w:r w:rsidRPr="00282046">
        <w:rPr>
          <w:bCs/>
          <w:lang w:val="en-GB"/>
        </w:rPr>
        <w:t>SHORT DURATION NGSO – REQUIREMENTS] (Doc. </w:t>
      </w:r>
      <w:hyperlink r:id="rId10" w:history="1">
        <w:r w:rsidRPr="00282046">
          <w:rPr>
            <w:rStyle w:val="Hyperlink"/>
            <w:bCs/>
            <w:lang w:val="en-GB"/>
          </w:rPr>
          <w:t>7/72</w:t>
        </w:r>
      </w:hyperlink>
      <w:r w:rsidRPr="00282046">
        <w:rPr>
          <w:bCs/>
          <w:lang w:val="en-GB"/>
        </w:rPr>
        <w:t>) was completed during WP 7B’s October 2017 meeting and has been forwarded to SG 7’s meeting in September 2018 for approval.</w:t>
      </w:r>
    </w:p>
    <w:p w14:paraId="1539722D" w14:textId="380455D1" w:rsidR="00282046" w:rsidRPr="00282046" w:rsidRDefault="00282046" w:rsidP="00282046">
      <w:pPr>
        <w:pStyle w:val="ListParagraph"/>
        <w:numPr>
          <w:ilvl w:val="0"/>
          <w:numId w:val="27"/>
        </w:numPr>
        <w:jc w:val="both"/>
        <w:rPr>
          <w:bCs/>
          <w:lang w:val="en-GB"/>
        </w:rPr>
      </w:pPr>
      <w:r w:rsidRPr="00282046">
        <w:rPr>
          <w:bCs/>
          <w:lang w:val="en-GB"/>
        </w:rPr>
        <w:t>Preliminary draft new Report ITU-R SA</w:t>
      </w:r>
      <w:proofErr w:type="gramStart"/>
      <w:r w:rsidRPr="00282046">
        <w:rPr>
          <w:bCs/>
          <w:lang w:val="en-GB"/>
        </w:rPr>
        <w:t>.[</w:t>
      </w:r>
      <w:proofErr w:type="gramEnd"/>
      <w:r w:rsidRPr="00282046">
        <w:rPr>
          <w:bCs/>
          <w:lang w:val="en-GB"/>
        </w:rPr>
        <w:t>SHORT DURATION NGSO – SHARING STUDIES] (Doc. </w:t>
      </w:r>
      <w:hyperlink r:id="rId11" w:history="1">
        <w:r w:rsidRPr="00282046">
          <w:rPr>
            <w:rStyle w:val="Hyperlink"/>
            <w:bCs/>
            <w:lang w:val="en-GB"/>
          </w:rPr>
          <w:t>7B/238</w:t>
        </w:r>
      </w:hyperlink>
      <w:r w:rsidRPr="00282046">
        <w:rPr>
          <w:bCs/>
          <w:lang w:val="en-GB"/>
        </w:rPr>
        <w:t xml:space="preserve"> Annex 15) is intended to be completed during WP 7B’s meeting in May 2018; it is intended to be forwarded to SG 7’s meeting in September 2018 for approval.</w:t>
      </w:r>
    </w:p>
    <w:p w14:paraId="57DDEF9A" w14:textId="195D0A4B" w:rsidR="00282046" w:rsidRDefault="00282046" w:rsidP="00282046">
      <w:pPr>
        <w:pStyle w:val="ListParagraph"/>
        <w:numPr>
          <w:ilvl w:val="0"/>
          <w:numId w:val="27"/>
        </w:numPr>
        <w:jc w:val="both"/>
        <w:rPr>
          <w:bCs/>
          <w:lang w:val="en-GB"/>
        </w:rPr>
      </w:pPr>
      <w:r w:rsidRPr="00282046">
        <w:rPr>
          <w:bCs/>
          <w:lang w:val="en-GB"/>
        </w:rPr>
        <w:t xml:space="preserve">Draft CPM Text on WRC-19 agenda item 1.7 (Doc. </w:t>
      </w:r>
      <w:hyperlink r:id="rId12" w:history="1">
        <w:r w:rsidRPr="00282046">
          <w:rPr>
            <w:rStyle w:val="Hyperlink"/>
            <w:bCs/>
            <w:lang w:val="en-GB"/>
          </w:rPr>
          <w:t>7B/238</w:t>
        </w:r>
      </w:hyperlink>
      <w:r w:rsidRPr="00282046">
        <w:rPr>
          <w:bCs/>
          <w:lang w:val="en-GB"/>
        </w:rPr>
        <w:t xml:space="preserve"> Annex 5) is intended to be completed during WP 7B’s meeting in May 2018.</w:t>
      </w:r>
    </w:p>
    <w:p w14:paraId="5AC63119" w14:textId="77777777" w:rsidR="002A0111" w:rsidRPr="00441526" w:rsidRDefault="002A0111" w:rsidP="006734B2">
      <w:pPr>
        <w:spacing w:before="120" w:after="120"/>
        <w:jc w:val="both"/>
        <w:rPr>
          <w:b/>
          <w:lang w:val="en-NZ" w:eastAsia="ko-KR"/>
        </w:rPr>
      </w:pPr>
      <w:r w:rsidRPr="00441526">
        <w:rPr>
          <w:b/>
          <w:lang w:val="en-NZ" w:eastAsia="ko-KR"/>
        </w:rPr>
        <w:t xml:space="preserve">2. </w:t>
      </w:r>
      <w:r w:rsidRPr="00441526">
        <w:rPr>
          <w:b/>
          <w:lang w:val="en-NZ" w:eastAsia="ko-KR"/>
        </w:rPr>
        <w:tab/>
        <w:t>Documents</w:t>
      </w:r>
    </w:p>
    <w:p w14:paraId="7277458C" w14:textId="4A5FCA00" w:rsidR="009C29EE" w:rsidRPr="009C29EE" w:rsidRDefault="009C29EE" w:rsidP="009C29EE">
      <w:pPr>
        <w:numPr>
          <w:ilvl w:val="0"/>
          <w:numId w:val="18"/>
        </w:numPr>
        <w:ind w:leftChars="145" w:left="708"/>
        <w:jc w:val="both"/>
        <w:rPr>
          <w:lang w:val="en-NZ"/>
        </w:rPr>
      </w:pPr>
      <w:r w:rsidRPr="009C29EE">
        <w:rPr>
          <w:lang w:val="en-NZ"/>
        </w:rPr>
        <w:t>Input Documents</w:t>
      </w:r>
      <w:r w:rsidR="000122CE">
        <w:rPr>
          <w:lang w:val="en-NZ"/>
        </w:rPr>
        <w:t>:</w:t>
      </w:r>
      <w:r w:rsidRPr="009C29EE">
        <w:rPr>
          <w:lang w:val="en-NZ"/>
        </w:rPr>
        <w:t xml:space="preserve"> APG19-3/INP-</w:t>
      </w:r>
      <w:r w:rsidR="008C5462">
        <w:rPr>
          <w:lang w:val="en-NZ"/>
        </w:rPr>
        <w:t>20</w:t>
      </w:r>
      <w:r w:rsidRPr="009C29EE">
        <w:rPr>
          <w:lang w:val="en-NZ"/>
        </w:rPr>
        <w:t xml:space="preserve">(INS), </w:t>
      </w:r>
      <w:r>
        <w:rPr>
          <w:lang w:val="en-NZ"/>
        </w:rPr>
        <w:t>APG19-3</w:t>
      </w:r>
      <w:r w:rsidRPr="009C29EE">
        <w:rPr>
          <w:lang w:val="en-NZ"/>
        </w:rPr>
        <w:t>/INP-</w:t>
      </w:r>
      <w:r>
        <w:rPr>
          <w:lang w:val="en-NZ"/>
        </w:rPr>
        <w:t>24</w:t>
      </w:r>
      <w:r w:rsidRPr="009C29EE">
        <w:rPr>
          <w:lang w:val="en-NZ"/>
        </w:rPr>
        <w:t xml:space="preserve"> (KOR) , APG19-3/INP-</w:t>
      </w:r>
      <w:r>
        <w:rPr>
          <w:lang w:val="en-NZ"/>
        </w:rPr>
        <w:t>31</w:t>
      </w:r>
      <w:r w:rsidRPr="009C29EE">
        <w:rPr>
          <w:lang w:val="en-NZ"/>
        </w:rPr>
        <w:t xml:space="preserve"> (IRN), </w:t>
      </w:r>
      <w:r>
        <w:rPr>
          <w:lang w:val="en-NZ"/>
        </w:rPr>
        <w:t>APG19-3</w:t>
      </w:r>
      <w:r w:rsidRPr="009C29EE">
        <w:rPr>
          <w:lang w:val="en-NZ"/>
        </w:rPr>
        <w:t>/INP-</w:t>
      </w:r>
      <w:r>
        <w:rPr>
          <w:lang w:val="en-NZ"/>
        </w:rPr>
        <w:t>37</w:t>
      </w:r>
      <w:r w:rsidRPr="009C29EE">
        <w:rPr>
          <w:lang w:val="en-NZ"/>
        </w:rPr>
        <w:t xml:space="preserve"> (NZL), </w:t>
      </w:r>
      <w:r>
        <w:rPr>
          <w:lang w:val="en-NZ"/>
        </w:rPr>
        <w:t>APG19-3</w:t>
      </w:r>
      <w:r w:rsidRPr="009C29EE">
        <w:rPr>
          <w:lang w:val="en-NZ"/>
        </w:rPr>
        <w:t>/INP-</w:t>
      </w:r>
      <w:r>
        <w:rPr>
          <w:lang w:val="en-NZ"/>
        </w:rPr>
        <w:t>44</w:t>
      </w:r>
      <w:r w:rsidRPr="009C29EE">
        <w:rPr>
          <w:lang w:val="en-NZ"/>
        </w:rPr>
        <w:t xml:space="preserve"> (AUS), </w:t>
      </w:r>
      <w:r w:rsidR="000122CE" w:rsidRPr="000122CE">
        <w:rPr>
          <w:lang w:val="en-NZ"/>
        </w:rPr>
        <w:t>APG19-3/INP-52 (J)</w:t>
      </w:r>
      <w:r w:rsidR="000122CE">
        <w:rPr>
          <w:lang w:val="en-NZ"/>
        </w:rPr>
        <w:t xml:space="preserve">, </w:t>
      </w:r>
      <w:r w:rsidR="000122CE" w:rsidRPr="000122CE">
        <w:rPr>
          <w:lang w:val="en-NZ"/>
        </w:rPr>
        <w:t>APG19-3/INP-62 (THA)</w:t>
      </w:r>
      <w:r w:rsidR="000122CE">
        <w:rPr>
          <w:lang w:val="en-NZ"/>
        </w:rPr>
        <w:t xml:space="preserve">, </w:t>
      </w:r>
      <w:r>
        <w:rPr>
          <w:lang w:val="en-NZ"/>
        </w:rPr>
        <w:t>APG19-3</w:t>
      </w:r>
      <w:r w:rsidRPr="009C29EE">
        <w:rPr>
          <w:lang w:val="en-NZ"/>
        </w:rPr>
        <w:t>/INP-</w:t>
      </w:r>
      <w:r w:rsidR="000122CE">
        <w:rPr>
          <w:lang w:val="en-NZ"/>
        </w:rPr>
        <w:t>89</w:t>
      </w:r>
      <w:r w:rsidRPr="009C29EE">
        <w:rPr>
          <w:lang w:val="en-NZ"/>
        </w:rPr>
        <w:t xml:space="preserve"> (CHN). </w:t>
      </w:r>
    </w:p>
    <w:p w14:paraId="64B4138D" w14:textId="7DD9722F" w:rsidR="009C29EE" w:rsidRPr="009C29EE" w:rsidRDefault="009C29EE" w:rsidP="009C29EE">
      <w:pPr>
        <w:numPr>
          <w:ilvl w:val="0"/>
          <w:numId w:val="18"/>
        </w:numPr>
        <w:ind w:leftChars="145" w:left="708"/>
        <w:jc w:val="both"/>
        <w:rPr>
          <w:lang w:val="en-NZ"/>
        </w:rPr>
      </w:pPr>
      <w:r w:rsidRPr="009C29EE">
        <w:rPr>
          <w:lang w:val="en-NZ"/>
        </w:rPr>
        <w:t>Information Documents</w:t>
      </w:r>
      <w:r w:rsidR="000122CE">
        <w:rPr>
          <w:lang w:val="en-NZ"/>
        </w:rPr>
        <w:t>:</w:t>
      </w:r>
      <w:r w:rsidRPr="009C29EE">
        <w:rPr>
          <w:lang w:val="en-NZ"/>
        </w:rPr>
        <w:t xml:space="preserve"> </w:t>
      </w:r>
      <w:hyperlink r:id="rId13" w:tgtFrame="_blank" w:history="1">
        <w:r w:rsidR="001C253E" w:rsidRPr="001C09E8">
          <w:rPr>
            <w:lang w:val="en-NZ"/>
          </w:rPr>
          <w:t>APG19-2/OUT-39(Rev.1)</w:t>
        </w:r>
      </w:hyperlink>
      <w:r w:rsidR="00CF6A79">
        <w:rPr>
          <w:lang w:val="en-GB"/>
        </w:rPr>
        <w:t xml:space="preserve">, </w:t>
      </w:r>
      <w:r w:rsidR="000122CE" w:rsidRPr="000122CE">
        <w:rPr>
          <w:lang w:val="en-NZ"/>
        </w:rPr>
        <w:t>APG19-3/INF-</w:t>
      </w:r>
      <w:r w:rsidR="000122CE">
        <w:rPr>
          <w:lang w:val="en-NZ"/>
        </w:rPr>
        <w:t>06</w:t>
      </w:r>
      <w:r w:rsidR="000122CE" w:rsidRPr="000122CE">
        <w:rPr>
          <w:lang w:val="en-NZ"/>
        </w:rPr>
        <w:t xml:space="preserve"> (CEPT)</w:t>
      </w:r>
      <w:r w:rsidRPr="009C29EE">
        <w:rPr>
          <w:lang w:val="en-NZ"/>
        </w:rPr>
        <w:t xml:space="preserve">, </w:t>
      </w:r>
      <w:r>
        <w:rPr>
          <w:lang w:val="en-NZ"/>
        </w:rPr>
        <w:t>APG19-3</w:t>
      </w:r>
      <w:r w:rsidRPr="009C29EE">
        <w:rPr>
          <w:lang w:val="en-NZ"/>
        </w:rPr>
        <w:t>/INF-0</w:t>
      </w:r>
      <w:r w:rsidR="000122CE">
        <w:rPr>
          <w:lang w:val="en-NZ"/>
        </w:rPr>
        <w:t>8 (Rev.1)</w:t>
      </w:r>
      <w:r w:rsidR="00CF6A79">
        <w:rPr>
          <w:lang w:val="en-NZ"/>
        </w:rPr>
        <w:t xml:space="preserve"> (CITEL), </w:t>
      </w:r>
      <w:r>
        <w:rPr>
          <w:lang w:val="en-NZ"/>
        </w:rPr>
        <w:t>APG19-3</w:t>
      </w:r>
      <w:r w:rsidRPr="009C29EE">
        <w:rPr>
          <w:lang w:val="en-NZ"/>
        </w:rPr>
        <w:t>/INF-</w:t>
      </w:r>
      <w:r w:rsidR="000122CE">
        <w:rPr>
          <w:lang w:val="en-NZ"/>
        </w:rPr>
        <w:t>09</w:t>
      </w:r>
      <w:r w:rsidRPr="009C29EE">
        <w:rPr>
          <w:lang w:val="en-NZ"/>
        </w:rPr>
        <w:t xml:space="preserve"> (IARU</w:t>
      </w:r>
      <w:r w:rsidR="000122CE">
        <w:rPr>
          <w:lang w:val="en-NZ"/>
        </w:rPr>
        <w:t xml:space="preserve"> R3</w:t>
      </w:r>
      <w:r w:rsidRPr="009C29EE">
        <w:rPr>
          <w:lang w:val="en-NZ"/>
        </w:rPr>
        <w:t>).</w:t>
      </w:r>
    </w:p>
    <w:p w14:paraId="27E54C89" w14:textId="04835516" w:rsidR="002A0111" w:rsidRPr="00441526" w:rsidRDefault="002A0111" w:rsidP="003E2239">
      <w:pPr>
        <w:spacing w:before="120" w:after="120"/>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3E2239">
      <w:pPr>
        <w:spacing w:before="120"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19FE7F3F" w:rsidR="002A0111" w:rsidRPr="00441526" w:rsidRDefault="002A0111" w:rsidP="003E2239">
      <w:pPr>
        <w:spacing w:before="120" w:after="120"/>
        <w:jc w:val="both"/>
        <w:rPr>
          <w:b/>
          <w:lang w:val="en-NZ" w:eastAsia="ko-KR"/>
        </w:rPr>
      </w:pPr>
      <w:r w:rsidRPr="00441526">
        <w:rPr>
          <w:b/>
          <w:lang w:val="en-NZ" w:eastAsia="ko-KR"/>
        </w:rPr>
        <w:t xml:space="preserve">3.1.1 </w:t>
      </w:r>
      <w:r w:rsidRPr="00441526">
        <w:rPr>
          <w:b/>
          <w:lang w:val="en-NZ" w:eastAsia="ko-KR"/>
        </w:rPr>
        <w:tab/>
      </w:r>
      <w:r w:rsidR="00CF6A79">
        <w:rPr>
          <w:b/>
          <w:lang w:val="en-NZ" w:eastAsia="ko-KR"/>
        </w:rPr>
        <w:t>Indonesia (Republic o</w:t>
      </w:r>
      <w:r w:rsidR="000122CE" w:rsidRPr="000122CE">
        <w:rPr>
          <w:b/>
          <w:lang w:val="en-NZ" w:eastAsia="ko-KR"/>
        </w:rPr>
        <w:t>f)</w:t>
      </w:r>
      <w:r w:rsidRPr="00441526">
        <w:rPr>
          <w:b/>
          <w:lang w:val="en-NZ" w:eastAsia="ko-KR"/>
        </w:rPr>
        <w:t xml:space="preserve"> </w:t>
      </w:r>
      <w:r w:rsidRPr="00441526">
        <w:t xml:space="preserve">- </w:t>
      </w:r>
      <w:r w:rsidRPr="00441526">
        <w:rPr>
          <w:b/>
          <w:lang w:val="en-NZ" w:eastAsia="ko-KR"/>
        </w:rPr>
        <w:t>Document APG19-3/INP-</w:t>
      </w:r>
      <w:r w:rsidR="008C5462">
        <w:rPr>
          <w:b/>
          <w:lang w:val="en-NZ" w:eastAsia="ko-KR"/>
        </w:rPr>
        <w:t>20</w:t>
      </w:r>
    </w:p>
    <w:p w14:paraId="1CD7D675" w14:textId="17DF7FBB" w:rsidR="002A0111" w:rsidRPr="00441526" w:rsidRDefault="000122CE" w:rsidP="003D3D47">
      <w:pPr>
        <w:numPr>
          <w:ilvl w:val="0"/>
          <w:numId w:val="18"/>
        </w:numPr>
        <w:ind w:leftChars="145" w:left="708"/>
        <w:jc w:val="both"/>
        <w:rPr>
          <w:lang w:val="en-NZ"/>
        </w:rPr>
      </w:pPr>
      <w:r w:rsidRPr="000122CE">
        <w:rPr>
          <w:lang w:val="en-ID"/>
        </w:rPr>
        <w:t>Indonesia is of the view to support the addition of the spectrum of non-GSO satellite mission of short duration for telemetry, tracking and command of the space operation service in the frequency range below 1 GHz, while taking into account the existing allocations</w:t>
      </w:r>
      <w:r w:rsidRPr="000122CE">
        <w:rPr>
          <w:i/>
          <w:iCs/>
          <w:lang w:val="en-ID"/>
        </w:rPr>
        <w:t xml:space="preserve"> </w:t>
      </w:r>
      <w:r w:rsidRPr="000122CE">
        <w:rPr>
          <w:lang w:val="en-ID"/>
        </w:rPr>
        <w:t>and current use.</w:t>
      </w:r>
    </w:p>
    <w:p w14:paraId="1B7BB750" w14:textId="3F6DD9EF" w:rsidR="002A0111" w:rsidRPr="00441526" w:rsidRDefault="002A0111" w:rsidP="003E2239">
      <w:pPr>
        <w:spacing w:before="120" w:after="120"/>
        <w:jc w:val="both"/>
        <w:rPr>
          <w:b/>
          <w:lang w:val="en-NZ" w:eastAsia="ko-KR"/>
        </w:rPr>
      </w:pPr>
      <w:r w:rsidRPr="00441526">
        <w:rPr>
          <w:b/>
          <w:lang w:val="en-NZ" w:eastAsia="ko-KR"/>
        </w:rPr>
        <w:t xml:space="preserve">3.1.2 </w:t>
      </w:r>
      <w:r w:rsidRPr="00441526">
        <w:rPr>
          <w:b/>
          <w:lang w:val="en-NZ" w:eastAsia="ko-KR"/>
        </w:rPr>
        <w:tab/>
      </w:r>
      <w:r w:rsidR="000122CE" w:rsidRPr="000122CE">
        <w:rPr>
          <w:b/>
          <w:lang w:eastAsia="ko-KR"/>
        </w:rPr>
        <w:t>Korea (Republic of)</w:t>
      </w:r>
      <w:r w:rsidRPr="00441526">
        <w:rPr>
          <w:b/>
          <w:lang w:val="en-NZ" w:eastAsia="ko-KR"/>
        </w:rPr>
        <w:t xml:space="preserve"> </w:t>
      </w:r>
      <w:r w:rsidRPr="00441526">
        <w:t xml:space="preserve">- </w:t>
      </w:r>
      <w:r w:rsidRPr="00441526">
        <w:rPr>
          <w:b/>
          <w:lang w:val="en-NZ" w:eastAsia="ko-KR"/>
        </w:rPr>
        <w:t>Document APG19-3/INP-</w:t>
      </w:r>
      <w:r w:rsidR="000122CE">
        <w:rPr>
          <w:b/>
          <w:lang w:val="en-NZ" w:eastAsia="ko-KR"/>
        </w:rPr>
        <w:t>24</w:t>
      </w:r>
    </w:p>
    <w:p w14:paraId="2DC886A1" w14:textId="221F3AD0" w:rsidR="000122CE" w:rsidRPr="0038717A" w:rsidRDefault="00AF2FDD" w:rsidP="000122CE">
      <w:pPr>
        <w:ind w:left="280"/>
        <w:jc w:val="both"/>
        <w:rPr>
          <w:color w:val="000000" w:themeColor="text1"/>
          <w:lang w:val="en-NZ"/>
        </w:rPr>
      </w:pPr>
      <w:r w:rsidRPr="0038717A">
        <w:rPr>
          <w:color w:val="000000" w:themeColor="text1"/>
          <w:lang w:val="en-NZ"/>
        </w:rPr>
        <w:t>The Republic of Korea proposes modifications to the APT Preliminary View adopted at the APG19-2, as stated below</w:t>
      </w:r>
      <w:r w:rsidR="000122CE" w:rsidRPr="0038717A">
        <w:rPr>
          <w:color w:val="000000" w:themeColor="text1"/>
          <w:lang w:val="en-NZ"/>
        </w:rPr>
        <w:t>:</w:t>
      </w:r>
    </w:p>
    <w:p w14:paraId="00E1900E" w14:textId="77777777" w:rsidR="000122CE" w:rsidRPr="000122CE" w:rsidRDefault="000122CE" w:rsidP="000122CE">
      <w:pPr>
        <w:numPr>
          <w:ilvl w:val="0"/>
          <w:numId w:val="18"/>
        </w:numPr>
        <w:ind w:left="560"/>
        <w:jc w:val="both"/>
        <w:rPr>
          <w:lang w:val="en-NZ"/>
        </w:rPr>
      </w:pPr>
      <w:r w:rsidRPr="000122CE">
        <w:rPr>
          <w:lang w:val="en-NZ"/>
        </w:rPr>
        <w:t xml:space="preserve">ITU-R studies should be continued in accordance with Resolution </w:t>
      </w:r>
      <w:r w:rsidRPr="000122CE">
        <w:rPr>
          <w:b/>
          <w:lang w:val="en-NZ"/>
        </w:rPr>
        <w:t>659</w:t>
      </w:r>
      <w:r w:rsidRPr="000122CE">
        <w:rPr>
          <w:lang w:val="en-NZ"/>
        </w:rPr>
        <w:t xml:space="preserve"> (</w:t>
      </w:r>
      <w:r w:rsidRPr="000122CE">
        <w:rPr>
          <w:b/>
          <w:lang w:val="en-NZ"/>
        </w:rPr>
        <w:t>WRC-15</w:t>
      </w:r>
      <w:r w:rsidRPr="000122CE">
        <w:rPr>
          <w:lang w:val="en-NZ"/>
        </w:rPr>
        <w:t>).</w:t>
      </w:r>
    </w:p>
    <w:p w14:paraId="68601A16" w14:textId="77777777" w:rsidR="000122CE" w:rsidRPr="000122CE" w:rsidRDefault="000122CE" w:rsidP="000122CE">
      <w:pPr>
        <w:numPr>
          <w:ilvl w:val="0"/>
          <w:numId w:val="18"/>
        </w:numPr>
        <w:ind w:left="560"/>
        <w:jc w:val="both"/>
        <w:rPr>
          <w:lang w:val="en-NZ"/>
        </w:rPr>
      </w:pPr>
      <w:r w:rsidRPr="000122CE">
        <w:rPr>
          <w:lang w:val="en-NZ"/>
        </w:rPr>
        <w:t>Appropriate protection of existing services is necessary and any new allocations or upgrades of existing allocations to the space operation service could be applied provided that no unacceptable constraints is caused to the incumbent services and their future development.</w:t>
      </w:r>
    </w:p>
    <w:p w14:paraId="49D5B641" w14:textId="77777777" w:rsidR="000122CE" w:rsidRPr="000122CE" w:rsidRDefault="000122CE" w:rsidP="000122CE">
      <w:pPr>
        <w:numPr>
          <w:ilvl w:val="0"/>
          <w:numId w:val="18"/>
        </w:numPr>
        <w:ind w:left="560"/>
        <w:jc w:val="both"/>
        <w:rPr>
          <w:lang w:val="en-NZ"/>
        </w:rPr>
      </w:pPr>
      <w:r w:rsidRPr="000122CE">
        <w:rPr>
          <w:lang w:val="en-NZ"/>
        </w:rPr>
        <w:t>The following frequency ranges should not be considered:</w:t>
      </w:r>
    </w:p>
    <w:p w14:paraId="26BDAF03" w14:textId="77777777" w:rsidR="000122CE" w:rsidRPr="000122CE" w:rsidRDefault="000122CE" w:rsidP="000122CE">
      <w:pPr>
        <w:numPr>
          <w:ilvl w:val="0"/>
          <w:numId w:val="24"/>
        </w:numPr>
        <w:ind w:left="920"/>
        <w:jc w:val="both"/>
        <w:rPr>
          <w:lang w:val="en-NZ"/>
        </w:rPr>
      </w:pPr>
      <w:r w:rsidRPr="000122CE">
        <w:rPr>
          <w:lang w:val="en-NZ"/>
        </w:rPr>
        <w:t xml:space="preserve">Maritime mobile VHF radiocommunication in the frequency ranges 156-157.45 MHz, 160.6-160.975 MHz and 161.475-162.05 MHz, in accordance with RR No. </w:t>
      </w:r>
      <w:r w:rsidRPr="000122CE">
        <w:rPr>
          <w:b/>
          <w:lang w:val="en-NZ"/>
        </w:rPr>
        <w:t>5.226</w:t>
      </w:r>
      <w:r w:rsidRPr="000122CE">
        <w:rPr>
          <w:lang w:val="en-NZ"/>
        </w:rPr>
        <w:t xml:space="preserve"> and Appendix </w:t>
      </w:r>
      <w:r w:rsidRPr="000122CE">
        <w:rPr>
          <w:b/>
          <w:lang w:val="en-NZ"/>
        </w:rPr>
        <w:t xml:space="preserve">18 </w:t>
      </w:r>
      <w:r w:rsidRPr="000122CE">
        <w:rPr>
          <w:lang w:val="en-NZ"/>
        </w:rPr>
        <w:t>(</w:t>
      </w:r>
      <w:r w:rsidRPr="000122CE">
        <w:rPr>
          <w:b/>
          <w:lang w:val="en-NZ"/>
        </w:rPr>
        <w:t>Rev. WRC-15</w:t>
      </w:r>
      <w:r w:rsidRPr="000122CE">
        <w:rPr>
          <w:lang w:val="en-NZ"/>
        </w:rPr>
        <w:t>)</w:t>
      </w:r>
      <w:r w:rsidRPr="000122CE">
        <w:rPr>
          <w:b/>
          <w:lang w:val="en-NZ"/>
        </w:rPr>
        <w:t>.</w:t>
      </w:r>
      <w:r w:rsidRPr="000122CE">
        <w:rPr>
          <w:lang w:val="en-NZ"/>
        </w:rPr>
        <w:t xml:space="preserve"> </w:t>
      </w:r>
    </w:p>
    <w:p w14:paraId="55EFBFEF" w14:textId="77777777" w:rsidR="000122CE" w:rsidRPr="000122CE" w:rsidRDefault="000122CE" w:rsidP="000122CE">
      <w:pPr>
        <w:numPr>
          <w:ilvl w:val="0"/>
          <w:numId w:val="24"/>
        </w:numPr>
        <w:ind w:left="920"/>
        <w:jc w:val="both"/>
        <w:rPr>
          <w:lang w:val="en-NZ"/>
        </w:rPr>
      </w:pPr>
      <w:r w:rsidRPr="000122CE">
        <w:rPr>
          <w:lang w:val="en-NZ"/>
        </w:rPr>
        <w:t xml:space="preserve">The frequency range 406-406.1 MHz that is dedicated for satellite emergency position-indicating radio beacons, in accordance with Resolution </w:t>
      </w:r>
      <w:r w:rsidRPr="000122CE">
        <w:rPr>
          <w:b/>
          <w:lang w:val="en-NZ"/>
        </w:rPr>
        <w:t xml:space="preserve">205 </w:t>
      </w:r>
      <w:r w:rsidRPr="000122CE">
        <w:rPr>
          <w:lang w:val="en-NZ"/>
        </w:rPr>
        <w:t>(</w:t>
      </w:r>
      <w:r w:rsidRPr="000122CE">
        <w:rPr>
          <w:b/>
          <w:lang w:val="en-NZ"/>
        </w:rPr>
        <w:t>Rev. WRC-15</w:t>
      </w:r>
      <w:r w:rsidRPr="000122CE">
        <w:rPr>
          <w:lang w:val="en-NZ"/>
        </w:rPr>
        <w:t>); and</w:t>
      </w:r>
    </w:p>
    <w:p w14:paraId="69A3165A" w14:textId="77777777" w:rsidR="000122CE" w:rsidRPr="000122CE" w:rsidRDefault="000122CE" w:rsidP="000122CE">
      <w:pPr>
        <w:numPr>
          <w:ilvl w:val="0"/>
          <w:numId w:val="24"/>
        </w:numPr>
        <w:ind w:left="920"/>
        <w:jc w:val="both"/>
      </w:pPr>
      <w:r w:rsidRPr="000122CE">
        <w:rPr>
          <w:lang w:val="en-NZ"/>
        </w:rPr>
        <w:t>Frequency bands used by Global Maritime Distress and Safety System (GMDSS) included</w:t>
      </w:r>
      <w:r w:rsidRPr="000122CE">
        <w:rPr>
          <w:rFonts w:hint="eastAsia"/>
          <w:lang w:val="en-NZ"/>
        </w:rPr>
        <w:t xml:space="preserve"> </w:t>
      </w:r>
      <w:r w:rsidRPr="000122CE">
        <w:rPr>
          <w:lang w:val="en-NZ"/>
        </w:rPr>
        <w:t xml:space="preserve">in Appendix </w:t>
      </w:r>
      <w:r w:rsidRPr="000122CE">
        <w:rPr>
          <w:b/>
          <w:lang w:val="en-NZ"/>
        </w:rPr>
        <w:t>15</w:t>
      </w:r>
      <w:r w:rsidRPr="000122CE">
        <w:rPr>
          <w:lang w:val="en-NZ"/>
        </w:rPr>
        <w:t xml:space="preserve"> of RR.</w:t>
      </w:r>
    </w:p>
    <w:p w14:paraId="237C5B84" w14:textId="422EDA5E" w:rsidR="000122CE" w:rsidRPr="000122CE" w:rsidRDefault="000122CE" w:rsidP="003E2239">
      <w:pPr>
        <w:spacing w:before="120" w:after="120"/>
        <w:jc w:val="both"/>
        <w:rPr>
          <w:b/>
          <w:lang w:val="en-NZ"/>
        </w:rPr>
      </w:pPr>
      <w:r w:rsidRPr="000122CE">
        <w:rPr>
          <w:b/>
          <w:lang w:val="en-NZ"/>
        </w:rPr>
        <w:t>3.1.</w:t>
      </w:r>
      <w:r>
        <w:rPr>
          <w:b/>
          <w:lang w:val="en-NZ"/>
        </w:rPr>
        <w:t>3</w:t>
      </w:r>
      <w:r w:rsidRPr="000122CE">
        <w:rPr>
          <w:b/>
          <w:lang w:val="en-NZ"/>
        </w:rPr>
        <w:t xml:space="preserve"> </w:t>
      </w:r>
      <w:r w:rsidRPr="000122CE">
        <w:rPr>
          <w:b/>
          <w:lang w:val="en-NZ"/>
        </w:rPr>
        <w:tab/>
      </w:r>
      <w:r w:rsidR="00B25973" w:rsidRPr="00B25973">
        <w:rPr>
          <w:b/>
          <w:lang w:val="en-NZ"/>
        </w:rPr>
        <w:t>Iran (Islamic Republic of)</w:t>
      </w:r>
      <w:r w:rsidRPr="000122CE">
        <w:rPr>
          <w:b/>
          <w:lang w:val="en-NZ"/>
        </w:rPr>
        <w:t xml:space="preserve"> </w:t>
      </w:r>
      <w:r w:rsidRPr="000122CE">
        <w:t xml:space="preserve">- </w:t>
      </w:r>
      <w:r w:rsidRPr="000122CE">
        <w:rPr>
          <w:b/>
          <w:lang w:val="en-NZ"/>
        </w:rPr>
        <w:t>Document APG19-3/INP-24</w:t>
      </w:r>
    </w:p>
    <w:p w14:paraId="3A4482C7" w14:textId="77777777" w:rsidR="00B25973" w:rsidRPr="00B25973" w:rsidRDefault="00B25973" w:rsidP="00B25973">
      <w:pPr>
        <w:ind w:left="280"/>
        <w:jc w:val="both"/>
        <w:rPr>
          <w:lang w:val="en-NZ"/>
        </w:rPr>
      </w:pPr>
      <w:r w:rsidRPr="00B25973">
        <w:rPr>
          <w:lang w:val="en-NZ"/>
        </w:rPr>
        <w:lastRenderedPageBreak/>
        <w:t>Same as the view adopted by previous APG meeting:</w:t>
      </w:r>
    </w:p>
    <w:p w14:paraId="7159E023" w14:textId="77777777" w:rsidR="00B25973" w:rsidRPr="00B25973" w:rsidRDefault="00B25973" w:rsidP="00B25973">
      <w:pPr>
        <w:ind w:left="280"/>
        <w:jc w:val="both"/>
        <w:rPr>
          <w:lang w:val="en-NZ"/>
        </w:rPr>
      </w:pPr>
      <w:r w:rsidRPr="00B25973">
        <w:rPr>
          <w:lang w:val="en-NZ"/>
        </w:rPr>
        <w:t>APT Members are of the view that:</w:t>
      </w:r>
    </w:p>
    <w:p w14:paraId="1FF8825F" w14:textId="77777777" w:rsidR="00B25973" w:rsidRPr="00FD01A3" w:rsidRDefault="00B25973" w:rsidP="00B25973">
      <w:pPr>
        <w:tabs>
          <w:tab w:val="left" w:pos="1134"/>
          <w:tab w:val="left" w:pos="1871"/>
          <w:tab w:val="left" w:pos="2268"/>
        </w:tabs>
        <w:overflowPunct w:val="0"/>
        <w:autoSpaceDE w:val="0"/>
        <w:autoSpaceDN w:val="0"/>
        <w:adjustRightInd w:val="0"/>
        <w:spacing w:before="120"/>
        <w:ind w:firstLine="567"/>
        <w:jc w:val="both"/>
        <w:rPr>
          <w:rFonts w:eastAsia="Times New Roman"/>
          <w:szCs w:val="20"/>
          <w:lang w:val="en-GB"/>
        </w:rPr>
      </w:pPr>
      <w:r w:rsidRPr="00FD01A3">
        <w:rPr>
          <w:rFonts w:eastAsia="Times New Roman"/>
          <w:szCs w:val="20"/>
          <w:lang w:val="en-GB"/>
        </w:rPr>
        <w:t>ITU-R studies should be continued in accordance with Resolution 659 (WRC-15).</w:t>
      </w:r>
    </w:p>
    <w:p w14:paraId="1BAE4078" w14:textId="77777777" w:rsidR="00B25973" w:rsidRPr="00FD01A3" w:rsidRDefault="00B25973" w:rsidP="00B25973">
      <w:pPr>
        <w:tabs>
          <w:tab w:val="left" w:pos="1134"/>
          <w:tab w:val="left" w:pos="1871"/>
          <w:tab w:val="left" w:pos="2268"/>
        </w:tabs>
        <w:overflowPunct w:val="0"/>
        <w:autoSpaceDE w:val="0"/>
        <w:autoSpaceDN w:val="0"/>
        <w:adjustRightInd w:val="0"/>
        <w:spacing w:before="120"/>
        <w:ind w:firstLine="567"/>
        <w:jc w:val="both"/>
        <w:rPr>
          <w:rFonts w:eastAsia="Times New Roman"/>
          <w:szCs w:val="20"/>
          <w:lang w:val="en-GB"/>
        </w:rPr>
      </w:pPr>
      <w:r w:rsidRPr="00FD01A3">
        <w:rPr>
          <w:rFonts w:eastAsia="Times New Roman"/>
          <w:szCs w:val="20"/>
          <w:lang w:val="en-GB"/>
        </w:rPr>
        <w:t>Protection of existing services is necessary and any new allocations or upgrades of existing allocations to the space operation service could be applied without any constraint to the incumbent services and their future development.</w:t>
      </w:r>
    </w:p>
    <w:p w14:paraId="06EBF9CA" w14:textId="77777777" w:rsidR="00B25973" w:rsidRPr="00FD01A3" w:rsidRDefault="00B25973" w:rsidP="00B25973">
      <w:pPr>
        <w:tabs>
          <w:tab w:val="left" w:pos="1134"/>
          <w:tab w:val="left" w:pos="1871"/>
          <w:tab w:val="left" w:pos="2268"/>
        </w:tabs>
        <w:overflowPunct w:val="0"/>
        <w:autoSpaceDE w:val="0"/>
        <w:autoSpaceDN w:val="0"/>
        <w:adjustRightInd w:val="0"/>
        <w:spacing w:before="120"/>
        <w:ind w:firstLine="567"/>
        <w:jc w:val="both"/>
        <w:rPr>
          <w:rFonts w:eastAsia="Times New Roman"/>
          <w:szCs w:val="20"/>
          <w:lang w:val="en-GB"/>
        </w:rPr>
      </w:pPr>
      <w:r w:rsidRPr="00FD01A3">
        <w:rPr>
          <w:rFonts w:eastAsia="Times New Roman"/>
          <w:szCs w:val="20"/>
          <w:lang w:val="en-GB"/>
        </w:rPr>
        <w:t>The following frequency ranges should not be considered:</w:t>
      </w:r>
    </w:p>
    <w:p w14:paraId="25DA64B8" w14:textId="77777777" w:rsidR="00B25973" w:rsidRPr="00B25973" w:rsidRDefault="00B25973" w:rsidP="00B25973">
      <w:pPr>
        <w:pStyle w:val="ListParagraph"/>
        <w:numPr>
          <w:ilvl w:val="0"/>
          <w:numId w:val="25"/>
        </w:numPr>
        <w:tabs>
          <w:tab w:val="left" w:pos="1134"/>
          <w:tab w:val="left" w:pos="1871"/>
          <w:tab w:val="left" w:pos="2268"/>
        </w:tabs>
        <w:overflowPunct w:val="0"/>
        <w:autoSpaceDE w:val="0"/>
        <w:autoSpaceDN w:val="0"/>
        <w:adjustRightInd w:val="0"/>
        <w:spacing w:before="120" w:after="200" w:line="276" w:lineRule="auto"/>
        <w:contextualSpacing/>
        <w:jc w:val="both"/>
        <w:rPr>
          <w:rFonts w:eastAsia="Times New Roman"/>
          <w:lang w:val="en-GB"/>
        </w:rPr>
      </w:pPr>
      <w:r w:rsidRPr="00B25973">
        <w:rPr>
          <w:rFonts w:eastAsia="Times New Roman"/>
          <w:lang w:val="en-GB"/>
        </w:rPr>
        <w:t xml:space="preserve">Maritime mobile VHF radiocommunication in the frequency ranges 156-157.45 MHz, 160.6-160.975 MHz and 161.475-162.05 MHz, in accordance with RR No. 5.226 and Appendix 18 (Rev. WRC-15). </w:t>
      </w:r>
    </w:p>
    <w:p w14:paraId="4656B25F" w14:textId="77777777" w:rsidR="00B25973" w:rsidRPr="00B25973" w:rsidRDefault="00B25973" w:rsidP="00B25973">
      <w:pPr>
        <w:pStyle w:val="ListParagraph"/>
        <w:numPr>
          <w:ilvl w:val="0"/>
          <w:numId w:val="25"/>
        </w:numPr>
        <w:tabs>
          <w:tab w:val="left" w:pos="1134"/>
          <w:tab w:val="left" w:pos="1871"/>
          <w:tab w:val="left" w:pos="2268"/>
        </w:tabs>
        <w:overflowPunct w:val="0"/>
        <w:autoSpaceDE w:val="0"/>
        <w:autoSpaceDN w:val="0"/>
        <w:adjustRightInd w:val="0"/>
        <w:spacing w:before="120" w:after="200" w:line="276" w:lineRule="auto"/>
        <w:contextualSpacing/>
        <w:jc w:val="both"/>
        <w:rPr>
          <w:rFonts w:eastAsia="Times New Roman"/>
          <w:lang w:val="en-GB"/>
        </w:rPr>
      </w:pPr>
      <w:r w:rsidRPr="00B25973">
        <w:rPr>
          <w:rFonts w:eastAsia="Times New Roman"/>
          <w:lang w:val="en-GB"/>
        </w:rPr>
        <w:t>The frequency range 406-406.1 MHz that is dedicated for satellite emergency position-indicating radio beacons, in accordance with Resolution 205 (Rev. WRC-15); and</w:t>
      </w:r>
    </w:p>
    <w:p w14:paraId="0705C3F3" w14:textId="77777777" w:rsidR="00B25973" w:rsidRPr="00B25973" w:rsidRDefault="00B25973" w:rsidP="00B25973">
      <w:pPr>
        <w:pStyle w:val="ListParagraph"/>
        <w:numPr>
          <w:ilvl w:val="0"/>
          <w:numId w:val="25"/>
        </w:numPr>
        <w:tabs>
          <w:tab w:val="left" w:pos="1134"/>
          <w:tab w:val="left" w:pos="1871"/>
          <w:tab w:val="left" w:pos="2268"/>
        </w:tabs>
        <w:overflowPunct w:val="0"/>
        <w:autoSpaceDE w:val="0"/>
        <w:autoSpaceDN w:val="0"/>
        <w:adjustRightInd w:val="0"/>
        <w:spacing w:before="120" w:after="200" w:line="276" w:lineRule="auto"/>
        <w:contextualSpacing/>
        <w:jc w:val="both"/>
        <w:rPr>
          <w:rFonts w:eastAsia="Times New Roman"/>
          <w:lang w:val="en-GB"/>
        </w:rPr>
      </w:pPr>
      <w:r w:rsidRPr="00B25973">
        <w:rPr>
          <w:rFonts w:eastAsia="Times New Roman"/>
          <w:lang w:val="en-GB"/>
        </w:rPr>
        <w:t>Frequency bands used by Global Maritime Distress and Safety System (GMDSS) included in Appendix 15 of RR.</w:t>
      </w:r>
    </w:p>
    <w:p w14:paraId="39E72905" w14:textId="5FCD4D41" w:rsidR="00B25973" w:rsidRPr="00B25973" w:rsidRDefault="00B25973" w:rsidP="003E2239">
      <w:pPr>
        <w:spacing w:before="120" w:after="120"/>
        <w:jc w:val="both"/>
        <w:rPr>
          <w:b/>
          <w:lang w:val="en-NZ"/>
        </w:rPr>
      </w:pPr>
      <w:r w:rsidRPr="00B25973">
        <w:rPr>
          <w:b/>
          <w:lang w:val="en-NZ"/>
        </w:rPr>
        <w:t>3.1.</w:t>
      </w:r>
      <w:r>
        <w:rPr>
          <w:b/>
          <w:lang w:val="en-NZ"/>
        </w:rPr>
        <w:t>4</w:t>
      </w:r>
      <w:r w:rsidRPr="00B25973">
        <w:rPr>
          <w:b/>
          <w:lang w:val="en-NZ"/>
        </w:rPr>
        <w:t xml:space="preserve"> </w:t>
      </w:r>
      <w:r w:rsidRPr="00B25973">
        <w:rPr>
          <w:b/>
          <w:lang w:val="en-NZ"/>
        </w:rPr>
        <w:tab/>
        <w:t>New Zealand - Document APG19-3/INP-</w:t>
      </w:r>
      <w:r>
        <w:rPr>
          <w:b/>
          <w:lang w:val="en-NZ"/>
        </w:rPr>
        <w:t>37</w:t>
      </w:r>
    </w:p>
    <w:p w14:paraId="0CB0A2FD" w14:textId="77777777" w:rsidR="00493E0A" w:rsidRDefault="00493E0A" w:rsidP="00493E0A">
      <w:pPr>
        <w:jc w:val="both"/>
        <w:rPr>
          <w:lang w:val="en-NZ"/>
        </w:rPr>
      </w:pPr>
      <w:r w:rsidRPr="008D5D40">
        <w:rPr>
          <w:lang w:val="en-NZ"/>
        </w:rPr>
        <w:t xml:space="preserve">New Zealand supports the ITU-R studies undertaken in accordance with Resolution </w:t>
      </w:r>
      <w:r w:rsidRPr="008D5D40">
        <w:rPr>
          <w:b/>
          <w:lang w:val="en-NZ"/>
        </w:rPr>
        <w:t>659 (WRC-15)</w:t>
      </w:r>
      <w:r w:rsidRPr="008D5D40">
        <w:rPr>
          <w:lang w:val="en-NZ"/>
        </w:rPr>
        <w:t xml:space="preserve">. New Zealand considers that the existing allocation to space operation service in the band 148-149.9 MHz (RR No. </w:t>
      </w:r>
      <w:r w:rsidRPr="008D5D40">
        <w:rPr>
          <w:b/>
          <w:lang w:val="en-NZ"/>
        </w:rPr>
        <w:t>5.218</w:t>
      </w:r>
      <w:r w:rsidRPr="008D5D40">
        <w:rPr>
          <w:lang w:val="en-NZ"/>
        </w:rPr>
        <w:t xml:space="preserve">) could address the immediate TT&amp;C demand for non-GSO satellites with short duration missions. </w:t>
      </w:r>
    </w:p>
    <w:p w14:paraId="3D97114F" w14:textId="77777777" w:rsidR="00493E0A" w:rsidRPr="008D5D40" w:rsidRDefault="00493E0A" w:rsidP="00493E0A">
      <w:pPr>
        <w:jc w:val="both"/>
        <w:rPr>
          <w:lang w:val="en-NZ"/>
        </w:rPr>
      </w:pPr>
      <w:r w:rsidRPr="008D5D40">
        <w:rPr>
          <w:lang w:val="en-NZ"/>
        </w:rPr>
        <w:t>If the ITU-R studies indicate that requirement cannot be met with</w:t>
      </w:r>
      <w:r>
        <w:rPr>
          <w:lang w:val="en-NZ"/>
        </w:rPr>
        <w:t>in</w:t>
      </w:r>
      <w:r w:rsidRPr="008D5D40">
        <w:rPr>
          <w:lang w:val="en-NZ"/>
        </w:rPr>
        <w:t xml:space="preserve"> existing allocations, New Zealand’s preference is to consider possible new allocation to space operation service within the frequency range 400.15-40</w:t>
      </w:r>
      <w:r>
        <w:rPr>
          <w:lang w:val="en-NZ"/>
        </w:rPr>
        <w:t>6</w:t>
      </w:r>
      <w:r w:rsidRPr="008D5D40">
        <w:rPr>
          <w:lang w:val="en-NZ"/>
        </w:rPr>
        <w:t xml:space="preserve"> </w:t>
      </w:r>
      <w:proofErr w:type="spellStart"/>
      <w:r w:rsidRPr="008D5D40">
        <w:rPr>
          <w:lang w:val="en-NZ"/>
        </w:rPr>
        <w:t>MHz.</w:t>
      </w:r>
      <w:proofErr w:type="spellEnd"/>
      <w:r w:rsidRPr="008D5D40">
        <w:rPr>
          <w:lang w:val="en-NZ"/>
        </w:rPr>
        <w:t xml:space="preserve"> New Zealand is </w:t>
      </w:r>
      <w:r>
        <w:rPr>
          <w:lang w:val="en-NZ"/>
        </w:rPr>
        <w:t xml:space="preserve">also </w:t>
      </w:r>
      <w:r w:rsidRPr="008D5D40">
        <w:rPr>
          <w:lang w:val="en-NZ"/>
        </w:rPr>
        <w:t>of the view that the following frequency ranges should not be considered:</w:t>
      </w:r>
    </w:p>
    <w:p w14:paraId="677FCDF3" w14:textId="48E6DAEB" w:rsidR="00493E0A" w:rsidRPr="008D5D40" w:rsidRDefault="006734B2" w:rsidP="00493E0A">
      <w:pPr>
        <w:pStyle w:val="ListParagraph"/>
        <w:numPr>
          <w:ilvl w:val="0"/>
          <w:numId w:val="26"/>
        </w:numPr>
        <w:contextualSpacing/>
        <w:jc w:val="both"/>
        <w:rPr>
          <w:lang w:val="en-NZ"/>
        </w:rPr>
      </w:pPr>
      <w:r>
        <w:rPr>
          <w:lang w:val="en-NZ"/>
        </w:rPr>
        <w:t>M</w:t>
      </w:r>
      <w:r w:rsidR="00493E0A" w:rsidRPr="008D5D40">
        <w:rPr>
          <w:lang w:val="en-NZ"/>
        </w:rPr>
        <w:t xml:space="preserve">aritime mobile VHF radiocommunication in the frequency ranges 156-157.45 MHz, 160.6-160.975 MHz and 161.475-162.05 MHz, in accordance with RR No. </w:t>
      </w:r>
      <w:r w:rsidR="00493E0A" w:rsidRPr="008D5D40">
        <w:rPr>
          <w:b/>
          <w:lang w:val="en-NZ"/>
        </w:rPr>
        <w:t>5.226</w:t>
      </w:r>
      <w:r w:rsidR="00493E0A" w:rsidRPr="008D5D40">
        <w:rPr>
          <w:lang w:val="en-NZ"/>
        </w:rPr>
        <w:t xml:space="preserve"> and Appendix </w:t>
      </w:r>
      <w:r w:rsidR="00493E0A" w:rsidRPr="008D5D40">
        <w:rPr>
          <w:b/>
          <w:lang w:val="en-NZ"/>
        </w:rPr>
        <w:t>18 (Rev. WRC-15)</w:t>
      </w:r>
      <w:r w:rsidR="00493E0A" w:rsidRPr="008D5D40">
        <w:rPr>
          <w:lang w:val="en-NZ"/>
        </w:rPr>
        <w:t xml:space="preserve">; and </w:t>
      </w:r>
    </w:p>
    <w:p w14:paraId="2D0CE3B5" w14:textId="2B0C8108" w:rsidR="00493E0A" w:rsidRPr="00007468" w:rsidRDefault="006734B2" w:rsidP="00493E0A">
      <w:pPr>
        <w:pStyle w:val="ListParagraph"/>
        <w:numPr>
          <w:ilvl w:val="0"/>
          <w:numId w:val="26"/>
        </w:numPr>
        <w:contextualSpacing/>
        <w:jc w:val="both"/>
        <w:rPr>
          <w:lang w:val="en-NZ"/>
        </w:rPr>
      </w:pPr>
      <w:r w:rsidRPr="008D5D40">
        <w:rPr>
          <w:lang w:val="en-NZ"/>
        </w:rPr>
        <w:t>Mobile-satellite</w:t>
      </w:r>
      <w:r w:rsidR="00493E0A" w:rsidRPr="008D5D40">
        <w:rPr>
          <w:lang w:val="en-NZ"/>
        </w:rPr>
        <w:t xml:space="preserve"> service in the frequency range 406-406.1 MHz that is dedicated for satellite emergency position-indicating radio beacons, in accordance with Resolution </w:t>
      </w:r>
      <w:r w:rsidR="00493E0A" w:rsidRPr="008D5D40">
        <w:rPr>
          <w:b/>
          <w:lang w:val="en-NZ"/>
        </w:rPr>
        <w:t>205 (Rev. WRC-15)</w:t>
      </w:r>
      <w:r w:rsidR="00493E0A" w:rsidRPr="008D5D40">
        <w:rPr>
          <w:lang w:val="en-NZ"/>
        </w:rPr>
        <w:t xml:space="preserve">. </w:t>
      </w:r>
    </w:p>
    <w:p w14:paraId="442B9F1A" w14:textId="3E9876FC" w:rsidR="00B25973" w:rsidRPr="00B25973" w:rsidRDefault="00B25973" w:rsidP="003E2239">
      <w:pPr>
        <w:spacing w:before="120" w:after="120"/>
        <w:jc w:val="both"/>
        <w:rPr>
          <w:b/>
          <w:lang w:val="en-NZ"/>
        </w:rPr>
      </w:pPr>
      <w:r w:rsidRPr="00B25973">
        <w:rPr>
          <w:b/>
          <w:lang w:val="en-NZ"/>
        </w:rPr>
        <w:t>3.1.</w:t>
      </w:r>
      <w:r w:rsidR="00493E0A">
        <w:rPr>
          <w:b/>
          <w:lang w:val="en-NZ"/>
        </w:rPr>
        <w:t>5</w:t>
      </w:r>
      <w:r w:rsidRPr="00B25973">
        <w:rPr>
          <w:b/>
          <w:lang w:val="en-NZ"/>
        </w:rPr>
        <w:t xml:space="preserve"> </w:t>
      </w:r>
      <w:r w:rsidRPr="00B25973">
        <w:rPr>
          <w:b/>
          <w:lang w:val="en-NZ"/>
        </w:rPr>
        <w:tab/>
        <w:t>Australia - Document APG19-3/INP-</w:t>
      </w:r>
      <w:r>
        <w:rPr>
          <w:b/>
          <w:lang w:val="en-NZ"/>
        </w:rPr>
        <w:t>44</w:t>
      </w:r>
    </w:p>
    <w:p w14:paraId="3498BA8C" w14:textId="77777777" w:rsidR="00493E0A" w:rsidRPr="00493E0A" w:rsidRDefault="00493E0A" w:rsidP="00493E0A">
      <w:pPr>
        <w:jc w:val="both"/>
        <w:rPr>
          <w:lang w:val="en-AU"/>
        </w:rPr>
      </w:pPr>
      <w:r w:rsidRPr="00493E0A">
        <w:rPr>
          <w:lang w:val="en-AU"/>
        </w:rPr>
        <w:t xml:space="preserve">Australia supports consideration of possible spectrum requirements, and the suitability of current allocations below 1 GHz for the space operation service (SOS) for telemetry, tracking and command for non-GSO satellites with short duration missions (i.e. missions less than three years), taking into account No. </w:t>
      </w:r>
      <w:r w:rsidRPr="00493E0A">
        <w:rPr>
          <w:b/>
          <w:lang w:val="en-AU"/>
        </w:rPr>
        <w:t xml:space="preserve">1.23 </w:t>
      </w:r>
      <w:r w:rsidRPr="00493E0A">
        <w:rPr>
          <w:lang w:val="en-AU"/>
        </w:rPr>
        <w:t>based on the outcome of studies in accordance with Resolution</w:t>
      </w:r>
      <w:r w:rsidRPr="00493E0A">
        <w:rPr>
          <w:b/>
          <w:lang w:val="en-AU"/>
        </w:rPr>
        <w:t xml:space="preserve"> 659 (WRC-15)</w:t>
      </w:r>
      <w:r w:rsidRPr="00493E0A">
        <w:rPr>
          <w:lang w:val="en-AU"/>
        </w:rPr>
        <w:t xml:space="preserve">. </w:t>
      </w:r>
    </w:p>
    <w:p w14:paraId="62395191" w14:textId="77777777" w:rsidR="00493E0A" w:rsidRPr="00493E0A" w:rsidRDefault="00493E0A" w:rsidP="00493E0A">
      <w:pPr>
        <w:jc w:val="both"/>
        <w:rPr>
          <w:lang w:val="en-AU"/>
        </w:rPr>
      </w:pPr>
      <w:r w:rsidRPr="00493E0A">
        <w:rPr>
          <w:lang w:val="en-AU"/>
        </w:rPr>
        <w:t xml:space="preserve">Should current allocations below 1 GHz be found to not meet requirements, Australia would consider ITU-R studies of possible new allocations or based on the results of sharing or compatibility studies, an upgrade of the existing SOS allocations within the frequency ranges 150.05-174 MHz and 400.15-420 MHz as identified in </w:t>
      </w:r>
      <w:r w:rsidRPr="00493E0A">
        <w:rPr>
          <w:i/>
          <w:lang w:val="en-AU"/>
        </w:rPr>
        <w:t xml:space="preserve">invites ITU-R </w:t>
      </w:r>
      <w:r w:rsidRPr="00493E0A">
        <w:rPr>
          <w:lang w:val="en-AU"/>
        </w:rPr>
        <w:t>3 of Resolution </w:t>
      </w:r>
      <w:r w:rsidRPr="00493E0A">
        <w:rPr>
          <w:b/>
          <w:lang w:val="en-AU"/>
        </w:rPr>
        <w:t>659 (WRC-15)</w:t>
      </w:r>
      <w:r w:rsidRPr="00493E0A">
        <w:rPr>
          <w:lang w:val="en-AU"/>
        </w:rPr>
        <w:t xml:space="preserve">. </w:t>
      </w:r>
    </w:p>
    <w:p w14:paraId="4BFB172B" w14:textId="77777777" w:rsidR="00493E0A" w:rsidRPr="00493E0A" w:rsidRDefault="00493E0A" w:rsidP="00493E0A">
      <w:pPr>
        <w:jc w:val="both"/>
      </w:pPr>
      <w:r w:rsidRPr="00493E0A">
        <w:rPr>
          <w:lang w:val="en-AU"/>
        </w:rPr>
        <w:t>Any changes to the Radio Regulations will be dependent on satisfactory results of ITU-R sharing and compatibility studies and studies into possible mitigation techniques to protect incumbent services, both in-band as well as in adjacent bands.</w:t>
      </w:r>
      <w:r w:rsidRPr="00493E0A" w:rsidDel="00D54A7D">
        <w:t xml:space="preserve"> </w:t>
      </w:r>
    </w:p>
    <w:p w14:paraId="098F89EF" w14:textId="401DA570" w:rsidR="00B25973" w:rsidRPr="00B25973" w:rsidRDefault="00B25973" w:rsidP="003E2239">
      <w:pPr>
        <w:spacing w:before="120" w:after="120"/>
        <w:jc w:val="both"/>
        <w:rPr>
          <w:b/>
          <w:lang w:val="en-NZ"/>
        </w:rPr>
      </w:pPr>
      <w:r w:rsidRPr="00B25973">
        <w:rPr>
          <w:b/>
          <w:lang w:val="en-NZ"/>
        </w:rPr>
        <w:t>3.1.</w:t>
      </w:r>
      <w:r w:rsidR="00493E0A">
        <w:rPr>
          <w:b/>
          <w:lang w:val="en-NZ"/>
        </w:rPr>
        <w:t>6</w:t>
      </w:r>
      <w:r w:rsidRPr="00B25973">
        <w:rPr>
          <w:b/>
          <w:lang w:val="en-NZ"/>
        </w:rPr>
        <w:t xml:space="preserve"> </w:t>
      </w:r>
      <w:r w:rsidRPr="00B25973">
        <w:rPr>
          <w:b/>
          <w:lang w:val="en-NZ"/>
        </w:rPr>
        <w:tab/>
        <w:t>Japan - Document APG19-3/INP-</w:t>
      </w:r>
      <w:r>
        <w:rPr>
          <w:b/>
          <w:lang w:val="en-NZ"/>
        </w:rPr>
        <w:t>52</w:t>
      </w:r>
    </w:p>
    <w:p w14:paraId="62AB5EE1" w14:textId="428E2A86" w:rsidR="00B25973" w:rsidRPr="00B25973" w:rsidRDefault="00493E0A" w:rsidP="00B25973">
      <w:pPr>
        <w:jc w:val="both"/>
        <w:rPr>
          <w:lang w:val="en-NZ"/>
        </w:rPr>
      </w:pPr>
      <w:r w:rsidRPr="00493E0A">
        <w:lastRenderedPageBreak/>
        <w:t>Japan supports ITU-R studies for the additional spectrum allocation in accordance with Resolution 659 (WRC-15), provided that the existing services are adequately protected.</w:t>
      </w:r>
    </w:p>
    <w:p w14:paraId="38E45BA0" w14:textId="2E538760" w:rsidR="00B25973" w:rsidRPr="00B25973" w:rsidRDefault="00B25973" w:rsidP="003E2239">
      <w:pPr>
        <w:spacing w:before="120" w:after="120"/>
        <w:jc w:val="both"/>
        <w:rPr>
          <w:b/>
          <w:lang w:val="en-NZ"/>
        </w:rPr>
      </w:pPr>
      <w:r w:rsidRPr="00B25973">
        <w:rPr>
          <w:b/>
          <w:lang w:val="en-NZ"/>
        </w:rPr>
        <w:t>3.1.</w:t>
      </w:r>
      <w:r w:rsidR="00493E0A">
        <w:rPr>
          <w:b/>
          <w:lang w:val="en-NZ"/>
        </w:rPr>
        <w:t>7</w:t>
      </w:r>
      <w:r w:rsidRPr="00B25973">
        <w:rPr>
          <w:b/>
          <w:lang w:val="en-NZ"/>
        </w:rPr>
        <w:t xml:space="preserve"> </w:t>
      </w:r>
      <w:r w:rsidRPr="00B25973">
        <w:rPr>
          <w:b/>
          <w:lang w:val="en-NZ"/>
        </w:rPr>
        <w:tab/>
      </w:r>
      <w:r w:rsidR="00493E0A" w:rsidRPr="00493E0A">
        <w:rPr>
          <w:b/>
          <w:lang w:val="en-NZ"/>
        </w:rPr>
        <w:t>Thailand</w:t>
      </w:r>
      <w:r w:rsidRPr="00B25973">
        <w:rPr>
          <w:b/>
          <w:lang w:val="en-NZ"/>
        </w:rPr>
        <w:t xml:space="preserve"> - Document APG19-3/INP-</w:t>
      </w:r>
      <w:r w:rsidR="00493E0A">
        <w:rPr>
          <w:b/>
          <w:lang w:val="en-NZ"/>
        </w:rPr>
        <w:t>62</w:t>
      </w:r>
    </w:p>
    <w:p w14:paraId="2B9BE031" w14:textId="79A9E91B" w:rsidR="00B25973" w:rsidRPr="00B25973" w:rsidRDefault="00493E0A" w:rsidP="00B25973">
      <w:pPr>
        <w:jc w:val="both"/>
        <w:rPr>
          <w:lang w:val="en-NZ"/>
        </w:rPr>
      </w:pPr>
      <w:r w:rsidRPr="00493E0A">
        <w:rPr>
          <w:bCs/>
        </w:rPr>
        <w:t>Thailand reiterates its view mentioned at the APG19-2 in which Thailand supports studies currently undertaken by ITU-R Working Party 7B. Nevertheless, there exists a concern on sharing between existing services (</w:t>
      </w:r>
      <w:r w:rsidRPr="00493E0A">
        <w:t>meteorological aids service</w:t>
      </w:r>
      <w:r w:rsidRPr="00493E0A">
        <w:rPr>
          <w:bCs/>
        </w:rPr>
        <w:t xml:space="preserve">) and </w:t>
      </w:r>
      <w:r w:rsidRPr="00493E0A">
        <w:t>the upgrade of existing SOS allocations</w:t>
      </w:r>
      <w:r w:rsidRPr="00493E0A">
        <w:rPr>
          <w:bCs/>
        </w:rPr>
        <w:t xml:space="preserve">. </w:t>
      </w:r>
      <w:r w:rsidRPr="00493E0A">
        <w:t>Thai government agencies currently use radiosonde for weather forecast which operates in frequency band 400.15-406 MHz with 20 kHz bandwidth. Thailand is of the view that these usages must be protected from the possible new allocation of SOS.</w:t>
      </w:r>
    </w:p>
    <w:p w14:paraId="3011DBB5" w14:textId="3E46F66B" w:rsidR="00B25973" w:rsidRPr="00B25973" w:rsidRDefault="00B25973" w:rsidP="003E2239">
      <w:pPr>
        <w:spacing w:before="120" w:after="120"/>
        <w:jc w:val="both"/>
        <w:rPr>
          <w:b/>
          <w:lang w:val="en-NZ"/>
        </w:rPr>
      </w:pPr>
      <w:r w:rsidRPr="00B25973">
        <w:rPr>
          <w:b/>
          <w:lang w:val="en-NZ"/>
        </w:rPr>
        <w:t>3.1.</w:t>
      </w:r>
      <w:r w:rsidR="00493E0A">
        <w:rPr>
          <w:b/>
          <w:lang w:val="en-NZ"/>
        </w:rPr>
        <w:t>8</w:t>
      </w:r>
      <w:r w:rsidRPr="00B25973">
        <w:rPr>
          <w:b/>
          <w:lang w:val="en-NZ"/>
        </w:rPr>
        <w:t xml:space="preserve"> </w:t>
      </w:r>
      <w:r w:rsidRPr="00B25973">
        <w:rPr>
          <w:b/>
          <w:lang w:val="en-NZ"/>
        </w:rPr>
        <w:tab/>
      </w:r>
      <w:r w:rsidR="00493E0A" w:rsidRPr="00493E0A">
        <w:rPr>
          <w:rFonts w:hint="eastAsia"/>
          <w:b/>
          <w:lang w:val="en-NZ"/>
        </w:rPr>
        <w:t>China (People</w:t>
      </w:r>
      <w:r w:rsidR="00493E0A" w:rsidRPr="00493E0A">
        <w:rPr>
          <w:b/>
          <w:lang w:val="en-NZ"/>
        </w:rPr>
        <w:t>’</w:t>
      </w:r>
      <w:r w:rsidR="00493E0A" w:rsidRPr="00493E0A">
        <w:rPr>
          <w:rFonts w:hint="eastAsia"/>
          <w:b/>
          <w:lang w:val="en-NZ"/>
        </w:rPr>
        <w:t>s Republic of)</w:t>
      </w:r>
      <w:r w:rsidRPr="00B25973">
        <w:rPr>
          <w:b/>
          <w:lang w:val="en-NZ"/>
        </w:rPr>
        <w:t xml:space="preserve"> - Document APG19-3/INP-</w:t>
      </w:r>
      <w:r w:rsidR="00493E0A">
        <w:rPr>
          <w:b/>
          <w:lang w:val="en-NZ"/>
        </w:rPr>
        <w:t>89</w:t>
      </w:r>
    </w:p>
    <w:p w14:paraId="382689CB" w14:textId="50CABA3E" w:rsidR="00B25973" w:rsidRPr="00B25973" w:rsidRDefault="00493E0A" w:rsidP="00B25973">
      <w:pPr>
        <w:jc w:val="both"/>
        <w:rPr>
          <w:lang w:val="en-NZ"/>
        </w:rPr>
      </w:pPr>
      <w:r w:rsidRPr="00493E0A">
        <w:rPr>
          <w:rFonts w:hint="eastAsia"/>
        </w:rPr>
        <w:t xml:space="preserve">As the number of non-GSO satellites for short duration missions is growing at a fast rate, China </w:t>
      </w:r>
      <w:r w:rsidRPr="00493E0A">
        <w:t xml:space="preserve">supports </w:t>
      </w:r>
      <w:r w:rsidRPr="00493E0A">
        <w:rPr>
          <w:rFonts w:hint="eastAsia"/>
        </w:rPr>
        <w:t xml:space="preserve">the studies in ITU-R WP7B on this Agenda item. If the studies show that sharing and compatibility, both in-band and out-of-band, is feasible with existing services and systems, China supports to satisfy the additional spectrum </w:t>
      </w:r>
      <w:r w:rsidRPr="00493E0A">
        <w:t>requirements</w:t>
      </w:r>
      <w:r w:rsidRPr="00493E0A">
        <w:rPr>
          <w:rFonts w:hint="eastAsia"/>
        </w:rPr>
        <w:t xml:space="preserve"> by possible new allocations or an upgrade of the existing allocations to the SOS on a primary basis in accordance with Resolution </w:t>
      </w:r>
      <w:r w:rsidRPr="00493E0A">
        <w:t>659 (WRC-15)</w:t>
      </w:r>
      <w:r w:rsidRPr="00493E0A">
        <w:rPr>
          <w:rFonts w:hint="eastAsia"/>
        </w:rPr>
        <w:t>.</w:t>
      </w:r>
    </w:p>
    <w:p w14:paraId="627B5F63" w14:textId="77777777" w:rsidR="00D92624" w:rsidRDefault="002A0111" w:rsidP="00D92624">
      <w:pPr>
        <w:spacing w:before="120" w:after="120"/>
        <w:jc w:val="both"/>
        <w:rPr>
          <w:b/>
          <w:lang w:val="en-NZ"/>
        </w:rPr>
      </w:pPr>
      <w:r w:rsidRPr="00441526">
        <w:rPr>
          <w:b/>
          <w:lang w:val="en-NZ"/>
        </w:rPr>
        <w:t xml:space="preserve">3.2 </w:t>
      </w:r>
      <w:r w:rsidRPr="00441526">
        <w:rPr>
          <w:b/>
          <w:lang w:val="en-NZ"/>
        </w:rPr>
        <w:tab/>
        <w:t>Summary of issues raised during the meeting</w:t>
      </w:r>
    </w:p>
    <w:p w14:paraId="3B51B551" w14:textId="77777777" w:rsidR="00862017" w:rsidRPr="00B30D30" w:rsidRDefault="00862017" w:rsidP="006734B2">
      <w:pPr>
        <w:numPr>
          <w:ilvl w:val="0"/>
          <w:numId w:val="18"/>
        </w:numPr>
        <w:jc w:val="both"/>
        <w:rPr>
          <w:lang w:val="en-NZ"/>
        </w:rPr>
      </w:pPr>
      <w:r w:rsidRPr="00B30D30">
        <w:rPr>
          <w:lang w:val="en-NZ"/>
        </w:rPr>
        <w:t>The latest updates to the Draft new Reports did not change the previous conclusion that the spectrum requirements for short duration NGSO missions range from 0.625 MHz to 2.5 MHz in the space-to-Earth direction, and from 0.682 MHz to 0.938 MHz in the Earth-to-space direction, depending on the operational scenario.</w:t>
      </w:r>
    </w:p>
    <w:p w14:paraId="48A5BF04" w14:textId="10C7D8AC" w:rsidR="00862017" w:rsidRPr="00B30D30" w:rsidRDefault="00862017" w:rsidP="006734B2">
      <w:pPr>
        <w:numPr>
          <w:ilvl w:val="0"/>
          <w:numId w:val="18"/>
        </w:numPr>
        <w:jc w:val="both"/>
        <w:rPr>
          <w:lang w:val="en-NZ"/>
        </w:rPr>
      </w:pPr>
      <w:r w:rsidRPr="00B30D30">
        <w:rPr>
          <w:lang w:val="en-NZ"/>
        </w:rPr>
        <w:t>Only one method (Method A</w:t>
      </w:r>
      <w:r w:rsidR="008C5462">
        <w:rPr>
          <w:lang w:val="en-NZ"/>
        </w:rPr>
        <w:t>-NOC</w:t>
      </w:r>
      <w:r w:rsidRPr="00B30D30">
        <w:rPr>
          <w:lang w:val="en-NZ"/>
        </w:rPr>
        <w:t>) has been agreed in this draft CPM text while another method (Method B - remaining in square brackets) propos</w:t>
      </w:r>
      <w:r w:rsidR="008C5462">
        <w:rPr>
          <w:lang w:val="en-NZ"/>
        </w:rPr>
        <w:t>es</w:t>
      </w:r>
      <w:r w:rsidRPr="00B30D30">
        <w:rPr>
          <w:lang w:val="en-NZ"/>
        </w:rPr>
        <w:t xml:space="preserve"> a 1 MHz allocation in the Earth-to-space direction to the space operations service, limited to non-GSO satellite systems, in the frequency range 403-404 </w:t>
      </w:r>
      <w:proofErr w:type="spellStart"/>
      <w:r w:rsidRPr="00B30D30">
        <w:rPr>
          <w:lang w:val="en-NZ"/>
        </w:rPr>
        <w:t>MHz.</w:t>
      </w:r>
      <w:proofErr w:type="spellEnd"/>
    </w:p>
    <w:p w14:paraId="4CAD272C" w14:textId="2C413635" w:rsidR="003E2239" w:rsidRDefault="00493E0A" w:rsidP="006734B2">
      <w:pPr>
        <w:numPr>
          <w:ilvl w:val="0"/>
          <w:numId w:val="18"/>
        </w:numPr>
        <w:jc w:val="both"/>
        <w:rPr>
          <w:lang w:val="en-NZ"/>
        </w:rPr>
      </w:pPr>
      <w:r w:rsidRPr="00493E0A">
        <w:rPr>
          <w:lang w:val="en-NZ"/>
        </w:rPr>
        <w:t>The studies are not yet completed within ITU-R Working Party 7B.</w:t>
      </w:r>
    </w:p>
    <w:p w14:paraId="0040B348" w14:textId="77777777" w:rsidR="0038717A" w:rsidRDefault="0038717A" w:rsidP="0038717A">
      <w:pPr>
        <w:ind w:left="280"/>
        <w:jc w:val="both"/>
        <w:rPr>
          <w:lang w:val="en-NZ"/>
        </w:rPr>
      </w:pPr>
    </w:p>
    <w:p w14:paraId="73A40A65" w14:textId="4D2A914B" w:rsidR="002A0111" w:rsidRPr="00441526" w:rsidRDefault="002A0111" w:rsidP="003E2239">
      <w:pPr>
        <w:spacing w:before="120" w:after="120"/>
        <w:jc w:val="both"/>
        <w:rPr>
          <w:b/>
          <w:lang w:val="en-NZ"/>
        </w:rPr>
      </w:pPr>
      <w:r w:rsidRPr="00441526">
        <w:rPr>
          <w:b/>
          <w:lang w:val="en-NZ"/>
        </w:rPr>
        <w:t xml:space="preserve">4. </w:t>
      </w:r>
      <w:r w:rsidRPr="00441526">
        <w:rPr>
          <w:b/>
          <w:lang w:val="en-NZ"/>
        </w:rPr>
        <w:tab/>
        <w:t>APT Prelimin</w:t>
      </w:r>
      <w:r w:rsidR="00493E0A">
        <w:rPr>
          <w:b/>
          <w:lang w:val="en-NZ"/>
        </w:rPr>
        <w:t>ary View</w:t>
      </w:r>
      <w:r w:rsidR="0038717A">
        <w:rPr>
          <w:b/>
          <w:lang w:val="en-NZ"/>
        </w:rPr>
        <w:t>s</w:t>
      </w:r>
    </w:p>
    <w:p w14:paraId="117C7EC1" w14:textId="2CECAAA6" w:rsidR="00493E0A" w:rsidRPr="00493E0A" w:rsidRDefault="00493E0A" w:rsidP="00493E0A">
      <w:pPr>
        <w:rPr>
          <w:lang w:val="en-NZ"/>
        </w:rPr>
      </w:pPr>
      <w:r w:rsidRPr="00493E0A">
        <w:rPr>
          <w:lang w:val="en-NZ"/>
        </w:rPr>
        <w:t>APT Members are of the view that:</w:t>
      </w:r>
    </w:p>
    <w:p w14:paraId="70177EB0" w14:textId="77777777" w:rsidR="00493E0A" w:rsidRPr="00493E0A" w:rsidRDefault="00493E0A" w:rsidP="006734B2">
      <w:pPr>
        <w:numPr>
          <w:ilvl w:val="0"/>
          <w:numId w:val="18"/>
        </w:numPr>
        <w:jc w:val="both"/>
        <w:rPr>
          <w:lang w:val="en-NZ"/>
        </w:rPr>
      </w:pPr>
      <w:r w:rsidRPr="00493E0A">
        <w:rPr>
          <w:lang w:val="en-NZ"/>
        </w:rPr>
        <w:t xml:space="preserve">ITU-R studies should be continued in accordance with Resolution </w:t>
      </w:r>
      <w:r w:rsidRPr="00493E0A">
        <w:rPr>
          <w:b/>
          <w:lang w:val="en-NZ"/>
        </w:rPr>
        <w:t>659</w:t>
      </w:r>
      <w:r w:rsidRPr="00493E0A">
        <w:rPr>
          <w:lang w:val="en-NZ"/>
        </w:rPr>
        <w:t xml:space="preserve"> (</w:t>
      </w:r>
      <w:r w:rsidRPr="00493E0A">
        <w:rPr>
          <w:b/>
          <w:lang w:val="en-NZ"/>
        </w:rPr>
        <w:t>WRC-15</w:t>
      </w:r>
      <w:r w:rsidRPr="00493E0A">
        <w:rPr>
          <w:lang w:val="en-NZ"/>
        </w:rPr>
        <w:t>).</w:t>
      </w:r>
    </w:p>
    <w:p w14:paraId="50641834" w14:textId="511098CA" w:rsidR="00493E0A" w:rsidRPr="00493E0A" w:rsidRDefault="00493E0A" w:rsidP="006734B2">
      <w:pPr>
        <w:numPr>
          <w:ilvl w:val="0"/>
          <w:numId w:val="18"/>
        </w:numPr>
        <w:jc w:val="both"/>
        <w:rPr>
          <w:lang w:val="en-NZ"/>
        </w:rPr>
      </w:pPr>
      <w:r w:rsidRPr="00493E0A">
        <w:rPr>
          <w:lang w:val="en-NZ"/>
        </w:rPr>
        <w:t xml:space="preserve">Protection of existing services is necessary and any new allocations or upgrades of existing allocations to the space operation service </w:t>
      </w:r>
      <w:r w:rsidR="000E3B79">
        <w:rPr>
          <w:lang w:val="en-NZ"/>
        </w:rPr>
        <w:t>should</w:t>
      </w:r>
      <w:r w:rsidR="000E3B79" w:rsidRPr="00493E0A">
        <w:rPr>
          <w:lang w:val="en-NZ"/>
        </w:rPr>
        <w:t xml:space="preserve"> </w:t>
      </w:r>
      <w:r w:rsidRPr="00493E0A">
        <w:rPr>
          <w:lang w:val="en-NZ"/>
        </w:rPr>
        <w:t>be applied without any constraint to the incumbent services and their future development</w:t>
      </w:r>
      <w:r w:rsidR="000E3B79">
        <w:rPr>
          <w:lang w:val="en-NZ"/>
        </w:rPr>
        <w:t>, both in-band as well as adjacent bands</w:t>
      </w:r>
      <w:r w:rsidRPr="00493E0A">
        <w:rPr>
          <w:lang w:val="en-NZ"/>
        </w:rPr>
        <w:t>.</w:t>
      </w:r>
    </w:p>
    <w:p w14:paraId="2B015CE2" w14:textId="77777777" w:rsidR="00493E0A" w:rsidRPr="00493E0A" w:rsidRDefault="00493E0A" w:rsidP="006734B2">
      <w:pPr>
        <w:numPr>
          <w:ilvl w:val="0"/>
          <w:numId w:val="18"/>
        </w:numPr>
        <w:jc w:val="both"/>
        <w:rPr>
          <w:lang w:val="en-NZ"/>
        </w:rPr>
      </w:pPr>
      <w:r w:rsidRPr="00493E0A">
        <w:rPr>
          <w:lang w:val="en-NZ"/>
        </w:rPr>
        <w:t>The following frequency ranges should not be considered:</w:t>
      </w:r>
    </w:p>
    <w:p w14:paraId="6E550358" w14:textId="77777777" w:rsidR="00493E0A" w:rsidRPr="00493E0A" w:rsidRDefault="00493E0A" w:rsidP="006734B2">
      <w:pPr>
        <w:numPr>
          <w:ilvl w:val="0"/>
          <w:numId w:val="24"/>
        </w:numPr>
        <w:jc w:val="both"/>
        <w:rPr>
          <w:lang w:val="en-NZ"/>
        </w:rPr>
      </w:pPr>
      <w:r w:rsidRPr="00493E0A">
        <w:rPr>
          <w:lang w:val="en-NZ"/>
        </w:rPr>
        <w:t xml:space="preserve">Maritime mobile VHF radiocommunication in the frequency ranges 156-157.45 MHz, 160.6-160.975 MHz and 161.475-162.05 MHz, in accordance with RR No. </w:t>
      </w:r>
      <w:r w:rsidRPr="00493E0A">
        <w:rPr>
          <w:b/>
          <w:lang w:val="en-NZ"/>
        </w:rPr>
        <w:t>5.226</w:t>
      </w:r>
      <w:r w:rsidRPr="00493E0A">
        <w:rPr>
          <w:lang w:val="en-NZ"/>
        </w:rPr>
        <w:t xml:space="preserve"> and Appendix </w:t>
      </w:r>
      <w:r w:rsidRPr="00493E0A">
        <w:rPr>
          <w:b/>
          <w:lang w:val="en-NZ"/>
        </w:rPr>
        <w:t xml:space="preserve">18 </w:t>
      </w:r>
      <w:r w:rsidRPr="00493E0A">
        <w:rPr>
          <w:lang w:val="en-NZ"/>
        </w:rPr>
        <w:t>(</w:t>
      </w:r>
      <w:r w:rsidRPr="00493E0A">
        <w:rPr>
          <w:b/>
          <w:lang w:val="en-NZ"/>
        </w:rPr>
        <w:t>Rev. WRC-15</w:t>
      </w:r>
      <w:r w:rsidRPr="00493E0A">
        <w:rPr>
          <w:lang w:val="en-NZ"/>
        </w:rPr>
        <w:t>)</w:t>
      </w:r>
      <w:r w:rsidRPr="00493E0A">
        <w:rPr>
          <w:b/>
          <w:lang w:val="en-NZ"/>
        </w:rPr>
        <w:t>.</w:t>
      </w:r>
      <w:r w:rsidRPr="00493E0A">
        <w:rPr>
          <w:lang w:val="en-NZ"/>
        </w:rPr>
        <w:t xml:space="preserve"> </w:t>
      </w:r>
    </w:p>
    <w:p w14:paraId="4E6E3E7B" w14:textId="77777777" w:rsidR="00493E0A" w:rsidRPr="00493E0A" w:rsidRDefault="00493E0A" w:rsidP="006734B2">
      <w:pPr>
        <w:numPr>
          <w:ilvl w:val="0"/>
          <w:numId w:val="24"/>
        </w:numPr>
        <w:jc w:val="both"/>
        <w:rPr>
          <w:lang w:val="en-NZ"/>
        </w:rPr>
      </w:pPr>
      <w:r w:rsidRPr="00493E0A">
        <w:rPr>
          <w:lang w:val="en-NZ"/>
        </w:rPr>
        <w:t xml:space="preserve">The frequency range 406-406.1 MHz that is dedicated for satellite emergency position-indicating radio beacons, in accordance with Resolution </w:t>
      </w:r>
      <w:r w:rsidRPr="00493E0A">
        <w:rPr>
          <w:b/>
          <w:lang w:val="en-NZ"/>
        </w:rPr>
        <w:t xml:space="preserve">205 </w:t>
      </w:r>
      <w:r w:rsidRPr="00493E0A">
        <w:rPr>
          <w:lang w:val="en-NZ"/>
        </w:rPr>
        <w:t>(</w:t>
      </w:r>
      <w:r w:rsidRPr="00493E0A">
        <w:rPr>
          <w:b/>
          <w:lang w:val="en-NZ"/>
        </w:rPr>
        <w:t>Rev. WRC-15</w:t>
      </w:r>
      <w:r w:rsidRPr="00493E0A">
        <w:rPr>
          <w:lang w:val="en-NZ"/>
        </w:rPr>
        <w:t>); and</w:t>
      </w:r>
    </w:p>
    <w:p w14:paraId="765FC3BB" w14:textId="04C24C10" w:rsidR="00493E0A" w:rsidRPr="00493E0A" w:rsidRDefault="00493E0A" w:rsidP="006734B2">
      <w:pPr>
        <w:numPr>
          <w:ilvl w:val="0"/>
          <w:numId w:val="24"/>
        </w:numPr>
        <w:jc w:val="both"/>
        <w:rPr>
          <w:lang w:val="en-NZ"/>
        </w:rPr>
      </w:pPr>
      <w:r w:rsidRPr="00493E0A">
        <w:rPr>
          <w:lang w:val="en-NZ"/>
        </w:rPr>
        <w:t>Frequency bands used by Global Maritime Distress and Safety System (GMDSS) included</w:t>
      </w:r>
      <w:r w:rsidRPr="00493E0A">
        <w:rPr>
          <w:rFonts w:hint="eastAsia"/>
          <w:lang w:val="en-NZ"/>
        </w:rPr>
        <w:t xml:space="preserve"> </w:t>
      </w:r>
      <w:r w:rsidRPr="00493E0A">
        <w:rPr>
          <w:lang w:val="en-NZ"/>
        </w:rPr>
        <w:t xml:space="preserve">in Appendix </w:t>
      </w:r>
      <w:r w:rsidRPr="00493E0A">
        <w:rPr>
          <w:b/>
          <w:lang w:val="en-NZ"/>
        </w:rPr>
        <w:t>15</w:t>
      </w:r>
      <w:r w:rsidRPr="00493E0A">
        <w:rPr>
          <w:lang w:val="en-NZ"/>
        </w:rPr>
        <w:t xml:space="preserve"> of RR.</w:t>
      </w:r>
    </w:p>
    <w:p w14:paraId="2711E65C" w14:textId="1091C3D7" w:rsidR="002A0111" w:rsidRPr="00441526" w:rsidRDefault="002A0111" w:rsidP="003E2239">
      <w:pPr>
        <w:spacing w:before="120" w:after="120"/>
        <w:jc w:val="both"/>
        <w:rPr>
          <w:b/>
          <w:lang w:val="en-NZ"/>
        </w:rPr>
      </w:pPr>
      <w:r w:rsidRPr="00441526">
        <w:rPr>
          <w:b/>
          <w:lang w:val="en-NZ"/>
        </w:rPr>
        <w:t xml:space="preserve">5. </w:t>
      </w:r>
      <w:r w:rsidRPr="00441526">
        <w:rPr>
          <w:b/>
          <w:lang w:val="en-NZ"/>
        </w:rPr>
        <w:tab/>
        <w:t>Other View</w:t>
      </w:r>
      <w:r>
        <w:rPr>
          <w:b/>
          <w:lang w:val="en-NZ"/>
        </w:rPr>
        <w:t xml:space="preserve"> from APT Members</w:t>
      </w:r>
    </w:p>
    <w:p w14:paraId="2BC53C11" w14:textId="15D1B91D" w:rsidR="002A0111" w:rsidRPr="00441526" w:rsidRDefault="00493E0A" w:rsidP="003D3D47">
      <w:pPr>
        <w:numPr>
          <w:ilvl w:val="0"/>
          <w:numId w:val="18"/>
        </w:numPr>
        <w:ind w:leftChars="145" w:left="708"/>
        <w:jc w:val="both"/>
        <w:rPr>
          <w:lang w:val="en-NZ"/>
        </w:rPr>
      </w:pPr>
      <w:r>
        <w:rPr>
          <w:lang w:val="en-NZ"/>
        </w:rPr>
        <w:t>None</w:t>
      </w:r>
      <w:r w:rsidR="002A0111" w:rsidRPr="00441526">
        <w:rPr>
          <w:lang w:val="en-NZ"/>
        </w:rPr>
        <w:t>.</w:t>
      </w:r>
    </w:p>
    <w:p w14:paraId="280E9D5D" w14:textId="77777777" w:rsidR="002A0111" w:rsidRPr="00441526" w:rsidRDefault="002A0111" w:rsidP="003E2239">
      <w:pPr>
        <w:spacing w:before="120" w:after="120"/>
        <w:jc w:val="both"/>
        <w:rPr>
          <w:b/>
          <w:lang w:val="en-NZ"/>
        </w:rPr>
      </w:pPr>
      <w:r>
        <w:rPr>
          <w:b/>
          <w:lang w:val="en-NZ"/>
        </w:rPr>
        <w:t>6</w:t>
      </w:r>
      <w:r w:rsidRPr="00441526">
        <w:rPr>
          <w:b/>
          <w:lang w:val="en-NZ"/>
        </w:rPr>
        <w:t xml:space="preserve">. </w:t>
      </w:r>
      <w:r w:rsidRPr="00441526">
        <w:rPr>
          <w:b/>
          <w:lang w:val="en-NZ"/>
        </w:rPr>
        <w:tab/>
        <w:t>Issues for Consideration at Next APG Meeting</w:t>
      </w:r>
    </w:p>
    <w:p w14:paraId="74FB50A2" w14:textId="6E0080C6" w:rsidR="00493E0A" w:rsidRPr="008A3849" w:rsidRDefault="00493E0A" w:rsidP="003D3D47">
      <w:pPr>
        <w:numPr>
          <w:ilvl w:val="0"/>
          <w:numId w:val="18"/>
        </w:numPr>
        <w:ind w:leftChars="145" w:left="708"/>
        <w:jc w:val="both"/>
        <w:rPr>
          <w:lang w:val="en-NZ"/>
        </w:rPr>
      </w:pPr>
      <w:r w:rsidRPr="00493E0A">
        <w:rPr>
          <w:bCs/>
        </w:rPr>
        <w:lastRenderedPageBreak/>
        <w:t>APT Members are encouraged to participate in and submit their contributions to WP 7B and future APG meetings.</w:t>
      </w:r>
    </w:p>
    <w:p w14:paraId="0FB3F16B" w14:textId="77777777" w:rsidR="008A3849" w:rsidRPr="00441526" w:rsidRDefault="008A3849" w:rsidP="008A3849">
      <w:pPr>
        <w:ind w:left="708"/>
        <w:jc w:val="both"/>
        <w:rPr>
          <w:lang w:val="en-NZ"/>
        </w:rPr>
      </w:pPr>
      <w:bookmarkStart w:id="0" w:name="_GoBack"/>
      <w:bookmarkEnd w:id="0"/>
    </w:p>
    <w:p w14:paraId="54A93426" w14:textId="76E6D54C" w:rsidR="00D92624" w:rsidRPr="006F518F" w:rsidRDefault="002A0111" w:rsidP="00D92624">
      <w:pPr>
        <w:spacing w:before="120" w:after="120"/>
        <w:jc w:val="both"/>
        <w:rPr>
          <w:lang w:val="en-NZ"/>
        </w:rPr>
      </w:pPr>
      <w:r>
        <w:rPr>
          <w:b/>
          <w:lang w:val="en-NZ"/>
        </w:rPr>
        <w:t>7</w:t>
      </w:r>
      <w:r w:rsidRPr="00441526">
        <w:rPr>
          <w:b/>
          <w:lang w:val="en-NZ"/>
        </w:rPr>
        <w:t xml:space="preserve">. </w:t>
      </w:r>
      <w:r w:rsidRPr="00441526">
        <w:rPr>
          <w:b/>
          <w:lang w:val="en-NZ"/>
        </w:rPr>
        <w:tab/>
        <w:t>Views from Other Organisations</w:t>
      </w:r>
    </w:p>
    <w:p w14:paraId="3DC33E29" w14:textId="1D0E0FA5" w:rsidR="002A0111" w:rsidRPr="00441526" w:rsidRDefault="005206E9" w:rsidP="003E2239">
      <w:pPr>
        <w:spacing w:before="120" w:after="120"/>
        <w:jc w:val="both"/>
        <w:rPr>
          <w:b/>
          <w:lang w:val="en-NZ"/>
        </w:rPr>
      </w:pPr>
      <w:r>
        <w:rPr>
          <w:b/>
          <w:lang w:val="en-NZ"/>
        </w:rPr>
        <w:t>7</w:t>
      </w:r>
      <w:r w:rsidR="002A0111" w:rsidRPr="00441526">
        <w:rPr>
          <w:b/>
          <w:lang w:val="en-NZ"/>
        </w:rPr>
        <w:t xml:space="preserve">.1 </w:t>
      </w:r>
      <w:r w:rsidR="002A0111" w:rsidRPr="00441526">
        <w:rPr>
          <w:b/>
          <w:lang w:val="en-NZ"/>
        </w:rPr>
        <w:tab/>
        <w:t>Regional Groups</w:t>
      </w:r>
    </w:p>
    <w:p w14:paraId="20DF63D1" w14:textId="3BAAFDBC" w:rsidR="003123CD" w:rsidRDefault="005206E9" w:rsidP="003E2239">
      <w:pPr>
        <w:spacing w:before="120" w:after="120"/>
        <w:jc w:val="both"/>
        <w:rPr>
          <w:b/>
          <w:lang w:val="en-NZ"/>
        </w:rPr>
      </w:pPr>
      <w:r>
        <w:rPr>
          <w:b/>
          <w:lang w:val="en-NZ"/>
        </w:rPr>
        <w:t>7</w:t>
      </w:r>
      <w:r w:rsidR="00CF6A79">
        <w:rPr>
          <w:b/>
          <w:lang w:val="en-NZ"/>
        </w:rPr>
        <w:t>.1.1</w:t>
      </w:r>
      <w:r w:rsidR="002A0111" w:rsidRPr="00441526">
        <w:rPr>
          <w:b/>
          <w:lang w:val="en-NZ"/>
        </w:rPr>
        <w:t xml:space="preserve"> </w:t>
      </w:r>
      <w:r w:rsidR="002A0111" w:rsidRPr="00441526">
        <w:rPr>
          <w:b/>
          <w:lang w:val="en-NZ"/>
        </w:rPr>
        <w:tab/>
      </w:r>
      <w:r w:rsidR="003123CD">
        <w:rPr>
          <w:b/>
          <w:lang w:val="en-NZ"/>
        </w:rPr>
        <w:t>ASMG</w:t>
      </w:r>
    </w:p>
    <w:p w14:paraId="5A2F7C83" w14:textId="6AC88B3F" w:rsidR="008A3849" w:rsidRPr="008A3849" w:rsidRDefault="008A3849" w:rsidP="003E2239">
      <w:pPr>
        <w:spacing w:before="120" w:after="120"/>
        <w:jc w:val="both"/>
        <w:rPr>
          <w:lang w:val="en-NZ"/>
        </w:rPr>
      </w:pPr>
      <w:r w:rsidRPr="008A3849">
        <w:rPr>
          <w:lang w:val="en-NZ"/>
        </w:rPr>
        <w:t>None</w:t>
      </w:r>
    </w:p>
    <w:p w14:paraId="1CA9DDB4" w14:textId="29D4E9BE" w:rsidR="003123CD" w:rsidRDefault="003123CD" w:rsidP="003E2239">
      <w:pPr>
        <w:spacing w:before="120" w:after="120"/>
        <w:jc w:val="both"/>
        <w:rPr>
          <w:b/>
          <w:lang w:val="en-NZ"/>
        </w:rPr>
      </w:pPr>
      <w:r>
        <w:rPr>
          <w:b/>
          <w:lang w:val="en-NZ"/>
        </w:rPr>
        <w:t>7.1.2</w:t>
      </w:r>
      <w:r>
        <w:rPr>
          <w:b/>
          <w:lang w:val="en-NZ"/>
        </w:rPr>
        <w:tab/>
        <w:t>ATU</w:t>
      </w:r>
    </w:p>
    <w:p w14:paraId="2A92F20A" w14:textId="625C30BD" w:rsidR="008A3849" w:rsidRPr="008A3849" w:rsidRDefault="008A3849" w:rsidP="003E2239">
      <w:pPr>
        <w:spacing w:before="120" w:after="120"/>
        <w:jc w:val="both"/>
        <w:rPr>
          <w:lang w:val="en-NZ"/>
        </w:rPr>
      </w:pPr>
      <w:r w:rsidRPr="008A3849">
        <w:rPr>
          <w:lang w:val="en-NZ"/>
        </w:rPr>
        <w:t>None</w:t>
      </w:r>
    </w:p>
    <w:p w14:paraId="16948FAA" w14:textId="6817ECB2" w:rsidR="002A0111" w:rsidRPr="00441526" w:rsidRDefault="003123CD" w:rsidP="003E2239">
      <w:pPr>
        <w:spacing w:before="120" w:after="120"/>
        <w:jc w:val="both"/>
        <w:rPr>
          <w:b/>
          <w:lang w:val="en-NZ"/>
        </w:rPr>
      </w:pPr>
      <w:r>
        <w:rPr>
          <w:b/>
          <w:lang w:val="en-NZ"/>
        </w:rPr>
        <w:t>7.1.3</w:t>
      </w:r>
      <w:r>
        <w:rPr>
          <w:b/>
          <w:lang w:val="en-NZ"/>
        </w:rPr>
        <w:tab/>
      </w:r>
      <w:r w:rsidR="002A0111" w:rsidRPr="00441526">
        <w:rPr>
          <w:b/>
          <w:lang w:val="en-NZ"/>
        </w:rPr>
        <w:t xml:space="preserve">CEPT </w:t>
      </w:r>
      <w:r w:rsidR="002A0111" w:rsidRPr="003E2239">
        <w:rPr>
          <w:b/>
          <w:lang w:val="en-NZ"/>
        </w:rPr>
        <w:t xml:space="preserve">- </w:t>
      </w:r>
      <w:r w:rsidR="002A0111" w:rsidRPr="00441526">
        <w:rPr>
          <w:b/>
          <w:lang w:val="en-NZ"/>
        </w:rPr>
        <w:t>Document APG19-3/INF-</w:t>
      </w:r>
      <w:r w:rsidR="00493E0A">
        <w:rPr>
          <w:b/>
          <w:lang w:val="en-NZ"/>
        </w:rPr>
        <w:t>06</w:t>
      </w:r>
    </w:p>
    <w:p w14:paraId="78363877" w14:textId="381B6CA1" w:rsidR="002D32AB" w:rsidRDefault="002D32AB" w:rsidP="001C09E8">
      <w:pPr>
        <w:jc w:val="both"/>
      </w:pPr>
      <w:r w:rsidRPr="002D32AB">
        <w:t>Preliminary CEPT position</w:t>
      </w:r>
    </w:p>
    <w:p w14:paraId="3BF78B76" w14:textId="77777777" w:rsidR="00493E0A" w:rsidRDefault="00493E0A" w:rsidP="00CF6A79">
      <w:pPr>
        <w:pStyle w:val="ListParagraph"/>
        <w:numPr>
          <w:ilvl w:val="0"/>
          <w:numId w:val="18"/>
        </w:numPr>
        <w:jc w:val="both"/>
      </w:pPr>
      <w:r w:rsidRPr="00A82C44">
        <w:t xml:space="preserve">CEPT supports additional allocations or upgrades of existing allocations to the space operation service for short duration mission satellites provided that: </w:t>
      </w:r>
    </w:p>
    <w:p w14:paraId="22AE0277" w14:textId="3CBCA2AA" w:rsidR="00493E0A" w:rsidRDefault="00493E0A" w:rsidP="00D41A48">
      <w:pPr>
        <w:pStyle w:val="ListParagraph"/>
        <w:numPr>
          <w:ilvl w:val="0"/>
          <w:numId w:val="29"/>
        </w:numPr>
        <w:ind w:left="709" w:hanging="425"/>
        <w:jc w:val="both"/>
      </w:pPr>
      <w:r w:rsidRPr="00A82C44">
        <w:t xml:space="preserve">Studies of spectrum requirements are based on satellite missions planned and constellation development. </w:t>
      </w:r>
    </w:p>
    <w:p w14:paraId="08A1457B" w14:textId="38CD9AFD" w:rsidR="00493E0A" w:rsidRDefault="00493E0A" w:rsidP="00D41A48">
      <w:pPr>
        <w:pStyle w:val="ListParagraph"/>
        <w:numPr>
          <w:ilvl w:val="0"/>
          <w:numId w:val="29"/>
        </w:numPr>
        <w:ind w:left="709" w:hanging="425"/>
        <w:jc w:val="both"/>
      </w:pPr>
      <w:r w:rsidRPr="00A82C44">
        <w:t xml:space="preserve">Studies of spectrum requirements show the need for additional allocations or upgrades of existing allocations. </w:t>
      </w:r>
    </w:p>
    <w:p w14:paraId="2DF346A4" w14:textId="7325D76E" w:rsidR="00493E0A" w:rsidRDefault="00493E0A" w:rsidP="00D41A48">
      <w:pPr>
        <w:pStyle w:val="ListParagraph"/>
        <w:numPr>
          <w:ilvl w:val="0"/>
          <w:numId w:val="29"/>
        </w:numPr>
        <w:ind w:left="709" w:hanging="425"/>
        <w:jc w:val="both"/>
      </w:pPr>
      <w:r w:rsidRPr="00A82C44">
        <w:t>Studies show compatibility with existing services.</w:t>
      </w:r>
    </w:p>
    <w:p w14:paraId="68E9DBF1" w14:textId="77777777" w:rsidR="00493E0A" w:rsidRDefault="00493E0A" w:rsidP="00CF6A79">
      <w:pPr>
        <w:pStyle w:val="ListParagraph"/>
        <w:numPr>
          <w:ilvl w:val="0"/>
          <w:numId w:val="18"/>
        </w:numPr>
        <w:jc w:val="both"/>
      </w:pPr>
      <w:r w:rsidRPr="00A82C44">
        <w:t xml:space="preserve">CEPT </w:t>
      </w:r>
      <w:proofErr w:type="spellStart"/>
      <w:r w:rsidRPr="00A82C44">
        <w:t>recognises</w:t>
      </w:r>
      <w:proofErr w:type="spellEnd"/>
      <w:r w:rsidRPr="00A82C44">
        <w:t xml:space="preserve"> that studies with regard to the bands 399.9-400.05 MHz and 401-403 MHz, if any, will have to take into account the considerations under Agenda item 1.2. In addition, CEPT is of the view that co-channel sharing between Earth-to-space links of non-GSO short duration missions and GSO Data Collection Systems is not feasible in the band 401-403 </w:t>
      </w:r>
      <w:proofErr w:type="spellStart"/>
      <w:r w:rsidRPr="00A82C44">
        <w:t>MHz.</w:t>
      </w:r>
      <w:proofErr w:type="spellEnd"/>
      <w:r w:rsidRPr="00A82C44">
        <w:t xml:space="preserve"> CEPT </w:t>
      </w:r>
      <w:proofErr w:type="spellStart"/>
      <w:r w:rsidRPr="00A82C44">
        <w:t>recognises</w:t>
      </w:r>
      <w:proofErr w:type="spellEnd"/>
      <w:r w:rsidRPr="00A82C44">
        <w:t xml:space="preserve"> that all allocations to the space operation service in the Earth-to-space direction below 1 GHz are subject to coordination under No 9.21. The application of this provision is not suitable for short duration non-GSO satellites. Therefore, CEPT is of the view that, in addition to considering additional allocations to the space operation service in the Earth-to-space direction, there may be a need to consider modifying the current regulatory situation in the existing allocations.</w:t>
      </w:r>
    </w:p>
    <w:p w14:paraId="6EA788A3" w14:textId="77777777" w:rsidR="00493E0A" w:rsidRDefault="00493E0A" w:rsidP="00CF6A79">
      <w:pPr>
        <w:pStyle w:val="ListParagraph"/>
        <w:numPr>
          <w:ilvl w:val="0"/>
          <w:numId w:val="18"/>
        </w:numPr>
        <w:jc w:val="both"/>
      </w:pPr>
      <w:r w:rsidRPr="00A82C44">
        <w:t>CEPT is of the view that consideration of the frequency band 154-156 MHz as candidate for operation of non-GSO satellites with short duration missions is not feasible due to difficulties in sharing with the incumbent services (the radiolocation service). CEPT is of the view that any consideration of bands for use under this agenda item must exclude the 406-406.1 MHz COSPAS-SARSAT band as well as its adjacent 405.9-406 MHz and 406.1-406.2 MHz bands (see resolves 1 of Resolution 205 (WRC-15)). CEPT is of the view that sharing between non-GSO satellites with short duration missions and the radio astronomy service in the frequency bands 150.05-153 MHz and 406.1-410 MHz is not feasible in the Earth-to-space direction as well as the space-to-Earth direction.</w:t>
      </w:r>
    </w:p>
    <w:p w14:paraId="2F68DA08" w14:textId="7514D6AA" w:rsidR="002A0111" w:rsidRPr="00441526" w:rsidRDefault="005206E9" w:rsidP="003E2239">
      <w:pPr>
        <w:spacing w:before="120" w:after="120"/>
        <w:jc w:val="both"/>
        <w:rPr>
          <w:b/>
          <w:lang w:val="en-NZ"/>
        </w:rPr>
      </w:pPr>
      <w:r>
        <w:rPr>
          <w:b/>
          <w:lang w:val="en-NZ"/>
        </w:rPr>
        <w:t>7</w:t>
      </w:r>
      <w:r w:rsidR="00CF6A79">
        <w:rPr>
          <w:b/>
          <w:lang w:val="en-NZ"/>
        </w:rPr>
        <w:t>.1.</w:t>
      </w:r>
      <w:r w:rsidR="003123CD">
        <w:rPr>
          <w:b/>
          <w:lang w:val="en-NZ"/>
        </w:rPr>
        <w:t>4</w:t>
      </w:r>
      <w:r w:rsidR="002A0111" w:rsidRPr="00441526">
        <w:rPr>
          <w:b/>
          <w:lang w:val="en-NZ"/>
        </w:rPr>
        <w:t xml:space="preserve"> </w:t>
      </w:r>
      <w:r w:rsidR="002A0111" w:rsidRPr="00441526">
        <w:rPr>
          <w:b/>
          <w:lang w:val="en-NZ"/>
        </w:rPr>
        <w:tab/>
        <w:t xml:space="preserve">CITEL </w:t>
      </w:r>
      <w:r w:rsidR="002A0111" w:rsidRPr="003E2239">
        <w:rPr>
          <w:b/>
          <w:lang w:val="en-NZ"/>
        </w:rPr>
        <w:t xml:space="preserve">- </w:t>
      </w:r>
      <w:r w:rsidR="00493E0A">
        <w:rPr>
          <w:b/>
          <w:lang w:val="en-NZ"/>
        </w:rPr>
        <w:t>Document APG19-3/INF-08 (Rev.1)</w:t>
      </w:r>
    </w:p>
    <w:p w14:paraId="0C6A1C14" w14:textId="11B135E6" w:rsidR="002A0111" w:rsidRPr="003E2239" w:rsidRDefault="00687F98" w:rsidP="00687F98">
      <w:pPr>
        <w:pStyle w:val="ListParagraph"/>
        <w:ind w:left="280"/>
        <w:jc w:val="both"/>
      </w:pPr>
      <w:r w:rsidRPr="00687F98">
        <w:rPr>
          <w:lang w:val="en-NZ"/>
        </w:rPr>
        <w:t xml:space="preserve">Preliminary views from a few countries support studies to support innovation and experimentation with </w:t>
      </w:r>
      <w:proofErr w:type="spellStart"/>
      <w:r w:rsidRPr="00687F98">
        <w:rPr>
          <w:lang w:val="en-NZ"/>
        </w:rPr>
        <w:t>cubesats</w:t>
      </w:r>
      <w:proofErr w:type="spellEnd"/>
      <w:r w:rsidRPr="00687F98">
        <w:rPr>
          <w:lang w:val="en-NZ"/>
        </w:rPr>
        <w:t>. There is a need to avoid GMDSS, COSPAS/SARSAT and heavily used fixed and mobile bands.  A single spacecraft with a lifetime of less than typically three years, where the operator does not launch replenishment or replacement spacecraft, is considered a short duration mission</w:t>
      </w:r>
    </w:p>
    <w:p w14:paraId="05C6AAF7" w14:textId="31997337" w:rsidR="008A3849" w:rsidRDefault="003123CD" w:rsidP="003E2239">
      <w:pPr>
        <w:spacing w:before="120" w:after="120"/>
        <w:jc w:val="both"/>
        <w:rPr>
          <w:b/>
          <w:lang w:val="en-NZ"/>
        </w:rPr>
      </w:pPr>
      <w:r>
        <w:rPr>
          <w:b/>
          <w:lang w:val="en-NZ"/>
        </w:rPr>
        <w:t>7.1.5</w:t>
      </w:r>
      <w:r>
        <w:rPr>
          <w:b/>
          <w:lang w:val="en-NZ"/>
        </w:rPr>
        <w:tab/>
        <w:t>RCC</w:t>
      </w:r>
    </w:p>
    <w:p w14:paraId="66E5C245" w14:textId="77777777" w:rsidR="008A3849" w:rsidRPr="008A3849" w:rsidRDefault="008A3849" w:rsidP="003E2239">
      <w:pPr>
        <w:spacing w:before="120" w:after="120"/>
        <w:jc w:val="both"/>
        <w:rPr>
          <w:lang w:val="en-NZ"/>
        </w:rPr>
      </w:pPr>
      <w:r w:rsidRPr="008A3849">
        <w:rPr>
          <w:lang w:val="en-NZ"/>
        </w:rPr>
        <w:t>None</w:t>
      </w:r>
    </w:p>
    <w:p w14:paraId="0F8F5D30" w14:textId="175AC13D" w:rsidR="008A3849" w:rsidRDefault="005206E9" w:rsidP="003E2239">
      <w:pPr>
        <w:spacing w:before="120" w:after="120"/>
        <w:jc w:val="both"/>
        <w:rPr>
          <w:b/>
          <w:lang w:val="en-NZ"/>
        </w:rPr>
      </w:pPr>
      <w:r>
        <w:rPr>
          <w:b/>
          <w:lang w:val="en-NZ"/>
        </w:rPr>
        <w:lastRenderedPageBreak/>
        <w:t>7</w:t>
      </w:r>
      <w:r w:rsidR="002A0111" w:rsidRPr="00441526">
        <w:rPr>
          <w:b/>
          <w:lang w:val="en-NZ"/>
        </w:rPr>
        <w:t xml:space="preserve">.2 </w:t>
      </w:r>
      <w:r w:rsidR="002A0111" w:rsidRPr="00441526">
        <w:rPr>
          <w:b/>
          <w:lang w:val="en-NZ"/>
        </w:rPr>
        <w:tab/>
        <w:t>International Organisations</w:t>
      </w:r>
    </w:p>
    <w:p w14:paraId="409B59F6" w14:textId="09F6BFF9" w:rsidR="002A0111" w:rsidRDefault="003123CD" w:rsidP="003E2239">
      <w:pPr>
        <w:spacing w:before="120" w:after="120"/>
        <w:jc w:val="both"/>
        <w:rPr>
          <w:b/>
          <w:lang w:val="en-NZ"/>
        </w:rPr>
      </w:pPr>
      <w:r>
        <w:rPr>
          <w:b/>
          <w:lang w:val="en-NZ"/>
        </w:rPr>
        <w:t>7.2.1</w:t>
      </w:r>
      <w:r w:rsidR="00CF6A79">
        <w:rPr>
          <w:b/>
          <w:lang w:val="en-NZ"/>
        </w:rPr>
        <w:t xml:space="preserve"> </w:t>
      </w:r>
      <w:r w:rsidR="002A0111" w:rsidRPr="00441526">
        <w:rPr>
          <w:b/>
          <w:lang w:val="en-NZ"/>
        </w:rPr>
        <w:t>IARU</w:t>
      </w:r>
      <w:r w:rsidR="00493E0A">
        <w:rPr>
          <w:b/>
          <w:lang w:val="en-NZ"/>
        </w:rPr>
        <w:t xml:space="preserve"> (R3)</w:t>
      </w:r>
      <w:r w:rsidR="002A0111" w:rsidRPr="00441526">
        <w:rPr>
          <w:b/>
          <w:lang w:val="en-NZ"/>
        </w:rPr>
        <w:t xml:space="preserve"> </w:t>
      </w:r>
      <w:r w:rsidR="002A0111" w:rsidRPr="003E2239">
        <w:rPr>
          <w:b/>
          <w:lang w:val="en-NZ"/>
        </w:rPr>
        <w:t xml:space="preserve">- </w:t>
      </w:r>
      <w:r w:rsidR="00493E0A">
        <w:rPr>
          <w:b/>
          <w:lang w:val="en-NZ"/>
        </w:rPr>
        <w:t>Document APG19-3/INF-09</w:t>
      </w:r>
    </w:p>
    <w:p w14:paraId="29B991C3" w14:textId="7F23545C" w:rsidR="002D32AB" w:rsidRPr="00441526" w:rsidRDefault="002D32AB" w:rsidP="003E2239">
      <w:pPr>
        <w:spacing w:before="120" w:after="120"/>
        <w:jc w:val="both"/>
        <w:rPr>
          <w:b/>
          <w:lang w:val="en-NZ"/>
        </w:rPr>
      </w:pPr>
      <w:r w:rsidRPr="002D32AB">
        <w:rPr>
          <w:b/>
        </w:rPr>
        <w:t>IARU preliminary view</w:t>
      </w:r>
    </w:p>
    <w:p w14:paraId="3E157F65" w14:textId="77777777" w:rsidR="003123CD" w:rsidRDefault="003E2239">
      <w:pPr>
        <w:pStyle w:val="ListParagraph"/>
        <w:numPr>
          <w:ilvl w:val="0"/>
          <w:numId w:val="18"/>
        </w:numPr>
        <w:suppressAutoHyphens/>
        <w:jc w:val="both"/>
        <w:rPr>
          <w:rFonts w:eastAsia="Times New Roman"/>
          <w:kern w:val="2"/>
          <w:lang w:eastAsia="ar-SA"/>
        </w:rPr>
      </w:pPr>
      <w:r w:rsidRPr="003E2239">
        <w:rPr>
          <w:rFonts w:eastAsia="Times New Roman"/>
          <w:kern w:val="2"/>
          <w:lang w:eastAsia="ar-SA"/>
        </w:rPr>
        <w:t xml:space="preserve">The IARU supports satisfying the spectrum requirements for non-GSO satellites with short duration missions within the existing allocations for the space operation service or the frequency ranges identified in </w:t>
      </w:r>
      <w:r w:rsidRPr="003E2239">
        <w:rPr>
          <w:rFonts w:eastAsia="Times New Roman"/>
          <w:i/>
          <w:kern w:val="2"/>
          <w:lang w:eastAsia="ar-SA"/>
        </w:rPr>
        <w:t>invites ITU-R 3</w:t>
      </w:r>
      <w:r w:rsidRPr="003E2239">
        <w:rPr>
          <w:rFonts w:eastAsia="Times New Roman"/>
          <w:kern w:val="2"/>
          <w:lang w:eastAsia="ar-SA"/>
        </w:rPr>
        <w:t xml:space="preserve"> of Resolution </w:t>
      </w:r>
      <w:r w:rsidRPr="003E2239">
        <w:rPr>
          <w:rFonts w:eastAsia="Times New Roman"/>
          <w:b/>
          <w:kern w:val="2"/>
          <w:lang w:eastAsia="ar-SA"/>
        </w:rPr>
        <w:t>659</w:t>
      </w:r>
      <w:r w:rsidRPr="003E2239">
        <w:rPr>
          <w:rFonts w:eastAsia="Times New Roman"/>
          <w:kern w:val="2"/>
          <w:lang w:eastAsia="ar-SA"/>
        </w:rPr>
        <w:t xml:space="preserve"> (WRC-15), unless the satellites are amateur satellites as defined in RR Nos. </w:t>
      </w:r>
      <w:r w:rsidRPr="003E2239">
        <w:rPr>
          <w:rFonts w:eastAsia="Times New Roman"/>
          <w:b/>
          <w:kern w:val="2"/>
          <w:lang w:eastAsia="ar-SA"/>
        </w:rPr>
        <w:t>1.56</w:t>
      </w:r>
      <w:r w:rsidRPr="003E2239">
        <w:rPr>
          <w:rFonts w:eastAsia="Times New Roman"/>
          <w:kern w:val="2"/>
          <w:lang w:eastAsia="ar-SA"/>
        </w:rPr>
        <w:t xml:space="preserve"> and </w:t>
      </w:r>
      <w:r w:rsidRPr="003E2239">
        <w:rPr>
          <w:rFonts w:eastAsia="Times New Roman"/>
          <w:b/>
          <w:kern w:val="2"/>
          <w:lang w:eastAsia="ar-SA"/>
        </w:rPr>
        <w:t>1.57</w:t>
      </w:r>
      <w:r w:rsidRPr="003E2239">
        <w:rPr>
          <w:rFonts w:eastAsia="Times New Roman"/>
          <w:kern w:val="2"/>
          <w:lang w:eastAsia="ar-SA"/>
        </w:rPr>
        <w:t>.</w:t>
      </w:r>
    </w:p>
    <w:p w14:paraId="117E1FDA" w14:textId="77777777" w:rsidR="008A3849" w:rsidRDefault="008A3849" w:rsidP="008A3849">
      <w:pPr>
        <w:pStyle w:val="ListParagraph"/>
        <w:suppressAutoHyphens/>
        <w:ind w:left="180"/>
        <w:jc w:val="both"/>
        <w:rPr>
          <w:rFonts w:eastAsia="Times New Roman"/>
          <w:b/>
          <w:kern w:val="2"/>
          <w:lang w:eastAsia="ar-SA"/>
        </w:rPr>
      </w:pPr>
    </w:p>
    <w:p w14:paraId="5AA11873" w14:textId="59C52107" w:rsidR="003123CD" w:rsidRDefault="003123CD" w:rsidP="008A3849">
      <w:pPr>
        <w:pStyle w:val="ListParagraph"/>
        <w:suppressAutoHyphens/>
        <w:ind w:left="180"/>
        <w:jc w:val="both"/>
        <w:rPr>
          <w:rFonts w:eastAsia="Times New Roman"/>
          <w:b/>
          <w:kern w:val="2"/>
          <w:lang w:eastAsia="ar-SA"/>
        </w:rPr>
      </w:pPr>
      <w:r w:rsidRPr="008A3849">
        <w:rPr>
          <w:rFonts w:eastAsia="Times New Roman"/>
          <w:b/>
          <w:kern w:val="2"/>
          <w:lang w:eastAsia="ar-SA"/>
        </w:rPr>
        <w:t>7.2.1</w:t>
      </w:r>
      <w:r w:rsidRPr="008A3849">
        <w:rPr>
          <w:rFonts w:eastAsia="Times New Roman"/>
          <w:b/>
          <w:kern w:val="2"/>
          <w:lang w:eastAsia="ar-SA"/>
        </w:rPr>
        <w:tab/>
        <w:t>ICAO</w:t>
      </w:r>
    </w:p>
    <w:p w14:paraId="2E9898E8" w14:textId="77777777" w:rsidR="008A3849" w:rsidRDefault="008A3849" w:rsidP="008A3849">
      <w:pPr>
        <w:pStyle w:val="ListParagraph"/>
        <w:suppressAutoHyphens/>
        <w:ind w:left="180"/>
        <w:jc w:val="both"/>
        <w:rPr>
          <w:rFonts w:eastAsia="Times New Roman"/>
          <w:b/>
          <w:kern w:val="2"/>
          <w:lang w:eastAsia="ar-SA"/>
        </w:rPr>
      </w:pPr>
    </w:p>
    <w:p w14:paraId="2F2EC44A" w14:textId="302D13B7" w:rsidR="008A3849" w:rsidRPr="008A3849" w:rsidRDefault="008A3849" w:rsidP="008A3849">
      <w:pPr>
        <w:pStyle w:val="ListParagraph"/>
        <w:suppressAutoHyphens/>
        <w:ind w:left="180"/>
        <w:jc w:val="both"/>
        <w:rPr>
          <w:rFonts w:eastAsia="Times New Roman"/>
          <w:kern w:val="2"/>
          <w:lang w:eastAsia="ar-SA"/>
        </w:rPr>
      </w:pPr>
      <w:r w:rsidRPr="008A3849">
        <w:rPr>
          <w:rFonts w:eastAsia="Times New Roman"/>
          <w:kern w:val="2"/>
          <w:lang w:eastAsia="ar-SA"/>
        </w:rPr>
        <w:t>None.</w:t>
      </w:r>
    </w:p>
    <w:p w14:paraId="3F3F0572" w14:textId="3B189D8F" w:rsidR="00654896" w:rsidRPr="002A0111" w:rsidRDefault="002A0111" w:rsidP="00CF6A79">
      <w:pPr>
        <w:jc w:val="center"/>
        <w:rPr>
          <w:lang w:val="en-NZ"/>
        </w:rPr>
      </w:pPr>
      <w:r w:rsidRPr="00441526">
        <w:rPr>
          <w:lang w:val="en-NZ"/>
        </w:rPr>
        <w:t>____________</w:t>
      </w:r>
    </w:p>
    <w:sectPr w:rsidR="00654896" w:rsidRPr="002A0111" w:rsidSect="0092727B">
      <w:headerReference w:type="default" r:id="rId14"/>
      <w:footerReference w:type="even" r:id="rId15"/>
      <w:footerReference w:type="default" r:id="rId16"/>
      <w:headerReference w:type="first" r:id="rId17"/>
      <w:footerReference w:type="first" r:id="rId18"/>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AF6A" w14:textId="77777777" w:rsidR="00393B5C" w:rsidRDefault="00393B5C">
      <w:r>
        <w:separator/>
      </w:r>
    </w:p>
  </w:endnote>
  <w:endnote w:type="continuationSeparator" w:id="0">
    <w:p w14:paraId="64E75032" w14:textId="77777777" w:rsidR="00393B5C" w:rsidRDefault="0039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23888842" w:rsidR="0097693B" w:rsidRDefault="0092727B" w:rsidP="009B4B1C">
    <w:pPr>
      <w:pStyle w:val="Footer"/>
      <w:tabs>
        <w:tab w:val="clear" w:pos="4320"/>
        <w:tab w:val="clear" w:pos="8640"/>
        <w:tab w:val="left" w:pos="2145"/>
        <w:tab w:val="right" w:pos="9180"/>
      </w:tabs>
      <w:ind w:right="-7"/>
    </w:pPr>
    <w:r>
      <w:rPr>
        <w:rFonts w:hint="eastAsia"/>
        <w:lang w:eastAsia="ko-KR"/>
      </w:rPr>
      <w:t>A</w:t>
    </w:r>
    <w:r w:rsidR="009B4B1C">
      <w:rPr>
        <w:lang w:eastAsia="ko-KR"/>
      </w:rPr>
      <w:t>PG19-3/OUT-20</w:t>
    </w:r>
    <w:r w:rsidR="009B4B1C">
      <w:rPr>
        <w:lang w:eastAsia="ko-KR"/>
      </w:rPr>
      <w:tab/>
    </w:r>
    <w:r w:rsidR="009B4B1C">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A3849">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A3849">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8717A" w:rsidRPr="00353DE2" w14:paraId="761ADA2C" w14:textId="77777777" w:rsidTr="008C0475">
      <w:trPr>
        <w:cantSplit/>
        <w:trHeight w:val="204"/>
        <w:jc w:val="center"/>
      </w:trPr>
      <w:tc>
        <w:tcPr>
          <w:tcW w:w="1617" w:type="dxa"/>
          <w:tcBorders>
            <w:top w:val="single" w:sz="12" w:space="0" w:color="auto"/>
          </w:tcBorders>
        </w:tcPr>
        <w:p w14:paraId="4C06ACD6" w14:textId="77777777" w:rsidR="0038717A" w:rsidRPr="00353DE2" w:rsidRDefault="0038717A" w:rsidP="0038717A">
          <w:pPr>
            <w:rPr>
              <w:b/>
              <w:bCs/>
            </w:rPr>
          </w:pPr>
          <w:r w:rsidRPr="00353DE2">
            <w:rPr>
              <w:b/>
              <w:bCs/>
            </w:rPr>
            <w:t xml:space="preserve">Contact: </w:t>
          </w:r>
        </w:p>
      </w:tc>
      <w:tc>
        <w:tcPr>
          <w:tcW w:w="4394" w:type="dxa"/>
          <w:tcBorders>
            <w:top w:val="single" w:sz="12" w:space="0" w:color="auto"/>
          </w:tcBorders>
        </w:tcPr>
        <w:p w14:paraId="37217991" w14:textId="77777777" w:rsidR="0038717A" w:rsidRPr="00353DE2" w:rsidRDefault="0038717A" w:rsidP="0038717A">
          <w:r w:rsidRPr="00353DE2">
            <w:rPr>
              <w:rFonts w:eastAsia="Batang"/>
            </w:rPr>
            <w:t xml:space="preserve">DR. </w:t>
          </w:r>
          <w:r w:rsidRPr="00353DE2">
            <w:t xml:space="preserve">ATMADJI W. SOEWITO </w:t>
          </w:r>
        </w:p>
        <w:p w14:paraId="1A4171C4" w14:textId="77777777" w:rsidR="0038717A" w:rsidRPr="00353DE2" w:rsidRDefault="0038717A" w:rsidP="0038717A">
          <w:pPr>
            <w:rPr>
              <w:rFonts w:eastAsia="Batang"/>
            </w:rPr>
          </w:pPr>
          <w:r w:rsidRPr="00353DE2">
            <w:t>Chairman, WP4</w:t>
          </w:r>
        </w:p>
      </w:tc>
      <w:tc>
        <w:tcPr>
          <w:tcW w:w="3912" w:type="dxa"/>
          <w:tcBorders>
            <w:top w:val="single" w:sz="12" w:space="0" w:color="auto"/>
          </w:tcBorders>
        </w:tcPr>
        <w:p w14:paraId="5BB6279F" w14:textId="77777777" w:rsidR="0038717A" w:rsidRPr="00353DE2" w:rsidRDefault="0038717A" w:rsidP="0038717A">
          <w:pPr>
            <w:rPr>
              <w:lang w:eastAsia="ja-JP"/>
            </w:rPr>
          </w:pPr>
          <w:r w:rsidRPr="00353DE2">
            <w:rPr>
              <w:lang w:eastAsia="ja-JP"/>
            </w:rPr>
            <w:t xml:space="preserve">Email: </w:t>
          </w:r>
          <w:hyperlink r:id="rId1" w:history="1">
            <w:r w:rsidRPr="00353DE2">
              <w:rPr>
                <w:color w:val="0000FF" w:themeColor="hyperlink"/>
                <w:u w:val="single"/>
                <w:lang w:eastAsia="ja-JP"/>
              </w:rPr>
              <w:t>atmadji@rfd-tech.com</w:t>
            </w:r>
          </w:hyperlink>
          <w:r w:rsidRPr="00353DE2">
            <w:rPr>
              <w:lang w:eastAsia="ja-JP"/>
            </w:rPr>
            <w:t xml:space="preserve"> </w:t>
          </w:r>
        </w:p>
      </w:tc>
    </w:tr>
  </w:tbl>
  <w:p w14:paraId="2E0E6781" w14:textId="64F17CD3"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F8015" w14:textId="77777777" w:rsidR="00393B5C" w:rsidRDefault="00393B5C">
      <w:r>
        <w:separator/>
      </w:r>
    </w:p>
  </w:footnote>
  <w:footnote w:type="continuationSeparator" w:id="0">
    <w:p w14:paraId="749337D2" w14:textId="77777777" w:rsidR="00393B5C" w:rsidRDefault="00393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97693B" w:rsidRDefault="0097693B" w:rsidP="0092727B">
    <w:pPr>
      <w:pStyle w:val="Header"/>
      <w:tabs>
        <w:tab w:val="clear" w:pos="4320"/>
        <w:tab w:val="clear" w:pos="8640"/>
      </w:tabs>
      <w:rPr>
        <w:lang w:eastAsia="ko-KR"/>
      </w:rPr>
    </w:pPr>
  </w:p>
  <w:p w14:paraId="2E0E6779"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F7049F"/>
    <w:multiLevelType w:val="hybridMultilevel"/>
    <w:tmpl w:val="0EC03346"/>
    <w:lvl w:ilvl="0" w:tplc="5B7E6A96">
      <w:start w:val="1"/>
      <w:numFmt w:val="bullet"/>
      <w:lvlText w:val="&gt;"/>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61266E"/>
    <w:multiLevelType w:val="hybridMultilevel"/>
    <w:tmpl w:val="10C00A4C"/>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0B5B"/>
    <w:multiLevelType w:val="hybridMultilevel"/>
    <w:tmpl w:val="C39843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5770EDAE"/>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CB16C8BC">
      <w:start w:val="4"/>
      <w:numFmt w:val="bullet"/>
      <w:lvlText w:val="•"/>
      <w:lvlJc w:val="left"/>
      <w:pPr>
        <w:ind w:left="1880" w:hanging="360"/>
      </w:pPr>
      <w:rPr>
        <w:rFonts w:ascii="Times New Roman" w:eastAsia="BatangChe" w:hAnsi="Times New Roman" w:cs="Times New Roman"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F844EA7"/>
    <w:multiLevelType w:val="hybridMultilevel"/>
    <w:tmpl w:val="B6E04B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4A0F77"/>
    <w:multiLevelType w:val="hybridMultilevel"/>
    <w:tmpl w:val="DA0A5D1C"/>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start w:val="1"/>
      <w:numFmt w:val="bullet"/>
      <w:lvlText w:val=""/>
      <w:lvlJc w:val="left"/>
      <w:pPr>
        <w:ind w:left="2440" w:hanging="360"/>
      </w:pPr>
      <w:rPr>
        <w:rFonts w:ascii="Wingdings" w:hAnsi="Wingdings" w:hint="default"/>
      </w:rPr>
    </w:lvl>
    <w:lvl w:ilvl="3" w:tplc="04090001">
      <w:start w:val="1"/>
      <w:numFmt w:val="bullet"/>
      <w:lvlText w:val=""/>
      <w:lvlJc w:val="left"/>
      <w:pPr>
        <w:ind w:left="3160" w:hanging="360"/>
      </w:pPr>
      <w:rPr>
        <w:rFonts w:ascii="Symbol" w:hAnsi="Symbol" w:hint="default"/>
      </w:rPr>
    </w:lvl>
    <w:lvl w:ilvl="4" w:tplc="04090003">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5A787F92"/>
    <w:multiLevelType w:val="hybridMultilevel"/>
    <w:tmpl w:val="6B983C3E"/>
    <w:lvl w:ilvl="0" w:tplc="04090005">
      <w:start w:val="1"/>
      <w:numFmt w:val="bullet"/>
      <w:lvlText w:val=""/>
      <w:lvlJc w:val="left"/>
      <w:pPr>
        <w:ind w:left="640" w:hanging="360"/>
      </w:pPr>
      <w:rPr>
        <w:rFonts w:ascii="Wingdings" w:hAnsi="Wingdings" w:hint="default"/>
      </w:rPr>
    </w:lvl>
    <w:lvl w:ilvl="1" w:tplc="04090003" w:tentative="1">
      <w:start w:val="1"/>
      <w:numFmt w:val="bullet"/>
      <w:lvlText w:val=""/>
      <w:lvlJc w:val="left"/>
      <w:pPr>
        <w:ind w:left="1080" w:hanging="400"/>
      </w:pPr>
      <w:rPr>
        <w:rFonts w:ascii="Wingdings" w:hAnsi="Wingdings"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8"/>
  </w:num>
  <w:num w:numId="3">
    <w:abstractNumId w:val="7"/>
  </w:num>
  <w:num w:numId="4">
    <w:abstractNumId w:val="22"/>
  </w:num>
  <w:num w:numId="5">
    <w:abstractNumId w:val="11"/>
  </w:num>
  <w:num w:numId="6">
    <w:abstractNumId w:val="13"/>
  </w:num>
  <w:num w:numId="7">
    <w:abstractNumId w:val="5"/>
  </w:num>
  <w:num w:numId="8">
    <w:abstractNumId w:val="2"/>
  </w:num>
  <w:num w:numId="9">
    <w:abstractNumId w:val="25"/>
  </w:num>
  <w:num w:numId="10">
    <w:abstractNumId w:val="20"/>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6"/>
  </w:num>
  <w:num w:numId="17">
    <w:abstractNumId w:val="19"/>
  </w:num>
  <w:num w:numId="18">
    <w:abstractNumId w:val="14"/>
  </w:num>
  <w:num w:numId="19">
    <w:abstractNumId w:val="24"/>
  </w:num>
  <w:num w:numId="20">
    <w:abstractNumId w:val="10"/>
  </w:num>
  <w:num w:numId="21">
    <w:abstractNumId w:val="23"/>
  </w:num>
  <w:num w:numId="22">
    <w:abstractNumId w:val="27"/>
  </w:num>
  <w:num w:numId="23">
    <w:abstractNumId w:val="4"/>
  </w:num>
  <w:num w:numId="24">
    <w:abstractNumId w:val="18"/>
  </w:num>
  <w:num w:numId="25">
    <w:abstractNumId w:val="15"/>
  </w:num>
  <w:num w:numId="26">
    <w:abstractNumId w:val="21"/>
  </w:num>
  <w:num w:numId="27">
    <w:abstractNumId w:val="3"/>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22CE"/>
    <w:rsid w:val="0003595B"/>
    <w:rsid w:val="00036517"/>
    <w:rsid w:val="00036CC9"/>
    <w:rsid w:val="00040149"/>
    <w:rsid w:val="000425C1"/>
    <w:rsid w:val="00070642"/>
    <w:rsid w:val="000713CF"/>
    <w:rsid w:val="00075C14"/>
    <w:rsid w:val="000822B5"/>
    <w:rsid w:val="00094B87"/>
    <w:rsid w:val="000A012B"/>
    <w:rsid w:val="000A13EF"/>
    <w:rsid w:val="000A5418"/>
    <w:rsid w:val="000D47FB"/>
    <w:rsid w:val="000E3B79"/>
    <w:rsid w:val="000F345F"/>
    <w:rsid w:val="000F517C"/>
    <w:rsid w:val="000F5540"/>
    <w:rsid w:val="00105F1A"/>
    <w:rsid w:val="00125FBD"/>
    <w:rsid w:val="001409B2"/>
    <w:rsid w:val="00152636"/>
    <w:rsid w:val="001539DD"/>
    <w:rsid w:val="00156782"/>
    <w:rsid w:val="00165F01"/>
    <w:rsid w:val="001731F4"/>
    <w:rsid w:val="001916F2"/>
    <w:rsid w:val="001930A7"/>
    <w:rsid w:val="00196568"/>
    <w:rsid w:val="00197C18"/>
    <w:rsid w:val="001A2F16"/>
    <w:rsid w:val="001B1804"/>
    <w:rsid w:val="001B18C2"/>
    <w:rsid w:val="001C09E8"/>
    <w:rsid w:val="001C253E"/>
    <w:rsid w:val="001C443F"/>
    <w:rsid w:val="001C61A5"/>
    <w:rsid w:val="001C6707"/>
    <w:rsid w:val="001D5D7E"/>
    <w:rsid w:val="001E7D8B"/>
    <w:rsid w:val="001F5947"/>
    <w:rsid w:val="00202410"/>
    <w:rsid w:val="00214A0C"/>
    <w:rsid w:val="0021588B"/>
    <w:rsid w:val="002161B6"/>
    <w:rsid w:val="002216AC"/>
    <w:rsid w:val="002475E2"/>
    <w:rsid w:val="002506D2"/>
    <w:rsid w:val="00250DE2"/>
    <w:rsid w:val="00254A1B"/>
    <w:rsid w:val="0026064A"/>
    <w:rsid w:val="00264566"/>
    <w:rsid w:val="00282046"/>
    <w:rsid w:val="0028454D"/>
    <w:rsid w:val="00291C9E"/>
    <w:rsid w:val="002926D4"/>
    <w:rsid w:val="0029734E"/>
    <w:rsid w:val="002A0111"/>
    <w:rsid w:val="002A3CF5"/>
    <w:rsid w:val="002B06A3"/>
    <w:rsid w:val="002B435C"/>
    <w:rsid w:val="002B447F"/>
    <w:rsid w:val="002C07DA"/>
    <w:rsid w:val="002C2A49"/>
    <w:rsid w:val="002C7EA9"/>
    <w:rsid w:val="002D32AB"/>
    <w:rsid w:val="002F575D"/>
    <w:rsid w:val="003113D7"/>
    <w:rsid w:val="00311E8A"/>
    <w:rsid w:val="003123CD"/>
    <w:rsid w:val="00342F20"/>
    <w:rsid w:val="00360377"/>
    <w:rsid w:val="00366548"/>
    <w:rsid w:val="0038005B"/>
    <w:rsid w:val="003809C7"/>
    <w:rsid w:val="0038236C"/>
    <w:rsid w:val="0038717A"/>
    <w:rsid w:val="00393B5C"/>
    <w:rsid w:val="00393DCD"/>
    <w:rsid w:val="00395B40"/>
    <w:rsid w:val="003A2006"/>
    <w:rsid w:val="003A6568"/>
    <w:rsid w:val="003B4FD1"/>
    <w:rsid w:val="003B6263"/>
    <w:rsid w:val="003C29E6"/>
    <w:rsid w:val="003C5102"/>
    <w:rsid w:val="003C64A7"/>
    <w:rsid w:val="003D1128"/>
    <w:rsid w:val="003D1671"/>
    <w:rsid w:val="003D3D47"/>
    <w:rsid w:val="003D3FDA"/>
    <w:rsid w:val="003D6D00"/>
    <w:rsid w:val="003E166F"/>
    <w:rsid w:val="003E2239"/>
    <w:rsid w:val="003F248F"/>
    <w:rsid w:val="003F307E"/>
    <w:rsid w:val="004001E5"/>
    <w:rsid w:val="0041313C"/>
    <w:rsid w:val="00420822"/>
    <w:rsid w:val="00420C74"/>
    <w:rsid w:val="00441526"/>
    <w:rsid w:val="004465AA"/>
    <w:rsid w:val="00446A5E"/>
    <w:rsid w:val="0045458F"/>
    <w:rsid w:val="004633B4"/>
    <w:rsid w:val="00493E0A"/>
    <w:rsid w:val="00495CED"/>
    <w:rsid w:val="004A2F96"/>
    <w:rsid w:val="004A4BDF"/>
    <w:rsid w:val="004B3553"/>
    <w:rsid w:val="004B3F4B"/>
    <w:rsid w:val="004E1FCA"/>
    <w:rsid w:val="004E47D6"/>
    <w:rsid w:val="00503189"/>
    <w:rsid w:val="005109EE"/>
    <w:rsid w:val="00516BD1"/>
    <w:rsid w:val="005206E9"/>
    <w:rsid w:val="00526D01"/>
    <w:rsid w:val="00530E8C"/>
    <w:rsid w:val="00535D34"/>
    <w:rsid w:val="00545933"/>
    <w:rsid w:val="00552105"/>
    <w:rsid w:val="005562F2"/>
    <w:rsid w:val="00557544"/>
    <w:rsid w:val="00565BBB"/>
    <w:rsid w:val="00574997"/>
    <w:rsid w:val="00585F3C"/>
    <w:rsid w:val="00586CA0"/>
    <w:rsid w:val="00587875"/>
    <w:rsid w:val="005A63EB"/>
    <w:rsid w:val="005B0876"/>
    <w:rsid w:val="005C33B6"/>
    <w:rsid w:val="005D6202"/>
    <w:rsid w:val="005D6E98"/>
    <w:rsid w:val="00607E2B"/>
    <w:rsid w:val="006139D6"/>
    <w:rsid w:val="00616D1B"/>
    <w:rsid w:val="00623CE1"/>
    <w:rsid w:val="00627880"/>
    <w:rsid w:val="0063062B"/>
    <w:rsid w:val="00634A82"/>
    <w:rsid w:val="00637351"/>
    <w:rsid w:val="00646166"/>
    <w:rsid w:val="00654896"/>
    <w:rsid w:val="006621F0"/>
    <w:rsid w:val="006647BA"/>
    <w:rsid w:val="00667229"/>
    <w:rsid w:val="006734B2"/>
    <w:rsid w:val="00682BE5"/>
    <w:rsid w:val="00683846"/>
    <w:rsid w:val="00687F98"/>
    <w:rsid w:val="00690FED"/>
    <w:rsid w:val="006939A5"/>
    <w:rsid w:val="006D5223"/>
    <w:rsid w:val="006D5970"/>
    <w:rsid w:val="006E12FC"/>
    <w:rsid w:val="006F0F24"/>
    <w:rsid w:val="006F2B2E"/>
    <w:rsid w:val="006F6A5C"/>
    <w:rsid w:val="00703F6F"/>
    <w:rsid w:val="007052B3"/>
    <w:rsid w:val="00705962"/>
    <w:rsid w:val="00707C21"/>
    <w:rsid w:val="00712451"/>
    <w:rsid w:val="00717DE9"/>
    <w:rsid w:val="00723979"/>
    <w:rsid w:val="0072518B"/>
    <w:rsid w:val="00731041"/>
    <w:rsid w:val="007329E4"/>
    <w:rsid w:val="00732F08"/>
    <w:rsid w:val="007342F0"/>
    <w:rsid w:val="0074190C"/>
    <w:rsid w:val="0075493D"/>
    <w:rsid w:val="00762576"/>
    <w:rsid w:val="007673CA"/>
    <w:rsid w:val="00791060"/>
    <w:rsid w:val="007926EA"/>
    <w:rsid w:val="007B5626"/>
    <w:rsid w:val="007B6124"/>
    <w:rsid w:val="007D3C53"/>
    <w:rsid w:val="007E3A0F"/>
    <w:rsid w:val="007F2628"/>
    <w:rsid w:val="007F2FBA"/>
    <w:rsid w:val="00800C3A"/>
    <w:rsid w:val="0080570B"/>
    <w:rsid w:val="008148E1"/>
    <w:rsid w:val="008319BF"/>
    <w:rsid w:val="008415F0"/>
    <w:rsid w:val="008433C2"/>
    <w:rsid w:val="00844457"/>
    <w:rsid w:val="008454C8"/>
    <w:rsid w:val="00851D78"/>
    <w:rsid w:val="00862017"/>
    <w:rsid w:val="008A016F"/>
    <w:rsid w:val="008A1A0D"/>
    <w:rsid w:val="008A3849"/>
    <w:rsid w:val="008A3A9E"/>
    <w:rsid w:val="008A72E1"/>
    <w:rsid w:val="008A76ED"/>
    <w:rsid w:val="008B3C72"/>
    <w:rsid w:val="008C5462"/>
    <w:rsid w:val="008C5FED"/>
    <w:rsid w:val="008D0E09"/>
    <w:rsid w:val="00903007"/>
    <w:rsid w:val="00923816"/>
    <w:rsid w:val="0092727B"/>
    <w:rsid w:val="0093074B"/>
    <w:rsid w:val="00930E64"/>
    <w:rsid w:val="00943CF9"/>
    <w:rsid w:val="00956F8C"/>
    <w:rsid w:val="00961D57"/>
    <w:rsid w:val="00976716"/>
    <w:rsid w:val="0097693B"/>
    <w:rsid w:val="00993355"/>
    <w:rsid w:val="009963F7"/>
    <w:rsid w:val="009A11CB"/>
    <w:rsid w:val="009A4A6D"/>
    <w:rsid w:val="009B44DD"/>
    <w:rsid w:val="009B4B1C"/>
    <w:rsid w:val="009B7E42"/>
    <w:rsid w:val="009C29EE"/>
    <w:rsid w:val="009D46CE"/>
    <w:rsid w:val="009D4ADA"/>
    <w:rsid w:val="009E13DD"/>
    <w:rsid w:val="009F547A"/>
    <w:rsid w:val="00A03D78"/>
    <w:rsid w:val="00A0503B"/>
    <w:rsid w:val="00A059CD"/>
    <w:rsid w:val="00A13265"/>
    <w:rsid w:val="00A14900"/>
    <w:rsid w:val="00A2159F"/>
    <w:rsid w:val="00A324FF"/>
    <w:rsid w:val="00A529BC"/>
    <w:rsid w:val="00A5346C"/>
    <w:rsid w:val="00A53F51"/>
    <w:rsid w:val="00A554BB"/>
    <w:rsid w:val="00A562F0"/>
    <w:rsid w:val="00A564FB"/>
    <w:rsid w:val="00A614C1"/>
    <w:rsid w:val="00A61EA6"/>
    <w:rsid w:val="00A657BF"/>
    <w:rsid w:val="00A71136"/>
    <w:rsid w:val="00A92578"/>
    <w:rsid w:val="00AA474C"/>
    <w:rsid w:val="00AC35EF"/>
    <w:rsid w:val="00AC4D5B"/>
    <w:rsid w:val="00AD1DDB"/>
    <w:rsid w:val="00AD2697"/>
    <w:rsid w:val="00AD7E5F"/>
    <w:rsid w:val="00AE3066"/>
    <w:rsid w:val="00AF2FDD"/>
    <w:rsid w:val="00AF68E4"/>
    <w:rsid w:val="00B00A87"/>
    <w:rsid w:val="00B01AA1"/>
    <w:rsid w:val="00B06025"/>
    <w:rsid w:val="00B25973"/>
    <w:rsid w:val="00B30C81"/>
    <w:rsid w:val="00B30D30"/>
    <w:rsid w:val="00B30DA1"/>
    <w:rsid w:val="00B4793B"/>
    <w:rsid w:val="00B56099"/>
    <w:rsid w:val="00B64A60"/>
    <w:rsid w:val="00B8468D"/>
    <w:rsid w:val="00B937D7"/>
    <w:rsid w:val="00B96B67"/>
    <w:rsid w:val="00BB0EA4"/>
    <w:rsid w:val="00BC57EF"/>
    <w:rsid w:val="00BC69DB"/>
    <w:rsid w:val="00BE6B6B"/>
    <w:rsid w:val="00BF25F9"/>
    <w:rsid w:val="00C13FD5"/>
    <w:rsid w:val="00C15633"/>
    <w:rsid w:val="00C15799"/>
    <w:rsid w:val="00C2513A"/>
    <w:rsid w:val="00C32E84"/>
    <w:rsid w:val="00C35415"/>
    <w:rsid w:val="00C357AD"/>
    <w:rsid w:val="00C51C5F"/>
    <w:rsid w:val="00C554CC"/>
    <w:rsid w:val="00C55E8B"/>
    <w:rsid w:val="00C6069C"/>
    <w:rsid w:val="00C70477"/>
    <w:rsid w:val="00C74745"/>
    <w:rsid w:val="00C85119"/>
    <w:rsid w:val="00C95C48"/>
    <w:rsid w:val="00CA41E7"/>
    <w:rsid w:val="00CD170C"/>
    <w:rsid w:val="00CD320B"/>
    <w:rsid w:val="00CD3F37"/>
    <w:rsid w:val="00CD5431"/>
    <w:rsid w:val="00CE4B93"/>
    <w:rsid w:val="00CF2491"/>
    <w:rsid w:val="00CF3304"/>
    <w:rsid w:val="00CF3963"/>
    <w:rsid w:val="00CF6A79"/>
    <w:rsid w:val="00D013F4"/>
    <w:rsid w:val="00D1252E"/>
    <w:rsid w:val="00D13D9D"/>
    <w:rsid w:val="00D416A3"/>
    <w:rsid w:val="00D41A48"/>
    <w:rsid w:val="00D459A2"/>
    <w:rsid w:val="00D530FF"/>
    <w:rsid w:val="00D53688"/>
    <w:rsid w:val="00D5407A"/>
    <w:rsid w:val="00D57772"/>
    <w:rsid w:val="00D72AE3"/>
    <w:rsid w:val="00D75A4D"/>
    <w:rsid w:val="00D8478B"/>
    <w:rsid w:val="00D86151"/>
    <w:rsid w:val="00D9172D"/>
    <w:rsid w:val="00D92624"/>
    <w:rsid w:val="00D97E84"/>
    <w:rsid w:val="00DA5641"/>
    <w:rsid w:val="00DA7595"/>
    <w:rsid w:val="00DB0A68"/>
    <w:rsid w:val="00DB5811"/>
    <w:rsid w:val="00DC43A3"/>
    <w:rsid w:val="00DC4CF3"/>
    <w:rsid w:val="00DC5C01"/>
    <w:rsid w:val="00DD7C09"/>
    <w:rsid w:val="00DF0EB4"/>
    <w:rsid w:val="00DF111E"/>
    <w:rsid w:val="00E0124F"/>
    <w:rsid w:val="00E5762A"/>
    <w:rsid w:val="00E674D3"/>
    <w:rsid w:val="00E70FD0"/>
    <w:rsid w:val="00E72B2C"/>
    <w:rsid w:val="00E7309D"/>
    <w:rsid w:val="00E77C4B"/>
    <w:rsid w:val="00E9301F"/>
    <w:rsid w:val="00E9690A"/>
    <w:rsid w:val="00E97DC7"/>
    <w:rsid w:val="00EE5C6B"/>
    <w:rsid w:val="00F000EF"/>
    <w:rsid w:val="00F2504E"/>
    <w:rsid w:val="00F2585B"/>
    <w:rsid w:val="00F4053F"/>
    <w:rsid w:val="00F516E7"/>
    <w:rsid w:val="00F57BF7"/>
    <w:rsid w:val="00F6263E"/>
    <w:rsid w:val="00F627C2"/>
    <w:rsid w:val="00F735CA"/>
    <w:rsid w:val="00F736FD"/>
    <w:rsid w:val="00F84067"/>
    <w:rsid w:val="00FA50B4"/>
    <w:rsid w:val="00FB6E83"/>
    <w:rsid w:val="00FC156A"/>
    <w:rsid w:val="00FD0952"/>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DefaultParagraphFont"/>
    <w:rsid w:val="009C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17/07/APG19-2-OUT-39Rev.1_Preliminary_Views_AI1.7.doc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5-WP7B-C-0238/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WP7B-C-0238/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15-SG07-C-0072/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15-SG07-C-0073/en"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atmadji@rf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2628-0B6D-463B-BA76-41D77398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2272</Words>
  <Characters>12954</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8</cp:revision>
  <cp:lastPrinted>2015-02-02T07:28:00Z</cp:lastPrinted>
  <dcterms:created xsi:type="dcterms:W3CDTF">2018-03-16T07:42:00Z</dcterms:created>
  <dcterms:modified xsi:type="dcterms:W3CDTF">2018-03-20T03:33:00Z</dcterms:modified>
</cp:coreProperties>
</file>