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41809" w:rsidRPr="00441526" w14:paraId="736C51E2" w14:textId="77777777" w:rsidTr="001250D0">
        <w:trPr>
          <w:cantSplit/>
        </w:trPr>
        <w:tc>
          <w:tcPr>
            <w:tcW w:w="1399" w:type="dxa"/>
            <w:vMerge w:val="restart"/>
          </w:tcPr>
          <w:p w14:paraId="235359CE" w14:textId="77777777" w:rsidR="00041809" w:rsidRPr="00441526" w:rsidRDefault="00041809" w:rsidP="001250D0">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05F36CCD" wp14:editId="66A1AB78">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4FA8FDCA" w14:textId="77777777" w:rsidR="00041809" w:rsidRPr="00441526" w:rsidRDefault="00041809" w:rsidP="001250D0">
            <w:r w:rsidRPr="00441526">
              <w:t>ASIA-PACIFIC TELECOMMUNITY</w:t>
            </w:r>
          </w:p>
        </w:tc>
        <w:tc>
          <w:tcPr>
            <w:tcW w:w="2700" w:type="dxa"/>
          </w:tcPr>
          <w:p w14:paraId="211D12F0" w14:textId="77777777" w:rsidR="00041809" w:rsidRPr="00441526" w:rsidRDefault="00041809" w:rsidP="001250D0">
            <w:pPr>
              <w:rPr>
                <w:b/>
                <w:bCs/>
                <w:lang w:val="fr-FR"/>
              </w:rPr>
            </w:pPr>
            <w:r w:rsidRPr="00441526">
              <w:rPr>
                <w:b/>
                <w:lang w:val="fr-FR"/>
              </w:rPr>
              <w:t>Document</w:t>
            </w:r>
            <w:r>
              <w:rPr>
                <w:b/>
                <w:lang w:val="fr-FR"/>
              </w:rPr>
              <w:t xml:space="preserve"> No</w:t>
            </w:r>
            <w:r w:rsidRPr="00441526">
              <w:rPr>
                <w:b/>
                <w:lang w:val="fr-FR"/>
              </w:rPr>
              <w:t xml:space="preserve">: </w:t>
            </w:r>
          </w:p>
        </w:tc>
      </w:tr>
      <w:tr w:rsidR="00041809" w:rsidRPr="00441526" w14:paraId="5823CD8B" w14:textId="77777777" w:rsidTr="001250D0">
        <w:trPr>
          <w:cantSplit/>
        </w:trPr>
        <w:tc>
          <w:tcPr>
            <w:tcW w:w="1399" w:type="dxa"/>
            <w:vMerge/>
          </w:tcPr>
          <w:p w14:paraId="1D8E3CFF" w14:textId="77777777" w:rsidR="00041809" w:rsidRPr="00441526" w:rsidRDefault="00041809" w:rsidP="001250D0"/>
        </w:tc>
        <w:tc>
          <w:tcPr>
            <w:tcW w:w="5720" w:type="dxa"/>
          </w:tcPr>
          <w:p w14:paraId="74C6B9B5" w14:textId="77777777" w:rsidR="00041809" w:rsidRPr="00441526" w:rsidRDefault="00041809" w:rsidP="001250D0">
            <w:pPr>
              <w:spacing w:line="0" w:lineRule="atLeast"/>
            </w:pPr>
            <w:r w:rsidRPr="00441526">
              <w:rPr>
                <w:b/>
              </w:rPr>
              <w:t>The 3rd Meeting of the APT Conference Preparatory  Group for WRC-19 (APG19-3)</w:t>
            </w:r>
          </w:p>
        </w:tc>
        <w:tc>
          <w:tcPr>
            <w:tcW w:w="2700" w:type="dxa"/>
          </w:tcPr>
          <w:p w14:paraId="06CF4201" w14:textId="0ED714E1" w:rsidR="00041809" w:rsidRPr="00441526" w:rsidRDefault="00041809" w:rsidP="001250D0">
            <w:pPr>
              <w:rPr>
                <w:b/>
                <w:bCs/>
                <w:lang w:val="fr-FR"/>
              </w:rPr>
            </w:pPr>
            <w:r w:rsidRPr="00441526">
              <w:rPr>
                <w:b/>
                <w:bCs/>
                <w:lang w:val="fr-FR"/>
              </w:rPr>
              <w:t>APG19-3/</w:t>
            </w:r>
            <w:r>
              <w:rPr>
                <w:b/>
                <w:bCs/>
                <w:lang w:val="fr-FR"/>
              </w:rPr>
              <w:t>OUT-</w:t>
            </w:r>
            <w:r>
              <w:rPr>
                <w:b/>
                <w:bCs/>
                <w:lang w:val="fr-FR"/>
              </w:rPr>
              <w:t>12</w:t>
            </w:r>
          </w:p>
        </w:tc>
      </w:tr>
      <w:tr w:rsidR="00041809" w:rsidRPr="00441526" w14:paraId="616BF719" w14:textId="77777777" w:rsidTr="001250D0">
        <w:trPr>
          <w:cantSplit/>
          <w:trHeight w:val="219"/>
        </w:trPr>
        <w:tc>
          <w:tcPr>
            <w:tcW w:w="1399" w:type="dxa"/>
            <w:vMerge/>
          </w:tcPr>
          <w:p w14:paraId="70913BA3" w14:textId="77777777" w:rsidR="00041809" w:rsidRPr="00441526" w:rsidRDefault="00041809" w:rsidP="001250D0">
            <w:pPr>
              <w:rPr>
                <w:lang w:val="fr-FR"/>
              </w:rPr>
            </w:pPr>
          </w:p>
        </w:tc>
        <w:tc>
          <w:tcPr>
            <w:tcW w:w="5720" w:type="dxa"/>
          </w:tcPr>
          <w:p w14:paraId="0EA9DCDF" w14:textId="77777777" w:rsidR="00041809" w:rsidRPr="00441526" w:rsidRDefault="00041809" w:rsidP="001250D0">
            <w:r w:rsidRPr="00441526">
              <w:t>12 – 1</w:t>
            </w:r>
            <w:r>
              <w:t>6</w:t>
            </w:r>
            <w:r w:rsidRPr="00441526">
              <w:t xml:space="preserve"> March 2018, Perth, Australia</w:t>
            </w:r>
          </w:p>
        </w:tc>
        <w:tc>
          <w:tcPr>
            <w:tcW w:w="2700" w:type="dxa"/>
          </w:tcPr>
          <w:p w14:paraId="258B05D8" w14:textId="77777777" w:rsidR="00041809" w:rsidRPr="00441526" w:rsidRDefault="00041809" w:rsidP="001250D0">
            <w:pPr>
              <w:rPr>
                <w:b/>
              </w:rPr>
            </w:pPr>
            <w:r>
              <w:rPr>
                <w:b/>
              </w:rPr>
              <w:t>16</w:t>
            </w:r>
            <w:r w:rsidRPr="00441526">
              <w:rPr>
                <w:b/>
              </w:rPr>
              <w:t xml:space="preserve"> March 2018</w:t>
            </w:r>
          </w:p>
        </w:tc>
      </w:tr>
    </w:tbl>
    <w:p w14:paraId="14AC4F13" w14:textId="77777777" w:rsidR="00284C99" w:rsidRPr="00441526" w:rsidRDefault="00284C99" w:rsidP="00284C99">
      <w:pPr>
        <w:jc w:val="center"/>
        <w:rPr>
          <w:lang w:val="en-NZ"/>
        </w:rPr>
      </w:pPr>
    </w:p>
    <w:p w14:paraId="31625363" w14:textId="008833C8" w:rsidR="00284C99" w:rsidRPr="00F03405" w:rsidRDefault="00DC0B8F" w:rsidP="00284C99">
      <w:pPr>
        <w:jc w:val="center"/>
        <w:rPr>
          <w:lang w:val="en-NZ" w:eastAsia="ko-KR"/>
        </w:rPr>
      </w:pPr>
      <w:r>
        <w:rPr>
          <w:lang w:val="en-NZ" w:eastAsia="ko-KR"/>
        </w:rPr>
        <w:t>Working Party 2</w:t>
      </w:r>
    </w:p>
    <w:p w14:paraId="2425BB62" w14:textId="77777777" w:rsidR="00284C99" w:rsidRPr="00441526" w:rsidRDefault="00284C99" w:rsidP="00284C99">
      <w:pPr>
        <w:jc w:val="center"/>
        <w:rPr>
          <w:b/>
          <w:bCs/>
          <w:caps/>
          <w:lang w:val="en-NZ"/>
        </w:rPr>
      </w:pPr>
    </w:p>
    <w:p w14:paraId="56925DD7" w14:textId="7FFC3269" w:rsidR="00284C99" w:rsidRDefault="00284C99" w:rsidP="00284C99">
      <w:pPr>
        <w:jc w:val="center"/>
        <w:rPr>
          <w:b/>
          <w:bCs/>
          <w:caps/>
          <w:lang w:val="en-NZ"/>
        </w:rPr>
      </w:pPr>
      <w:r w:rsidRPr="00441526">
        <w:rPr>
          <w:b/>
          <w:bCs/>
          <w:caps/>
          <w:lang w:val="en-NZ"/>
        </w:rPr>
        <w:t xml:space="preserve">PRELIMINARY VIEWs on WRC-19 agenda item </w:t>
      </w:r>
      <w:r w:rsidR="0094589F">
        <w:rPr>
          <w:b/>
          <w:bCs/>
          <w:caps/>
          <w:lang w:val="en-NZ"/>
        </w:rPr>
        <w:t>9.1 ISSUE 9.1.8</w:t>
      </w:r>
    </w:p>
    <w:p w14:paraId="35BDE2F5" w14:textId="3275ED10" w:rsidR="00CF0C10" w:rsidRDefault="00CF0C10" w:rsidP="00284C99">
      <w:pPr>
        <w:jc w:val="center"/>
        <w:rPr>
          <w:b/>
          <w:bCs/>
          <w:caps/>
          <w:lang w:val="en-NZ"/>
        </w:rPr>
      </w:pPr>
    </w:p>
    <w:p w14:paraId="2945F646" w14:textId="133562CB" w:rsidR="00C357AD" w:rsidRDefault="00C357AD" w:rsidP="00986E7C">
      <w:pPr>
        <w:jc w:val="center"/>
        <w:rPr>
          <w:b/>
        </w:rPr>
      </w:pPr>
    </w:p>
    <w:p w14:paraId="7C05B15E" w14:textId="5F345537" w:rsidR="008319BF" w:rsidRDefault="00EF7BC1" w:rsidP="00C357AD">
      <w:pPr>
        <w:jc w:val="both"/>
      </w:pPr>
      <w:r>
        <w:rPr>
          <w:b/>
        </w:rPr>
        <w:t xml:space="preserve">Agenda Item </w:t>
      </w:r>
      <w:r>
        <w:rPr>
          <w:rFonts w:hint="eastAsia"/>
          <w:b/>
          <w:lang w:eastAsia="ko-KR"/>
        </w:rPr>
        <w:t>9</w:t>
      </w:r>
      <w:r>
        <w:rPr>
          <w:b/>
        </w:rPr>
        <w:t>.1</w:t>
      </w:r>
      <w:r>
        <w:rPr>
          <w:rFonts w:hint="eastAsia"/>
          <w:b/>
          <w:lang w:eastAsia="ko-KR"/>
        </w:rPr>
        <w:t xml:space="preserve"> </w:t>
      </w:r>
      <w:r w:rsidR="00C04FA3">
        <w:rPr>
          <w:b/>
        </w:rPr>
        <w:t>Issue</w:t>
      </w:r>
      <w:r w:rsidR="000A5418" w:rsidRPr="00A858A8">
        <w:rPr>
          <w:b/>
        </w:rPr>
        <w:t xml:space="preserve"> </w:t>
      </w:r>
      <w:r w:rsidR="0061666B" w:rsidRPr="00A858A8">
        <w:rPr>
          <w:rFonts w:eastAsia="MS Mincho"/>
          <w:b/>
          <w:lang w:eastAsia="ja-JP"/>
        </w:rPr>
        <w:t>9.1</w:t>
      </w:r>
      <w:r w:rsidR="00CB4ACB" w:rsidRPr="00A858A8">
        <w:rPr>
          <w:rFonts w:eastAsia="MS Mincho"/>
          <w:b/>
          <w:lang w:eastAsia="ja-JP"/>
        </w:rPr>
        <w:t>.</w:t>
      </w:r>
      <w:r w:rsidR="0061666B" w:rsidRPr="00A858A8">
        <w:rPr>
          <w:rFonts w:eastAsia="MS Mincho"/>
          <w:b/>
          <w:lang w:eastAsia="ja-JP"/>
        </w:rPr>
        <w:t>8</w:t>
      </w:r>
      <w:r w:rsidR="000A5418" w:rsidRPr="00A858A8">
        <w:rPr>
          <w:b/>
        </w:rPr>
        <w:t>:</w:t>
      </w:r>
      <w:r w:rsidR="003B3446">
        <w:rPr>
          <w:b/>
        </w:rPr>
        <w:t xml:space="preserve"> </w:t>
      </w:r>
    </w:p>
    <w:p w14:paraId="6790BE56" w14:textId="4C3D0C5E" w:rsidR="009B046A" w:rsidRPr="00C91556" w:rsidRDefault="00386262" w:rsidP="00386262">
      <w:pPr>
        <w:jc w:val="both"/>
        <w:rPr>
          <w:i/>
          <w:iCs/>
          <w:lang w:val="id-ID"/>
        </w:rPr>
      </w:pPr>
      <w:r w:rsidRPr="00386262">
        <w:rPr>
          <w:i/>
          <w:iCs/>
          <w:lang w:val="id-ID"/>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009B046A" w:rsidRPr="00C113B6">
        <w:rPr>
          <w:i/>
        </w:rPr>
        <w:t xml:space="preserve">, in accordance with </w:t>
      </w:r>
      <w:r w:rsidR="009B046A" w:rsidRPr="0085248E">
        <w:rPr>
          <w:i/>
        </w:rPr>
        <w:t>Resolution</w:t>
      </w:r>
      <w:r w:rsidR="009B046A" w:rsidRPr="009B046A">
        <w:rPr>
          <w:i/>
          <w:iCs/>
        </w:rPr>
        <w:t xml:space="preserve"> </w:t>
      </w:r>
      <w:r w:rsidR="009B046A" w:rsidRPr="009B046A">
        <w:rPr>
          <w:b/>
          <w:i/>
          <w:iCs/>
        </w:rPr>
        <w:t>958 (WRC-15)</w:t>
      </w:r>
    </w:p>
    <w:p w14:paraId="304C2326" w14:textId="77777777" w:rsidR="000A5418" w:rsidRDefault="000A5418" w:rsidP="00C357AD">
      <w:pPr>
        <w:jc w:val="both"/>
      </w:pPr>
    </w:p>
    <w:p w14:paraId="2AE96369" w14:textId="02613550" w:rsidR="0084338C" w:rsidRPr="00721EF5" w:rsidRDefault="000A5418" w:rsidP="00721EF5">
      <w:pPr>
        <w:spacing w:after="120"/>
        <w:jc w:val="both"/>
        <w:rPr>
          <w:b/>
          <w:lang w:eastAsia="ko-KR"/>
        </w:rPr>
      </w:pPr>
      <w:r w:rsidRPr="00A30FA5">
        <w:rPr>
          <w:rFonts w:hint="eastAsia"/>
          <w:b/>
          <w:lang w:eastAsia="ko-KR"/>
        </w:rPr>
        <w:t xml:space="preserve">1. </w:t>
      </w:r>
      <w:r w:rsidR="006A02CF">
        <w:rPr>
          <w:b/>
          <w:lang w:eastAsia="ko-KR"/>
        </w:rPr>
        <w:t>Background:</w:t>
      </w:r>
    </w:p>
    <w:p w14:paraId="17380EAD" w14:textId="77777777" w:rsidR="00CF7DF4" w:rsidRDefault="0084338C" w:rsidP="0084338C">
      <w:pPr>
        <w:spacing w:afterLines="60" w:after="144"/>
        <w:jc w:val="both"/>
        <w:rPr>
          <w:lang w:eastAsia="ko-KR"/>
        </w:rPr>
      </w:pPr>
      <w:r w:rsidRPr="00BA6E4B">
        <w:rPr>
          <w:rFonts w:hint="eastAsia"/>
          <w:lang w:eastAsia="ko-KR"/>
        </w:rPr>
        <w:t xml:space="preserve">Resolution </w:t>
      </w:r>
      <w:r w:rsidRPr="00BA6E4B">
        <w:rPr>
          <w:rFonts w:hint="eastAsia"/>
          <w:b/>
          <w:lang w:eastAsia="ko-KR"/>
        </w:rPr>
        <w:t>958 (WRC-15)</w:t>
      </w:r>
      <w:r w:rsidRPr="00BA6E4B">
        <w:rPr>
          <w:rFonts w:hint="eastAsia"/>
          <w:lang w:eastAsia="ko-KR"/>
        </w:rPr>
        <w:t xml:space="preserve"> calls for </w:t>
      </w:r>
      <w:r w:rsidRPr="00BA6E4B">
        <w:rPr>
          <w:lang w:eastAsia="ko-KR"/>
        </w:rPr>
        <w:t>ITU-R to study technical and operational aspects of radio networks and systems, as well as spectrum needed, including</w:t>
      </w:r>
      <w:r w:rsidRPr="00BA6E4B">
        <w:rPr>
          <w:rFonts w:hint="eastAsia"/>
          <w:lang w:eastAsia="ko-KR"/>
        </w:rPr>
        <w:t xml:space="preserve"> </w:t>
      </w:r>
      <w:r w:rsidRPr="00BA6E4B">
        <w:rPr>
          <w:lang w:eastAsia="ko-KR"/>
        </w:rPr>
        <w:t>possible harmonized use of spectrum for narrowband and broadband machine-type communication (MTC)</w:t>
      </w:r>
      <w:r w:rsidR="00986E7C">
        <w:rPr>
          <w:lang w:eastAsia="ko-KR"/>
        </w:rPr>
        <w:t xml:space="preserve"> </w:t>
      </w:r>
      <w:r w:rsidR="00240387">
        <w:rPr>
          <w:lang w:val="id-ID" w:eastAsia="ko-KR"/>
        </w:rPr>
        <w:t>infrastructure</w:t>
      </w:r>
      <w:r w:rsidRPr="00BA6E4B">
        <w:rPr>
          <w:lang w:eastAsia="ko-KR"/>
        </w:rPr>
        <w:t xml:space="preserve"> in order to develop Recommendations, Reports and/or Handbooks, as appropriate</w:t>
      </w:r>
      <w:r w:rsidRPr="00BA6E4B">
        <w:rPr>
          <w:rFonts w:hint="eastAsia"/>
          <w:lang w:eastAsia="ko-KR"/>
        </w:rPr>
        <w:t xml:space="preserve">. </w:t>
      </w:r>
    </w:p>
    <w:p w14:paraId="4B928C16" w14:textId="2286AE67" w:rsidR="00903E72" w:rsidRPr="006D1A57" w:rsidRDefault="0084338C" w:rsidP="00B81CE1">
      <w:pPr>
        <w:spacing w:afterLines="60" w:after="144"/>
        <w:jc w:val="both"/>
        <w:rPr>
          <w:lang w:eastAsia="ko-KR"/>
        </w:rPr>
      </w:pPr>
      <w:r w:rsidRPr="006844DA">
        <w:rPr>
          <w:rFonts w:hint="eastAsia"/>
          <w:lang w:eastAsia="ko-KR"/>
        </w:rPr>
        <w:t>ITU</w:t>
      </w:r>
      <w:r w:rsidRPr="006D1A57">
        <w:rPr>
          <w:rFonts w:hint="eastAsia"/>
          <w:lang w:eastAsia="zh-CN"/>
        </w:rPr>
        <w:t>-R Working Party 5D (WP 5D)</w:t>
      </w:r>
      <w:r w:rsidRPr="006D1A57">
        <w:rPr>
          <w:rFonts w:hint="eastAsia"/>
          <w:lang w:eastAsia="ko-KR"/>
        </w:rPr>
        <w:t>,</w:t>
      </w:r>
      <w:r w:rsidRPr="006D1A57">
        <w:rPr>
          <w:rFonts w:hint="eastAsia"/>
          <w:lang w:eastAsia="zh-CN"/>
        </w:rPr>
        <w:t xml:space="preserve"> </w:t>
      </w:r>
      <w:r w:rsidRPr="006D1A57">
        <w:rPr>
          <w:rFonts w:hint="eastAsia"/>
          <w:lang w:eastAsia="ko-KR"/>
        </w:rPr>
        <w:t xml:space="preserve">which </w:t>
      </w:r>
      <w:r w:rsidRPr="00D8201F">
        <w:rPr>
          <w:lang w:eastAsia="zh-CN"/>
        </w:rPr>
        <w:t xml:space="preserve">is </w:t>
      </w:r>
      <w:r w:rsidR="00676933" w:rsidRPr="00D8201F">
        <w:rPr>
          <w:lang w:eastAsia="zh-CN"/>
        </w:rPr>
        <w:t xml:space="preserve">the </w:t>
      </w:r>
      <w:r w:rsidRPr="00D8201F">
        <w:rPr>
          <w:lang w:eastAsia="zh-CN"/>
        </w:rPr>
        <w:t xml:space="preserve">responsible group </w:t>
      </w:r>
      <w:r w:rsidRPr="00D8201F">
        <w:rPr>
          <w:rFonts w:hint="eastAsia"/>
          <w:lang w:eastAsia="zh-CN"/>
        </w:rPr>
        <w:t>on</w:t>
      </w:r>
      <w:r w:rsidRPr="00D8201F">
        <w:rPr>
          <w:lang w:eastAsia="zh-CN"/>
        </w:rPr>
        <w:t xml:space="preserve"> Agenda Item </w:t>
      </w:r>
      <w:r w:rsidRPr="00D8201F">
        <w:rPr>
          <w:rFonts w:hint="eastAsia"/>
          <w:lang w:eastAsia="zh-CN"/>
        </w:rPr>
        <w:t>9.1 (Issue 9.1.8)</w:t>
      </w:r>
      <w:r w:rsidRPr="00D8201F">
        <w:rPr>
          <w:rFonts w:hint="eastAsia"/>
          <w:lang w:eastAsia="ko-KR"/>
        </w:rPr>
        <w:t xml:space="preserve">, is </w:t>
      </w:r>
      <w:r w:rsidRPr="00D8201F">
        <w:rPr>
          <w:rFonts w:hint="eastAsia"/>
          <w:lang w:eastAsia="zh-CN"/>
        </w:rPr>
        <w:t>developing w</w:t>
      </w:r>
      <w:r w:rsidRPr="00856F92">
        <w:rPr>
          <w:lang w:eastAsia="zh-CN"/>
        </w:rPr>
        <w:t xml:space="preserve">orking document towards a preliminary draft </w:t>
      </w:r>
      <w:r w:rsidR="00676933" w:rsidRPr="00856F92">
        <w:rPr>
          <w:lang w:eastAsia="zh-CN"/>
        </w:rPr>
        <w:t xml:space="preserve">of </w:t>
      </w:r>
      <w:r w:rsidRPr="00856F92">
        <w:rPr>
          <w:lang w:eastAsia="zh-CN"/>
        </w:rPr>
        <w:t xml:space="preserve">new ITU-R </w:t>
      </w:r>
      <w:r w:rsidR="00B82950" w:rsidRPr="00856F92">
        <w:rPr>
          <w:lang w:eastAsia="zh-CN"/>
        </w:rPr>
        <w:t xml:space="preserve">Report </w:t>
      </w:r>
      <w:r w:rsidRPr="00856F92">
        <w:rPr>
          <w:lang w:eastAsia="zh-CN"/>
        </w:rPr>
        <w:t>M</w:t>
      </w:r>
      <w:proofErr w:type="gramStart"/>
      <w:r w:rsidRPr="00856F92">
        <w:rPr>
          <w:lang w:eastAsia="zh-CN"/>
        </w:rPr>
        <w:t>.[</w:t>
      </w:r>
      <w:proofErr w:type="gramEnd"/>
      <w:r w:rsidRPr="00856F92">
        <w:rPr>
          <w:lang w:eastAsia="zh-CN"/>
        </w:rPr>
        <w:t>IMT. MTC]</w:t>
      </w:r>
      <w:r w:rsidR="00B81CE1" w:rsidRPr="00856F92">
        <w:rPr>
          <w:rFonts w:hint="eastAsia"/>
          <w:lang w:eastAsia="ko-KR"/>
        </w:rPr>
        <w:t xml:space="preserve">, </w:t>
      </w:r>
      <w:r w:rsidR="00B81CE1" w:rsidRPr="00856F92">
        <w:rPr>
          <w:lang w:val="en-NZ"/>
        </w:rPr>
        <w:t xml:space="preserve">as </w:t>
      </w:r>
      <w:r w:rsidR="00676933" w:rsidRPr="00856F92">
        <w:rPr>
          <w:lang w:val="en-NZ"/>
        </w:rPr>
        <w:t xml:space="preserve">stated </w:t>
      </w:r>
      <w:r w:rsidR="00B81CE1" w:rsidRPr="00856F92">
        <w:rPr>
          <w:lang w:val="en-NZ"/>
        </w:rPr>
        <w:t xml:space="preserve">in Document </w:t>
      </w:r>
      <w:hyperlink r:id="rId10" w:history="1">
        <w:r w:rsidR="00B81CE1" w:rsidRPr="00041809">
          <w:rPr>
            <w:rStyle w:val="Hyperlink"/>
            <w:color w:val="auto"/>
            <w:u w:val="none"/>
            <w:lang w:val="en-NZ"/>
          </w:rPr>
          <w:t>5D/875 Chapter 3</w:t>
        </w:r>
      </w:hyperlink>
      <w:r w:rsidR="00B81CE1" w:rsidRPr="006844DA">
        <w:rPr>
          <w:lang w:val="en-NZ"/>
        </w:rPr>
        <w:t xml:space="preserve"> (Attachment 3.</w:t>
      </w:r>
      <w:r w:rsidR="00B82950" w:rsidRPr="006D1A57">
        <w:rPr>
          <w:lang w:val="id-ID"/>
        </w:rPr>
        <w:t>2</w:t>
      </w:r>
      <w:r w:rsidR="00B81CE1" w:rsidRPr="006D1A57">
        <w:rPr>
          <w:lang w:val="en-NZ"/>
        </w:rPr>
        <w:t>)</w:t>
      </w:r>
      <w:r w:rsidR="00B81CE1" w:rsidRPr="006D1A57">
        <w:rPr>
          <w:lang w:val="id-ID"/>
        </w:rPr>
        <w:t xml:space="preserve">, </w:t>
      </w:r>
      <w:r w:rsidR="00AC0128" w:rsidRPr="006D1A57">
        <w:rPr>
          <w:rFonts w:hint="eastAsia"/>
          <w:lang w:eastAsia="ko-KR"/>
        </w:rPr>
        <w:t>and the draft CPM text</w:t>
      </w:r>
      <w:r w:rsidR="00CF7DF4" w:rsidRPr="00D8201F">
        <w:rPr>
          <w:lang w:val="id-ID" w:eastAsia="ko-KR"/>
        </w:rPr>
        <w:t xml:space="preserve"> </w:t>
      </w:r>
      <w:r w:rsidR="00B81CE1" w:rsidRPr="00D8201F">
        <w:t xml:space="preserve">in </w:t>
      </w:r>
      <w:hyperlink r:id="rId11" w:history="1">
        <w:r w:rsidR="00B81CE1" w:rsidRPr="00041809">
          <w:rPr>
            <w:rStyle w:val="Hyperlink"/>
            <w:iCs/>
            <w:color w:val="auto"/>
            <w:u w:val="none"/>
          </w:rPr>
          <w:t xml:space="preserve">Chapter 3 </w:t>
        </w:r>
        <w:r w:rsidR="00B82950" w:rsidRPr="00041809">
          <w:rPr>
            <w:rStyle w:val="Hyperlink"/>
            <w:iCs/>
            <w:color w:val="auto"/>
            <w:u w:val="none"/>
            <w:lang w:val="id-ID"/>
          </w:rPr>
          <w:t xml:space="preserve">(attachment 3.11) </w:t>
        </w:r>
        <w:r w:rsidR="00B81CE1" w:rsidRPr="00041809">
          <w:rPr>
            <w:rStyle w:val="Hyperlink"/>
            <w:iCs/>
            <w:color w:val="auto"/>
            <w:u w:val="none"/>
          </w:rPr>
          <w:t xml:space="preserve">to document </w:t>
        </w:r>
        <w:r w:rsidR="00B81CE1" w:rsidRPr="00041809">
          <w:rPr>
            <w:rStyle w:val="Hyperlink"/>
            <w:bCs/>
            <w:iCs/>
            <w:color w:val="auto"/>
            <w:u w:val="none"/>
          </w:rPr>
          <w:t>5D/875</w:t>
        </w:r>
      </w:hyperlink>
      <w:r w:rsidRPr="006844DA">
        <w:rPr>
          <w:rFonts w:hint="eastAsia"/>
          <w:lang w:eastAsia="ko-KR"/>
        </w:rPr>
        <w:t>.</w:t>
      </w:r>
      <w:r w:rsidR="00AC0128" w:rsidRPr="006D1A57">
        <w:rPr>
          <w:lang w:val="id-ID" w:eastAsia="ko-KR"/>
        </w:rPr>
        <w:t xml:space="preserve"> ITU-R </w:t>
      </w:r>
      <w:r w:rsidR="00AC0128" w:rsidRPr="006D1A57">
        <w:rPr>
          <w:lang w:val="en-NZ"/>
        </w:rPr>
        <w:t>WP</w:t>
      </w:r>
      <w:r w:rsidR="00D8201F" w:rsidRPr="00DC0B8F">
        <w:rPr>
          <w:lang w:val="en-NZ"/>
        </w:rPr>
        <w:t>s</w:t>
      </w:r>
      <w:r w:rsidR="00AC0128" w:rsidRPr="006D1A57">
        <w:rPr>
          <w:lang w:val="en-NZ"/>
        </w:rPr>
        <w:t xml:space="preserve"> 1B and 5A as the concerned groups, have </w:t>
      </w:r>
      <w:r w:rsidR="00AC0128" w:rsidRPr="006D1A57">
        <w:rPr>
          <w:lang w:val="id-ID"/>
        </w:rPr>
        <w:t xml:space="preserve">also </w:t>
      </w:r>
      <w:r w:rsidR="00AC0128" w:rsidRPr="00856F92">
        <w:rPr>
          <w:lang w:val="en-NZ"/>
        </w:rPr>
        <w:t xml:space="preserve">developed </w:t>
      </w:r>
      <w:r w:rsidR="00955643" w:rsidRPr="00856F92">
        <w:rPr>
          <w:lang w:val="id-ID"/>
        </w:rPr>
        <w:t>working</w:t>
      </w:r>
      <w:r w:rsidR="00955643" w:rsidRPr="00856F92">
        <w:rPr>
          <w:lang w:val="en-NZ"/>
        </w:rPr>
        <w:t xml:space="preserve"> </w:t>
      </w:r>
      <w:r w:rsidR="00AC0128" w:rsidRPr="00856F92">
        <w:rPr>
          <w:lang w:val="en-NZ"/>
        </w:rPr>
        <w:t xml:space="preserve">document towards a preliminary draft </w:t>
      </w:r>
      <w:r w:rsidR="00676933" w:rsidRPr="00856F92">
        <w:rPr>
          <w:lang w:val="en-NZ"/>
        </w:rPr>
        <w:t xml:space="preserve">of </w:t>
      </w:r>
      <w:r w:rsidR="00AC0128" w:rsidRPr="00856F92">
        <w:rPr>
          <w:lang w:val="en-NZ"/>
        </w:rPr>
        <w:t>new ITU-R</w:t>
      </w:r>
      <w:r w:rsidR="00B82950" w:rsidRPr="00856F92">
        <w:rPr>
          <w:lang w:val="id-ID"/>
        </w:rPr>
        <w:t xml:space="preserve"> </w:t>
      </w:r>
      <w:r w:rsidR="00B82950" w:rsidRPr="00856F92">
        <w:rPr>
          <w:lang w:val="en-NZ"/>
        </w:rPr>
        <w:t>Report</w:t>
      </w:r>
      <w:r w:rsidR="00AC0128" w:rsidRPr="00856F92">
        <w:rPr>
          <w:lang w:val="en-NZ"/>
        </w:rPr>
        <w:t xml:space="preserve"> SM.[LPWAN.MTC], as </w:t>
      </w:r>
      <w:r w:rsidR="00676933" w:rsidRPr="00856F92">
        <w:rPr>
          <w:lang w:val="en-NZ"/>
        </w:rPr>
        <w:t xml:space="preserve">explained </w:t>
      </w:r>
      <w:r w:rsidR="00AC0128" w:rsidRPr="00856F92">
        <w:rPr>
          <w:lang w:val="en-NZ"/>
        </w:rPr>
        <w:t xml:space="preserve">in Document </w:t>
      </w:r>
      <w:hyperlink r:id="rId12" w:history="1">
        <w:r w:rsidR="00AC0128" w:rsidRPr="00041809">
          <w:rPr>
            <w:rStyle w:val="Hyperlink"/>
            <w:color w:val="auto"/>
            <w:u w:val="none"/>
            <w:lang w:val="en-NZ"/>
          </w:rPr>
          <w:t>1B/237 Annex 9</w:t>
        </w:r>
      </w:hyperlink>
      <w:r w:rsidR="00B82950" w:rsidRPr="006844DA">
        <w:rPr>
          <w:lang w:val="id-ID"/>
        </w:rPr>
        <w:t xml:space="preserve"> and </w:t>
      </w:r>
      <w:r w:rsidR="00955643" w:rsidRPr="006D1A57">
        <w:rPr>
          <w:lang w:val="id-ID"/>
        </w:rPr>
        <w:t>working</w:t>
      </w:r>
      <w:r w:rsidR="00B82950" w:rsidRPr="006D1A57">
        <w:rPr>
          <w:lang w:val="en-NZ"/>
        </w:rPr>
        <w:t xml:space="preserve"> document towards </w:t>
      </w:r>
      <w:proofErr w:type="gramStart"/>
      <w:r w:rsidR="00B82950" w:rsidRPr="006D1A57">
        <w:rPr>
          <w:lang w:val="en-NZ"/>
        </w:rPr>
        <w:t>a</w:t>
      </w:r>
      <w:proofErr w:type="gramEnd"/>
      <w:r w:rsidR="00B82950" w:rsidRPr="006D1A57">
        <w:rPr>
          <w:lang w:val="en-NZ"/>
        </w:rPr>
        <w:t xml:space="preserve"> preliminary draft new Report ITU-R M.[NON_IMT.M2M_USAGE], as explained in Document </w:t>
      </w:r>
      <w:hyperlink r:id="rId13" w:history="1">
        <w:r w:rsidR="00B82950" w:rsidRPr="00041809">
          <w:rPr>
            <w:rStyle w:val="Hyperlink"/>
            <w:color w:val="auto"/>
            <w:u w:val="none"/>
            <w:lang w:val="en-NZ"/>
          </w:rPr>
          <w:t>5A/650 Annex 33</w:t>
        </w:r>
      </w:hyperlink>
      <w:r w:rsidR="00955643" w:rsidRPr="006844DA">
        <w:rPr>
          <w:lang w:val="id-ID"/>
        </w:rPr>
        <w:t>.</w:t>
      </w:r>
    </w:p>
    <w:p w14:paraId="0BD26498" w14:textId="3F42F45D" w:rsidR="0084338C" w:rsidRPr="00856F92" w:rsidRDefault="004334C5" w:rsidP="00B81CE1">
      <w:pPr>
        <w:spacing w:afterLines="60" w:after="144"/>
        <w:jc w:val="both"/>
        <w:rPr>
          <w:lang w:eastAsia="ko-KR"/>
        </w:rPr>
      </w:pPr>
      <w:r w:rsidRPr="00856F92">
        <w:rPr>
          <w:lang w:eastAsia="ko-KR"/>
        </w:rPr>
        <w:t>C</w:t>
      </w:r>
      <w:r w:rsidR="0084338C" w:rsidRPr="00856F92">
        <w:rPr>
          <w:lang w:eastAsia="ko-KR"/>
        </w:rPr>
        <w:t>urrent progress</w:t>
      </w:r>
      <w:r w:rsidRPr="00856F92">
        <w:rPr>
          <w:rFonts w:hint="eastAsia"/>
          <w:lang w:eastAsia="ko-KR"/>
        </w:rPr>
        <w:t xml:space="preserve"> on</w:t>
      </w:r>
      <w:r w:rsidR="0084338C" w:rsidRPr="00856F92">
        <w:rPr>
          <w:lang w:eastAsia="ko-KR"/>
        </w:rPr>
        <w:t xml:space="preserve"> </w:t>
      </w:r>
      <w:r w:rsidRPr="00856F92">
        <w:rPr>
          <w:lang w:eastAsia="ko-KR"/>
        </w:rPr>
        <w:t xml:space="preserve">the </w:t>
      </w:r>
      <w:r w:rsidR="0084338C" w:rsidRPr="00856F92">
        <w:rPr>
          <w:lang w:eastAsia="ko-KR"/>
        </w:rPr>
        <w:t>working document</w:t>
      </w:r>
      <w:r w:rsidR="00903E72" w:rsidRPr="00856F92">
        <w:rPr>
          <w:lang w:val="id-ID" w:eastAsia="ko-KR"/>
        </w:rPr>
        <w:t>s</w:t>
      </w:r>
      <w:r w:rsidR="00903E72" w:rsidRPr="00856F92">
        <w:rPr>
          <w:lang w:eastAsia="ko-KR"/>
        </w:rPr>
        <w:t xml:space="preserve"> state</w:t>
      </w:r>
      <w:r w:rsidR="0084338C" w:rsidRPr="00856F92">
        <w:rPr>
          <w:lang w:eastAsia="ko-KR"/>
        </w:rPr>
        <w:t xml:space="preserve"> that </w:t>
      </w:r>
      <w:r w:rsidR="0084338C" w:rsidRPr="00856F92">
        <w:rPr>
          <w:lang w:eastAsia="zh-CN"/>
        </w:rPr>
        <w:t xml:space="preserve">the identification of spectrum for mobile communications (voice and data) </w:t>
      </w:r>
      <w:r w:rsidRPr="00856F92">
        <w:rPr>
          <w:lang w:eastAsia="zh-CN"/>
        </w:rPr>
        <w:t xml:space="preserve">for narrowband and broadband IMT machine type communications </w:t>
      </w:r>
      <w:r w:rsidR="0084338C" w:rsidRPr="00856F92">
        <w:rPr>
          <w:lang w:eastAsia="zh-CN"/>
        </w:rPr>
        <w:t>already guarantees quality of service (</w:t>
      </w:r>
      <w:proofErr w:type="spellStart"/>
      <w:r w:rsidR="0084338C" w:rsidRPr="00856F92">
        <w:rPr>
          <w:lang w:eastAsia="zh-CN"/>
        </w:rPr>
        <w:t>QoS</w:t>
      </w:r>
      <w:proofErr w:type="spellEnd"/>
      <w:r w:rsidR="0084338C" w:rsidRPr="00856F92">
        <w:rPr>
          <w:lang w:eastAsia="zh-CN"/>
        </w:rPr>
        <w:t xml:space="preserve">). MTC applications and devices can be used effectively with all the benefits of the existent mobile broadband bands and the new frequency bands under study for IMT. This approach avoids the necessity of identifying new spectrum dedicated exclusively for MTC applications and thus no changes are needed in the Radio Regulations under Resolution </w:t>
      </w:r>
      <w:r w:rsidR="0084338C" w:rsidRPr="00856F92">
        <w:rPr>
          <w:b/>
          <w:bCs/>
          <w:lang w:eastAsia="zh-CN"/>
        </w:rPr>
        <w:t>958 (WRC-15)</w:t>
      </w:r>
      <w:r w:rsidR="0084338C" w:rsidRPr="00856F92">
        <w:rPr>
          <w:lang w:eastAsia="zh-CN"/>
        </w:rPr>
        <w:t xml:space="preserve">. </w:t>
      </w:r>
      <w:r w:rsidR="00F60C50" w:rsidRPr="00856F92">
        <w:rPr>
          <w:lang w:eastAsia="zh-CN"/>
        </w:rPr>
        <w:t>(</w:t>
      </w:r>
      <w:r w:rsidR="0084338C" w:rsidRPr="00856F92">
        <w:rPr>
          <w:lang w:eastAsia="zh-CN"/>
        </w:rPr>
        <w:t>Document 5D</w:t>
      </w:r>
      <w:r w:rsidR="008E3218" w:rsidRPr="00856F92">
        <w:rPr>
          <w:lang w:eastAsia="zh-CN"/>
        </w:rPr>
        <w:t>/</w:t>
      </w:r>
      <w:r w:rsidR="008F1B1E" w:rsidRPr="00856F92">
        <w:rPr>
          <w:lang w:val="id-ID" w:eastAsia="zh-CN"/>
        </w:rPr>
        <w:t xml:space="preserve">875 </w:t>
      </w:r>
      <w:r w:rsidR="0061721E" w:rsidRPr="00856F92">
        <w:rPr>
          <w:lang w:eastAsia="zh-CN"/>
        </w:rPr>
        <w:t>Ch</w:t>
      </w:r>
      <w:r w:rsidR="00DE0244" w:rsidRPr="00856F92">
        <w:rPr>
          <w:lang w:eastAsia="zh-CN"/>
        </w:rPr>
        <w:t xml:space="preserve">apter </w:t>
      </w:r>
      <w:r w:rsidR="0061721E" w:rsidRPr="00856F92">
        <w:rPr>
          <w:lang w:eastAsia="zh-CN"/>
        </w:rPr>
        <w:t>3-Attachment 3.2</w:t>
      </w:r>
      <w:r w:rsidR="00F60C50" w:rsidRPr="00856F92">
        <w:rPr>
          <w:lang w:eastAsia="zh-CN"/>
        </w:rPr>
        <w:t>)</w:t>
      </w:r>
      <w:r w:rsidR="00404F12" w:rsidRPr="00856F92">
        <w:rPr>
          <w:lang w:eastAsia="zh-CN"/>
        </w:rPr>
        <w:t xml:space="preserve">. </w:t>
      </w:r>
    </w:p>
    <w:p w14:paraId="04B94404" w14:textId="77777777" w:rsidR="000A5418" w:rsidRDefault="000A5418" w:rsidP="00493D17">
      <w:pPr>
        <w:spacing w:after="120"/>
        <w:jc w:val="both"/>
        <w:rPr>
          <w:b/>
          <w:lang w:eastAsia="ko-KR"/>
        </w:rPr>
      </w:pPr>
      <w:r w:rsidRPr="000A5418">
        <w:rPr>
          <w:b/>
          <w:lang w:eastAsia="ko-KR"/>
        </w:rPr>
        <w:t xml:space="preserve">2. </w:t>
      </w:r>
      <w:r w:rsidR="007A507E">
        <w:rPr>
          <w:b/>
          <w:lang w:eastAsia="ko-KR"/>
        </w:rPr>
        <w:t>Documents</w:t>
      </w:r>
    </w:p>
    <w:p w14:paraId="52730799" w14:textId="77777777" w:rsidR="002A14B9" w:rsidRPr="00986E7C" w:rsidRDefault="007A507E" w:rsidP="00493D17">
      <w:pPr>
        <w:spacing w:after="120"/>
        <w:jc w:val="both"/>
        <w:rPr>
          <w:b/>
          <w:lang w:eastAsia="ko-KR"/>
        </w:rPr>
      </w:pPr>
      <w:r w:rsidRPr="00986E7C">
        <w:rPr>
          <w:b/>
          <w:lang w:eastAsia="ko-KR"/>
        </w:rPr>
        <w:t>2.1</w:t>
      </w:r>
      <w:r w:rsidR="002A14B9" w:rsidRPr="00986E7C">
        <w:rPr>
          <w:b/>
          <w:lang w:eastAsia="ko-KR"/>
        </w:rPr>
        <w:t xml:space="preserve"> </w:t>
      </w:r>
      <w:r w:rsidR="006A02CF" w:rsidRPr="00986E7C">
        <w:rPr>
          <w:b/>
          <w:lang w:eastAsia="ko-KR"/>
        </w:rPr>
        <w:t>Input Documents:</w:t>
      </w:r>
    </w:p>
    <w:p w14:paraId="0AA75617" w14:textId="52F519D5" w:rsidR="00E63D60" w:rsidRPr="00041809" w:rsidRDefault="004B14A8" w:rsidP="00903E72">
      <w:pPr>
        <w:pStyle w:val="ListParagraph"/>
        <w:ind w:left="420"/>
        <w:jc w:val="both"/>
        <w:rPr>
          <w:rFonts w:eastAsia="Times New Roman"/>
          <w:bCs/>
          <w:color w:val="000000" w:themeColor="text1"/>
        </w:rPr>
      </w:pPr>
      <w:hyperlink r:id="rId14" w:history="1">
        <w:r w:rsidR="00244873" w:rsidRPr="00856F92">
          <w:rPr>
            <w:rStyle w:val="Hyperlink"/>
            <w:rFonts w:eastAsia="Times New Roman"/>
            <w:color w:val="000000" w:themeColor="text1"/>
          </w:rPr>
          <w:t>APG19-3-INP-15</w:t>
        </w:r>
      </w:hyperlink>
      <w:r w:rsidR="00D15CED">
        <w:rPr>
          <w:rStyle w:val="Hyperlink"/>
          <w:rFonts w:eastAsia="Times New Roman"/>
          <w:color w:val="000000" w:themeColor="text1"/>
        </w:rPr>
        <w:t xml:space="preserve">, </w:t>
      </w:r>
      <w:r w:rsidR="00BB0582" w:rsidRPr="00041809">
        <w:rPr>
          <w:rFonts w:eastAsia="Times New Roman"/>
          <w:bCs/>
          <w:color w:val="000000" w:themeColor="text1"/>
        </w:rPr>
        <w:t xml:space="preserve"> (KOR), </w:t>
      </w:r>
      <w:hyperlink r:id="rId15" w:history="1">
        <w:r w:rsidR="00BB0582" w:rsidRPr="00856F92">
          <w:rPr>
            <w:rStyle w:val="Hyperlink"/>
            <w:rFonts w:eastAsia="Times New Roman"/>
            <w:color w:val="000000" w:themeColor="text1"/>
          </w:rPr>
          <w:t>INP-29</w:t>
        </w:r>
        <w:r w:rsidR="00E518A3" w:rsidRPr="00856F92">
          <w:rPr>
            <w:rStyle w:val="Hyperlink"/>
            <w:rFonts w:eastAsia="Times New Roman"/>
            <w:color w:val="000000" w:themeColor="text1"/>
            <w:lang w:val="id-ID"/>
          </w:rPr>
          <w:t>(Rev.1)</w:t>
        </w:r>
      </w:hyperlink>
      <w:r w:rsidR="00BB0582" w:rsidRPr="00041809">
        <w:rPr>
          <w:rFonts w:eastAsia="Times New Roman"/>
          <w:bCs/>
          <w:color w:val="000000" w:themeColor="text1"/>
        </w:rPr>
        <w:t xml:space="preserve"> (IRN), </w:t>
      </w:r>
      <w:hyperlink r:id="rId16" w:history="1">
        <w:r w:rsidR="00BB0582" w:rsidRPr="00856F92">
          <w:rPr>
            <w:rStyle w:val="Hyperlink"/>
            <w:rFonts w:eastAsia="Times New Roman"/>
            <w:color w:val="000000" w:themeColor="text1"/>
          </w:rPr>
          <w:t>INP-35</w:t>
        </w:r>
      </w:hyperlink>
      <w:r w:rsidR="00BB0582" w:rsidRPr="00041809">
        <w:rPr>
          <w:rFonts w:eastAsia="Times New Roman"/>
          <w:bCs/>
          <w:color w:val="000000" w:themeColor="text1"/>
        </w:rPr>
        <w:t xml:space="preserve"> (NZL), </w:t>
      </w:r>
      <w:hyperlink r:id="rId17" w:history="1">
        <w:r w:rsidR="00BB0582" w:rsidRPr="00856F92">
          <w:rPr>
            <w:rStyle w:val="Hyperlink"/>
            <w:rFonts w:eastAsia="Times New Roman"/>
            <w:color w:val="000000" w:themeColor="text1"/>
          </w:rPr>
          <w:t>INP-42</w:t>
        </w:r>
      </w:hyperlink>
      <w:r w:rsidR="00BB0582" w:rsidRPr="00041809">
        <w:rPr>
          <w:rFonts w:eastAsia="Times New Roman"/>
          <w:bCs/>
          <w:color w:val="000000" w:themeColor="text1"/>
        </w:rPr>
        <w:t xml:space="preserve"> (AUS), </w:t>
      </w:r>
      <w:hyperlink r:id="rId18" w:history="1">
        <w:r w:rsidR="00BB0582" w:rsidRPr="00856F92">
          <w:rPr>
            <w:rStyle w:val="Hyperlink"/>
            <w:rFonts w:eastAsia="Times New Roman"/>
            <w:color w:val="000000" w:themeColor="text1"/>
          </w:rPr>
          <w:t>INP-50</w:t>
        </w:r>
      </w:hyperlink>
      <w:r w:rsidR="00BB0582" w:rsidRPr="00041809">
        <w:rPr>
          <w:rFonts w:eastAsia="Times New Roman"/>
          <w:bCs/>
          <w:color w:val="000000" w:themeColor="text1"/>
        </w:rPr>
        <w:t xml:space="preserve"> (J), </w:t>
      </w:r>
      <w:hyperlink r:id="rId19" w:history="1">
        <w:r w:rsidR="00BB0582" w:rsidRPr="00856F92">
          <w:rPr>
            <w:rStyle w:val="Hyperlink"/>
            <w:rFonts w:eastAsia="Times New Roman"/>
            <w:color w:val="000000" w:themeColor="text1"/>
          </w:rPr>
          <w:t>/INP-72</w:t>
        </w:r>
      </w:hyperlink>
      <w:r w:rsidR="00BB0582" w:rsidRPr="00856F92">
        <w:rPr>
          <w:rFonts w:eastAsia="Times New Roman"/>
          <w:color w:val="000000" w:themeColor="text1"/>
        </w:rPr>
        <w:t xml:space="preserve"> </w:t>
      </w:r>
      <w:r w:rsidR="00BB0582" w:rsidRPr="00041809">
        <w:rPr>
          <w:rFonts w:eastAsia="Times New Roman"/>
          <w:bCs/>
          <w:color w:val="000000" w:themeColor="text1"/>
        </w:rPr>
        <w:t xml:space="preserve">(SNG &amp; THA), </w:t>
      </w:r>
      <w:hyperlink r:id="rId20" w:history="1">
        <w:r w:rsidR="00BB0582" w:rsidRPr="00856F92">
          <w:rPr>
            <w:rStyle w:val="Hyperlink"/>
            <w:rFonts w:eastAsia="Times New Roman"/>
            <w:color w:val="000000" w:themeColor="text1"/>
          </w:rPr>
          <w:t>INP-75</w:t>
        </w:r>
      </w:hyperlink>
      <w:r w:rsidR="00BB0582" w:rsidRPr="00041809">
        <w:rPr>
          <w:rFonts w:eastAsia="Times New Roman"/>
          <w:bCs/>
          <w:color w:val="000000" w:themeColor="text1"/>
        </w:rPr>
        <w:t xml:space="preserve"> (MLA),  </w:t>
      </w:r>
      <w:hyperlink r:id="rId21" w:history="1">
        <w:r w:rsidR="00BB0582" w:rsidRPr="00856F92">
          <w:rPr>
            <w:rStyle w:val="Hyperlink"/>
            <w:rFonts w:eastAsia="Times New Roman"/>
            <w:color w:val="000000" w:themeColor="text1"/>
          </w:rPr>
          <w:t>INP-79</w:t>
        </w:r>
      </w:hyperlink>
      <w:r w:rsidR="00BB0582" w:rsidRPr="00041809">
        <w:rPr>
          <w:rFonts w:eastAsia="Times New Roman"/>
          <w:bCs/>
          <w:color w:val="000000" w:themeColor="text1"/>
        </w:rPr>
        <w:t xml:space="preserve"> (INS), </w:t>
      </w:r>
      <w:hyperlink r:id="rId22" w:history="1">
        <w:r w:rsidR="00BB0582" w:rsidRPr="00856F92">
          <w:rPr>
            <w:rStyle w:val="Hyperlink"/>
            <w:rFonts w:eastAsia="Times New Roman"/>
            <w:color w:val="000000" w:themeColor="text1"/>
          </w:rPr>
          <w:t>INP-83</w:t>
        </w:r>
      </w:hyperlink>
      <w:r w:rsidR="00BB0582" w:rsidRPr="00041809">
        <w:rPr>
          <w:rFonts w:eastAsia="Times New Roman"/>
          <w:bCs/>
          <w:color w:val="000000" w:themeColor="text1"/>
        </w:rPr>
        <w:t xml:space="preserve"> (VTN),  </w:t>
      </w:r>
      <w:hyperlink r:id="rId23" w:history="1">
        <w:r w:rsidR="00BB0582" w:rsidRPr="00856F92">
          <w:rPr>
            <w:rStyle w:val="Hyperlink"/>
            <w:rFonts w:eastAsia="Times New Roman"/>
            <w:color w:val="000000" w:themeColor="text1"/>
          </w:rPr>
          <w:t>INP-87</w:t>
        </w:r>
      </w:hyperlink>
      <w:r w:rsidR="00BB0582" w:rsidRPr="00041809">
        <w:rPr>
          <w:rFonts w:eastAsia="Times New Roman"/>
          <w:bCs/>
          <w:color w:val="000000" w:themeColor="text1"/>
        </w:rPr>
        <w:t xml:space="preserve"> (CHN), </w:t>
      </w:r>
      <w:hyperlink r:id="rId24" w:history="1">
        <w:r w:rsidR="00BB0582" w:rsidRPr="00856F92">
          <w:rPr>
            <w:rStyle w:val="Hyperlink"/>
            <w:rFonts w:eastAsia="Times New Roman"/>
            <w:color w:val="000000" w:themeColor="text1"/>
          </w:rPr>
          <w:t>INP-97</w:t>
        </w:r>
      </w:hyperlink>
      <w:r w:rsidR="00E518A3" w:rsidRPr="00856F92">
        <w:rPr>
          <w:rStyle w:val="Hyperlink"/>
          <w:rFonts w:eastAsia="Times New Roman"/>
          <w:color w:val="000000" w:themeColor="text1"/>
          <w:lang w:val="id-ID"/>
        </w:rPr>
        <w:t>(Rev.1)</w:t>
      </w:r>
      <w:r w:rsidR="00BB0582" w:rsidRPr="00041809">
        <w:rPr>
          <w:rFonts w:eastAsia="Times New Roman"/>
          <w:bCs/>
          <w:color w:val="000000" w:themeColor="text1"/>
        </w:rPr>
        <w:t xml:space="preserve"> (</w:t>
      </w:r>
      <w:r w:rsidR="00DA674D" w:rsidRPr="00041809">
        <w:rPr>
          <w:rFonts w:eastAsia="Times New Roman"/>
          <w:bCs/>
          <w:color w:val="000000" w:themeColor="text1"/>
          <w:lang w:val="id-ID"/>
        </w:rPr>
        <w:t>BGD</w:t>
      </w:r>
      <w:r w:rsidR="00BB0582" w:rsidRPr="00041809">
        <w:rPr>
          <w:rFonts w:eastAsia="Times New Roman"/>
          <w:bCs/>
          <w:color w:val="000000" w:themeColor="text1"/>
        </w:rPr>
        <w:t>)</w:t>
      </w:r>
    </w:p>
    <w:p w14:paraId="25A4C369" w14:textId="77777777" w:rsidR="00BB0582" w:rsidRPr="00903E72" w:rsidRDefault="00BB0582" w:rsidP="00C47F79">
      <w:pPr>
        <w:pStyle w:val="ListParagraph"/>
        <w:ind w:left="420"/>
        <w:rPr>
          <w:rFonts w:eastAsia="Times New Roman"/>
          <w:color w:val="000000" w:themeColor="text1"/>
        </w:rPr>
      </w:pPr>
    </w:p>
    <w:p w14:paraId="27DCCE03" w14:textId="77777777" w:rsidR="006A02CF" w:rsidRPr="00986E7C" w:rsidRDefault="007A507E" w:rsidP="00493D17">
      <w:pPr>
        <w:spacing w:after="120"/>
        <w:jc w:val="both"/>
        <w:rPr>
          <w:b/>
          <w:lang w:eastAsia="ko-KR"/>
        </w:rPr>
      </w:pPr>
      <w:r w:rsidRPr="00986E7C">
        <w:rPr>
          <w:b/>
          <w:lang w:eastAsia="ko-KR"/>
        </w:rPr>
        <w:t>2.2</w:t>
      </w:r>
      <w:r w:rsidR="006A02CF" w:rsidRPr="00986E7C">
        <w:rPr>
          <w:b/>
          <w:lang w:eastAsia="ko-KR"/>
        </w:rPr>
        <w:t xml:space="preserve"> Information Documents:</w:t>
      </w:r>
    </w:p>
    <w:p w14:paraId="769BB7B4" w14:textId="1BFBA5E8" w:rsidR="003C7C88" w:rsidRPr="00041809" w:rsidRDefault="004B14A8" w:rsidP="00903E72">
      <w:pPr>
        <w:pStyle w:val="ListParagraph"/>
        <w:ind w:left="420"/>
        <w:jc w:val="both"/>
        <w:rPr>
          <w:rFonts w:eastAsia="Times New Roman"/>
          <w:color w:val="000000" w:themeColor="text1"/>
          <w:lang w:val="id-ID"/>
        </w:rPr>
      </w:pPr>
      <w:hyperlink r:id="rId25" w:history="1">
        <w:r w:rsidR="00E518A3" w:rsidRPr="00856F92">
          <w:rPr>
            <w:rStyle w:val="Hyperlink"/>
            <w:rFonts w:eastAsia="Times New Roman"/>
            <w:color w:val="000000" w:themeColor="text1"/>
          </w:rPr>
          <w:t>APG19-3/INF-06</w:t>
        </w:r>
      </w:hyperlink>
      <w:r w:rsidR="00BB0582" w:rsidRPr="00856F92">
        <w:rPr>
          <w:rFonts w:eastAsia="Times New Roman"/>
          <w:color w:val="000000" w:themeColor="text1"/>
          <w:lang w:val="id-ID"/>
        </w:rPr>
        <w:t xml:space="preserve"> </w:t>
      </w:r>
      <w:r w:rsidR="00BB0582" w:rsidRPr="00041809">
        <w:rPr>
          <w:rFonts w:eastAsia="Times New Roman"/>
          <w:color w:val="000000" w:themeColor="text1"/>
          <w:lang w:val="id-ID"/>
        </w:rPr>
        <w:t xml:space="preserve">(CEPT), </w:t>
      </w:r>
      <w:r w:rsidR="00D8201F">
        <w:rPr>
          <w:rFonts w:eastAsia="Times New Roman"/>
          <w:color w:val="000000" w:themeColor="text1"/>
          <w:lang w:val="id-ID"/>
        </w:rPr>
        <w:t>IN</w:t>
      </w:r>
      <w:r w:rsidR="00D8201F" w:rsidRPr="00D8201F">
        <w:rPr>
          <w:rFonts w:eastAsia="Times New Roman"/>
          <w:color w:val="000000" w:themeColor="text1"/>
          <w:lang w:val="id-ID"/>
        </w:rPr>
        <w:t>F-08 Rev.1</w:t>
      </w:r>
      <w:r w:rsidR="00D8201F" w:rsidRPr="001D707E">
        <w:rPr>
          <w:rFonts w:eastAsia="Times New Roman"/>
          <w:color w:val="000000" w:themeColor="text1"/>
          <w:lang w:val="id-ID"/>
        </w:rPr>
        <w:t xml:space="preserve"> (CITEL)</w:t>
      </w:r>
      <w:r w:rsidR="00D8201F">
        <w:rPr>
          <w:rFonts w:eastAsia="Times New Roman"/>
          <w:color w:val="000000" w:themeColor="text1"/>
          <w:lang w:val="id-ID"/>
        </w:rPr>
        <w:t xml:space="preserve">, </w:t>
      </w:r>
      <w:hyperlink r:id="rId26" w:history="1">
        <w:r w:rsidR="00E518A3" w:rsidRPr="00856F92">
          <w:rPr>
            <w:rStyle w:val="Hyperlink"/>
            <w:rFonts w:eastAsia="Times New Roman"/>
            <w:color w:val="000000" w:themeColor="text1"/>
          </w:rPr>
          <w:t>INF</w:t>
        </w:r>
        <w:r w:rsidR="00E518A3" w:rsidRPr="00856F92">
          <w:rPr>
            <w:rStyle w:val="Hyperlink"/>
            <w:rFonts w:eastAsia="Times New Roman"/>
            <w:color w:val="000000" w:themeColor="text1"/>
            <w:lang w:val="id-ID"/>
          </w:rPr>
          <w:t>-09</w:t>
        </w:r>
      </w:hyperlink>
      <w:r w:rsidR="00BB0582" w:rsidRPr="00856F92">
        <w:rPr>
          <w:rFonts w:eastAsia="Times New Roman"/>
          <w:color w:val="000000" w:themeColor="text1"/>
          <w:lang w:val="id-ID"/>
        </w:rPr>
        <w:t xml:space="preserve"> </w:t>
      </w:r>
      <w:r w:rsidR="00BB0582" w:rsidRPr="00041809">
        <w:rPr>
          <w:rFonts w:eastAsia="Times New Roman"/>
          <w:color w:val="000000" w:themeColor="text1"/>
          <w:lang w:val="id-ID"/>
        </w:rPr>
        <w:t>(IARU)</w:t>
      </w:r>
      <w:r w:rsidR="003C7C88" w:rsidRPr="00041809">
        <w:rPr>
          <w:rFonts w:eastAsia="Times New Roman"/>
          <w:color w:val="000000" w:themeColor="text1"/>
          <w:lang w:val="id-ID"/>
        </w:rPr>
        <w:t xml:space="preserve">, </w:t>
      </w:r>
    </w:p>
    <w:p w14:paraId="6BD4D096" w14:textId="77777777" w:rsidR="00121473" w:rsidRPr="00A97978" w:rsidRDefault="00121473" w:rsidP="00903E72">
      <w:pPr>
        <w:pStyle w:val="ListParagraph"/>
        <w:ind w:left="420"/>
        <w:jc w:val="both"/>
        <w:rPr>
          <w:rFonts w:eastAsia="Times New Roman"/>
          <w:b/>
          <w:color w:val="000000" w:themeColor="text1"/>
          <w:lang w:val="id-ID"/>
        </w:rPr>
      </w:pPr>
    </w:p>
    <w:p w14:paraId="6842B2D7" w14:textId="77777777" w:rsidR="006A02CF" w:rsidRDefault="007A507E" w:rsidP="00D93D55">
      <w:pPr>
        <w:spacing w:after="120"/>
        <w:jc w:val="both"/>
        <w:rPr>
          <w:b/>
          <w:lang w:eastAsia="ko-KR"/>
        </w:rPr>
      </w:pPr>
      <w:r>
        <w:rPr>
          <w:b/>
          <w:lang w:eastAsia="ko-KR"/>
        </w:rPr>
        <w:lastRenderedPageBreak/>
        <w:t xml:space="preserve">3. </w:t>
      </w:r>
      <w:r w:rsidR="006A02CF">
        <w:rPr>
          <w:b/>
          <w:lang w:eastAsia="ko-KR"/>
        </w:rPr>
        <w:t>Summary of Discussion:</w:t>
      </w:r>
    </w:p>
    <w:p w14:paraId="28B552B9" w14:textId="4F335BC6" w:rsidR="00DD5A18" w:rsidRDefault="00DD5A18" w:rsidP="00D93D55">
      <w:pPr>
        <w:spacing w:after="120"/>
        <w:jc w:val="both"/>
        <w:rPr>
          <w:b/>
          <w:lang w:val="en-NZ" w:eastAsia="ko-KR"/>
        </w:rPr>
      </w:pPr>
      <w:r w:rsidRPr="00874E7E">
        <w:rPr>
          <w:b/>
          <w:lang w:val="en-NZ" w:eastAsia="ko-KR"/>
        </w:rPr>
        <w:t>3.1</w:t>
      </w:r>
      <w:r w:rsidRPr="00874E7E">
        <w:rPr>
          <w:b/>
          <w:lang w:val="en-NZ" w:eastAsia="ko-KR"/>
        </w:rPr>
        <w:tab/>
        <w:t xml:space="preserve"> S</w:t>
      </w:r>
      <w:r w:rsidRPr="00874E7E">
        <w:rPr>
          <w:rFonts w:hint="eastAsia"/>
          <w:b/>
          <w:lang w:val="en-NZ" w:eastAsia="ko-KR"/>
        </w:rPr>
        <w:t xml:space="preserve">ummary </w:t>
      </w:r>
      <w:r w:rsidRPr="00874E7E">
        <w:rPr>
          <w:b/>
          <w:lang w:val="en-NZ" w:eastAsia="ko-KR"/>
        </w:rPr>
        <w:t>of Members’ view</w:t>
      </w:r>
    </w:p>
    <w:p w14:paraId="24245836" w14:textId="29606ADF" w:rsidR="00C4585B" w:rsidRPr="001C17C2" w:rsidRDefault="00C4585B" w:rsidP="00C4585B">
      <w:pPr>
        <w:spacing w:after="120"/>
        <w:jc w:val="both"/>
        <w:rPr>
          <w:b/>
          <w:lang w:val="id-ID" w:eastAsia="ko-KR"/>
        </w:rPr>
      </w:pPr>
      <w:r w:rsidRPr="00874E7E">
        <w:rPr>
          <w:b/>
          <w:lang w:val="en-NZ" w:eastAsia="ko-KR"/>
        </w:rPr>
        <w:t>3.1.1</w:t>
      </w:r>
      <w:r w:rsidR="00601726">
        <w:rPr>
          <w:b/>
          <w:lang w:val="en-NZ" w:eastAsia="ko-KR"/>
        </w:rPr>
        <w:tab/>
      </w:r>
      <w:r w:rsidR="00F33D59">
        <w:rPr>
          <w:b/>
          <w:lang w:val="en-NZ" w:eastAsia="ko-KR"/>
        </w:rPr>
        <w:t>India</w:t>
      </w:r>
      <w:r w:rsidR="009A6A00">
        <w:rPr>
          <w:b/>
          <w:lang w:val="id-ID" w:eastAsia="ko-KR"/>
        </w:rPr>
        <w:t xml:space="preserve"> – Document </w:t>
      </w:r>
      <w:r w:rsidR="00EB5C49" w:rsidRPr="00856F92">
        <w:fldChar w:fldCharType="begin"/>
      </w:r>
      <w:r w:rsidR="00EB5C49" w:rsidRPr="00856F92">
        <w:instrText xml:space="preserve"> HYPERLINK "https://www.apt.int/sites/default/files/2018/03/APG19-3-INP-15_IND_WP2_0.docx" </w:instrText>
      </w:r>
      <w:r w:rsidR="00EB5C49" w:rsidRPr="00856F92">
        <w:fldChar w:fldCharType="separate"/>
      </w:r>
      <w:r w:rsidR="009A6A00" w:rsidRPr="00041809">
        <w:rPr>
          <w:rStyle w:val="Hyperlink"/>
          <w:rFonts w:eastAsia="Times New Roman"/>
          <w:color w:val="000000" w:themeColor="text1"/>
          <w:u w:val="none"/>
        </w:rPr>
        <w:t>APG19-3-INP-15</w:t>
      </w:r>
      <w:r w:rsidR="00EB5C49" w:rsidRPr="00041809">
        <w:rPr>
          <w:rStyle w:val="Hyperlink"/>
          <w:rFonts w:eastAsia="Times New Roman"/>
          <w:color w:val="000000" w:themeColor="text1"/>
          <w:u w:val="none"/>
        </w:rPr>
        <w:fldChar w:fldCharType="end"/>
      </w:r>
    </w:p>
    <w:p w14:paraId="3950CFC2" w14:textId="7145F11F" w:rsidR="00DC621E" w:rsidRDefault="00DC621E" w:rsidP="00811D8F">
      <w:pPr>
        <w:spacing w:after="120"/>
        <w:ind w:right="119"/>
        <w:jc w:val="both"/>
      </w:pPr>
      <w:r>
        <w:t xml:space="preserve">India </w:t>
      </w:r>
      <w:r w:rsidRPr="00811D8F">
        <w:rPr>
          <w:rFonts w:eastAsia="MS Mincho"/>
          <w:color w:val="000000" w:themeColor="text1"/>
          <w:szCs w:val="20"/>
          <w:lang w:val="en-GB" w:eastAsia="ja-JP"/>
        </w:rPr>
        <w:t>is</w:t>
      </w:r>
      <w:r>
        <w:t xml:space="preserve"> of the view that IMT-base</w:t>
      </w:r>
      <w:r w:rsidR="00E55FCF">
        <w:rPr>
          <w:lang w:val="id-ID"/>
        </w:rPr>
        <w:t>d</w:t>
      </w:r>
      <w:r>
        <w:t xml:space="preserve"> </w:t>
      </w:r>
      <w:r w:rsidRPr="006C77C0">
        <w:t>MTC</w:t>
      </w:r>
      <w:r>
        <w:t>/</w:t>
      </w:r>
      <w:proofErr w:type="spellStart"/>
      <w:r>
        <w:t>IoT</w:t>
      </w:r>
      <w:proofErr w:type="spellEnd"/>
      <w:r w:rsidRPr="006C77C0">
        <w:t xml:space="preserve"> </w:t>
      </w:r>
      <w:r>
        <w:t xml:space="preserve">applications </w:t>
      </w:r>
      <w:r w:rsidRPr="006C77C0">
        <w:t xml:space="preserve">should be able to use </w:t>
      </w:r>
      <w:r>
        <w:t>existing frequency bands</w:t>
      </w:r>
      <w:r w:rsidRPr="006C77C0">
        <w:t xml:space="preserve"> allocated to </w:t>
      </w:r>
      <w:r>
        <w:t>MOBILE</w:t>
      </w:r>
      <w:r w:rsidRPr="006C77C0">
        <w:t xml:space="preserve"> service </w:t>
      </w:r>
      <w:r>
        <w:t>that could support mobile broadband deployment. This includes frequency bands identified for IMT.</w:t>
      </w:r>
      <w:r w:rsidR="00847585">
        <w:rPr>
          <w:lang w:val="id-ID"/>
        </w:rPr>
        <w:t xml:space="preserve"> </w:t>
      </w:r>
      <w:r>
        <w:t>There is no need to specify dedicated spectrum or indicate which frequency arrangement would be used exclusively for MTC/</w:t>
      </w:r>
      <w:proofErr w:type="spellStart"/>
      <w:r>
        <w:t>IoT</w:t>
      </w:r>
      <w:proofErr w:type="spellEnd"/>
      <w:r>
        <w:t xml:space="preserve"> applications.</w:t>
      </w:r>
    </w:p>
    <w:p w14:paraId="4B84A4E7" w14:textId="0DA2DE67" w:rsidR="00DC621E" w:rsidRDefault="00DC621E" w:rsidP="00811D8F">
      <w:pPr>
        <w:spacing w:after="120"/>
        <w:ind w:right="119"/>
        <w:jc w:val="both"/>
      </w:pPr>
      <w:r>
        <w:t>India supports retaining the current conclusion in the draft CPM text for WRC-19 agenda 9.1, issue 9.1.8: “</w:t>
      </w:r>
      <w:r w:rsidRPr="0077427A">
        <w:rPr>
          <w:i/>
        </w:rPr>
        <w:t>Analysis of the current and future spectrum use for narrowband and broadband machine type communications (MTC), as expressed in Resolution 958 (WRC-15), concluded that there is no need to identify specific spectrum for those applications in the Radio Regulations. MTC/</w:t>
      </w:r>
      <w:proofErr w:type="spellStart"/>
      <w:r w:rsidRPr="0077427A">
        <w:rPr>
          <w:i/>
        </w:rPr>
        <w:t>IoT</w:t>
      </w:r>
      <w:proofErr w:type="spellEnd"/>
      <w:r w:rsidRPr="0077427A">
        <w:rPr>
          <w:i/>
        </w:rPr>
        <w:t xml:space="preserve"> applications and devices can be used effectively with all the benefits of the existing bands and the new frequency bands under study for IMT</w:t>
      </w:r>
      <w:r>
        <w:t xml:space="preserve">” </w:t>
      </w:r>
    </w:p>
    <w:p w14:paraId="2A9639C3" w14:textId="1490D815" w:rsidR="0021296C" w:rsidRPr="001C17C2" w:rsidRDefault="00C4585B" w:rsidP="00811D8F">
      <w:pPr>
        <w:spacing w:after="120"/>
        <w:jc w:val="both"/>
        <w:rPr>
          <w:rFonts w:eastAsia="Times New Roman"/>
          <w:b/>
          <w:color w:val="000000"/>
          <w:shd w:val="clear" w:color="auto" w:fill="FFFFFF"/>
          <w:lang w:val="id-ID"/>
        </w:rPr>
      </w:pPr>
      <w:r w:rsidRPr="00874E7E">
        <w:rPr>
          <w:b/>
          <w:lang w:val="en-NZ" w:eastAsia="ko-KR"/>
        </w:rPr>
        <w:t>3.1.2</w:t>
      </w:r>
      <w:r w:rsidR="00601726">
        <w:rPr>
          <w:b/>
          <w:lang w:val="en-NZ" w:eastAsia="ko-KR"/>
        </w:rPr>
        <w:tab/>
      </w:r>
      <w:r w:rsidR="00583D2F">
        <w:rPr>
          <w:rFonts w:eastAsia="Times New Roman"/>
          <w:b/>
          <w:color w:val="000000"/>
          <w:shd w:val="clear" w:color="auto" w:fill="FFFFFF"/>
        </w:rPr>
        <w:t>Korea</w:t>
      </w:r>
      <w:r w:rsidR="009A6A00">
        <w:rPr>
          <w:rFonts w:eastAsia="Times New Roman"/>
          <w:b/>
          <w:color w:val="000000"/>
          <w:shd w:val="clear" w:color="auto" w:fill="FFFFFF"/>
          <w:lang w:val="id-ID"/>
        </w:rPr>
        <w:t xml:space="preserve"> – Document </w:t>
      </w:r>
      <w:r w:rsidR="00EB5C49" w:rsidRPr="00856F92">
        <w:fldChar w:fldCharType="begin"/>
      </w:r>
      <w:r w:rsidR="00EB5C49" w:rsidRPr="00856F92">
        <w:instrText xml:space="preserve"> HYPERLINK "https://www.apt.int/sites/default/files/2018/03/APG19-3-INP-22_KOR-WP2.docx" </w:instrText>
      </w:r>
      <w:r w:rsidR="00EB5C49" w:rsidRPr="00856F92">
        <w:fldChar w:fldCharType="separate"/>
      </w:r>
      <w:r w:rsidR="009A6A00" w:rsidRPr="00041809">
        <w:rPr>
          <w:rStyle w:val="Hyperlink"/>
          <w:rFonts w:eastAsia="Times New Roman"/>
          <w:color w:val="000000" w:themeColor="text1"/>
          <w:u w:val="none"/>
        </w:rPr>
        <w:t>APG19-3/INP-22</w:t>
      </w:r>
      <w:r w:rsidR="00EB5C49" w:rsidRPr="00041809">
        <w:rPr>
          <w:rStyle w:val="Hyperlink"/>
          <w:rFonts w:eastAsia="Times New Roman"/>
          <w:color w:val="000000" w:themeColor="text1"/>
          <w:u w:val="none"/>
        </w:rPr>
        <w:fldChar w:fldCharType="end"/>
      </w:r>
    </w:p>
    <w:p w14:paraId="557C9F5F" w14:textId="3DDFC6D0" w:rsidR="00C60775" w:rsidRPr="00352A83" w:rsidRDefault="00CB21CB" w:rsidP="001C17C2">
      <w:pPr>
        <w:spacing w:after="120"/>
        <w:ind w:right="119"/>
        <w:jc w:val="both"/>
        <w:rPr>
          <w:lang w:eastAsia="ko-KR"/>
        </w:rPr>
      </w:pPr>
      <w:r>
        <w:rPr>
          <w:color w:val="000000" w:themeColor="text1"/>
          <w:lang w:eastAsia="ko-KR"/>
        </w:rPr>
        <w:t xml:space="preserve">The Republic of Korea proposes modification </w:t>
      </w:r>
      <w:r w:rsidR="00C60775" w:rsidRPr="0097674F">
        <w:rPr>
          <w:color w:val="000000" w:themeColor="text1"/>
          <w:lang w:eastAsia="ko-KR"/>
        </w:rPr>
        <w:t xml:space="preserve">to the APT preliminary views </w:t>
      </w:r>
      <w:r>
        <w:rPr>
          <w:color w:val="000000" w:themeColor="text1"/>
          <w:lang w:eastAsia="ko-KR"/>
        </w:rPr>
        <w:t xml:space="preserve">adopted </w:t>
      </w:r>
      <w:r w:rsidR="00C60775" w:rsidRPr="0097674F">
        <w:rPr>
          <w:color w:val="000000" w:themeColor="text1"/>
          <w:lang w:eastAsia="ko-KR"/>
        </w:rPr>
        <w:t>at the APG19</w:t>
      </w:r>
      <w:r w:rsidR="00C60775">
        <w:rPr>
          <w:color w:val="000000" w:themeColor="text1"/>
          <w:lang w:eastAsia="ko-KR"/>
        </w:rPr>
        <w:t>-2, as</w:t>
      </w:r>
      <w:r>
        <w:rPr>
          <w:color w:val="000000" w:themeColor="text1"/>
          <w:lang w:eastAsia="ko-KR"/>
        </w:rPr>
        <w:t xml:space="preserve"> stated below</w:t>
      </w:r>
      <w:r w:rsidR="00C60775">
        <w:rPr>
          <w:color w:val="000000" w:themeColor="text1"/>
          <w:lang w:eastAsia="ko-KR"/>
        </w:rPr>
        <w:t>:</w:t>
      </w:r>
    </w:p>
    <w:p w14:paraId="3BAA8281" w14:textId="1D5664EA" w:rsidR="0062571C" w:rsidRDefault="00C60775" w:rsidP="00D53A7B">
      <w:pPr>
        <w:spacing w:after="120"/>
        <w:ind w:right="119"/>
        <w:jc w:val="both"/>
        <w:rPr>
          <w:rFonts w:eastAsiaTheme="minorEastAsia"/>
          <w:color w:val="000000" w:themeColor="text1"/>
          <w:lang w:val="en-GB" w:eastAsia="ko-KR"/>
        </w:rPr>
      </w:pPr>
      <w:r>
        <w:rPr>
          <w:rFonts w:eastAsia="MS Mincho"/>
          <w:color w:val="000000" w:themeColor="text1"/>
          <w:szCs w:val="20"/>
          <w:lang w:val="id-ID" w:eastAsia="ja-JP"/>
        </w:rPr>
        <w:t>“</w:t>
      </w:r>
      <w:r w:rsidR="0062571C" w:rsidRPr="008A0C35">
        <w:rPr>
          <w:rFonts w:eastAsia="MS Mincho"/>
          <w:color w:val="000000" w:themeColor="text1"/>
          <w:szCs w:val="20"/>
          <w:lang w:val="en-GB" w:eastAsia="ja-JP"/>
        </w:rPr>
        <w:t>APT Members</w:t>
      </w:r>
      <w:r w:rsidR="0062571C">
        <w:rPr>
          <w:rFonts w:eastAsia="MS Mincho"/>
          <w:color w:val="000000" w:themeColor="text1"/>
          <w:szCs w:val="20"/>
          <w:lang w:val="en-GB" w:eastAsia="ja-JP"/>
        </w:rPr>
        <w:t xml:space="preserve"> </w:t>
      </w:r>
      <w:r w:rsidR="0062571C" w:rsidRPr="008A0C35">
        <w:rPr>
          <w:rFonts w:eastAsia="MS Mincho"/>
          <w:color w:val="000000" w:themeColor="text1"/>
          <w:szCs w:val="20"/>
          <w:lang w:val="en-GB" w:eastAsia="ja-JP"/>
        </w:rPr>
        <w:t xml:space="preserve">support </w:t>
      </w:r>
      <w:r w:rsidR="0062571C" w:rsidRPr="00811D8F">
        <w:t>studies</w:t>
      </w:r>
      <w:r w:rsidR="0062571C" w:rsidRPr="008A0C35">
        <w:rPr>
          <w:i/>
          <w:iCs/>
          <w:color w:val="000000" w:themeColor="text1"/>
          <w:lang w:val="id-ID"/>
        </w:rPr>
        <w:t xml:space="preserve"> </w:t>
      </w:r>
      <w:r w:rsidR="0062571C" w:rsidRPr="008A0C35">
        <w:rPr>
          <w:iCs/>
          <w:color w:val="000000" w:themeColor="text1"/>
          <w:lang w:val="id-ID"/>
        </w:rPr>
        <w:t>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0062571C" w:rsidRPr="008A0C35">
        <w:rPr>
          <w:color w:val="000000" w:themeColor="text1"/>
        </w:rPr>
        <w:t>, in accordance with Resolution</w:t>
      </w:r>
      <w:r w:rsidR="0062571C" w:rsidRPr="008A0C35">
        <w:rPr>
          <w:iCs/>
          <w:color w:val="000000" w:themeColor="text1"/>
        </w:rPr>
        <w:t xml:space="preserve"> </w:t>
      </w:r>
      <w:r w:rsidR="0062571C" w:rsidRPr="008A0C35">
        <w:rPr>
          <w:b/>
          <w:iCs/>
          <w:color w:val="000000" w:themeColor="text1"/>
        </w:rPr>
        <w:t xml:space="preserve">958 </w:t>
      </w:r>
      <w:r w:rsidR="0062571C" w:rsidRPr="008A0C35">
        <w:rPr>
          <w:rFonts w:eastAsiaTheme="minorEastAsia"/>
          <w:b/>
          <w:color w:val="000000" w:themeColor="text1"/>
          <w:lang w:val="en-GB" w:eastAsia="ja-JP"/>
        </w:rPr>
        <w:t>(WRC-15)</w:t>
      </w:r>
      <w:r w:rsidR="0062571C" w:rsidRPr="008A0C35">
        <w:rPr>
          <w:rFonts w:eastAsiaTheme="minorEastAsia"/>
          <w:color w:val="000000" w:themeColor="text1"/>
          <w:lang w:val="en-GB" w:eastAsia="ja-JP"/>
        </w:rPr>
        <w:t>.</w:t>
      </w:r>
    </w:p>
    <w:p w14:paraId="2DF4137B" w14:textId="7BD2859A" w:rsidR="00E63D60" w:rsidRDefault="0062571C" w:rsidP="0062571C">
      <w:pPr>
        <w:spacing w:after="120"/>
        <w:ind w:right="119"/>
        <w:jc w:val="both"/>
        <w:rPr>
          <w:rFonts w:eastAsia="Times New Roman"/>
          <w:lang w:val="id-ID"/>
        </w:rPr>
      </w:pPr>
      <w:r>
        <w:rPr>
          <w:rFonts w:eastAsia="Times New Roman"/>
          <w:lang w:val="en-GB"/>
        </w:rPr>
        <w:t xml:space="preserve">APT Members are of the view that the possible harmonized use of spectrum to support MTC can be </w:t>
      </w:r>
      <w:r w:rsidRPr="00811D8F">
        <w:t>achieved</w:t>
      </w:r>
      <w:r>
        <w:rPr>
          <w:rFonts w:eastAsia="Times New Roman"/>
          <w:lang w:val="en-GB"/>
        </w:rPr>
        <w:t xml:space="preserve"> through ITU-R Recommendations/Reports and </w:t>
      </w:r>
      <w:r w:rsidRPr="0027245D">
        <w:rPr>
          <w:rFonts w:eastAsia="Times New Roman"/>
          <w:lang w:val="en-GB"/>
        </w:rPr>
        <w:t>no change</w:t>
      </w:r>
      <w:r>
        <w:rPr>
          <w:rFonts w:eastAsia="Times New Roman"/>
          <w:lang w:val="en-GB"/>
        </w:rPr>
        <w:t xml:space="preserve"> to the </w:t>
      </w:r>
      <w:r w:rsidRPr="0027245D">
        <w:rPr>
          <w:rFonts w:eastAsia="Times New Roman"/>
          <w:lang w:val="en-GB"/>
        </w:rPr>
        <w:t>Radio Regulations</w:t>
      </w:r>
      <w:r>
        <w:rPr>
          <w:rFonts w:eastAsia="Times New Roman"/>
          <w:lang w:val="en-GB"/>
        </w:rPr>
        <w:t xml:space="preserve"> is required </w:t>
      </w:r>
      <w:r w:rsidRPr="0027245D">
        <w:rPr>
          <w:rFonts w:eastAsia="Times New Roman"/>
          <w:lang w:val="en-GB"/>
        </w:rPr>
        <w:t>under this issue.</w:t>
      </w:r>
      <w:r w:rsidR="00C60775">
        <w:rPr>
          <w:rFonts w:eastAsia="Times New Roman"/>
          <w:lang w:val="id-ID"/>
        </w:rPr>
        <w:t>”</w:t>
      </w:r>
    </w:p>
    <w:p w14:paraId="3E061E4D" w14:textId="7AFE5755" w:rsidR="003612AB" w:rsidRPr="001C17C2" w:rsidRDefault="00D75546" w:rsidP="003612AB">
      <w:pPr>
        <w:spacing w:after="120"/>
        <w:jc w:val="both"/>
        <w:rPr>
          <w:b/>
          <w:lang w:val="id-ID" w:eastAsia="ko-KR"/>
        </w:rPr>
      </w:pPr>
      <w:r>
        <w:rPr>
          <w:b/>
          <w:lang w:val="en-NZ" w:eastAsia="ko-KR"/>
        </w:rPr>
        <w:t>3.1.3</w:t>
      </w:r>
      <w:r w:rsidR="00601726">
        <w:rPr>
          <w:b/>
          <w:lang w:val="en-NZ" w:eastAsia="ko-KR"/>
        </w:rPr>
        <w:tab/>
      </w:r>
      <w:r w:rsidR="00583D2F" w:rsidRPr="00811D8F">
        <w:rPr>
          <w:rFonts w:eastAsia="Times New Roman"/>
          <w:b/>
          <w:color w:val="000000"/>
          <w:shd w:val="clear" w:color="auto" w:fill="FFFFFF"/>
        </w:rPr>
        <w:t>Iran</w:t>
      </w:r>
      <w:r w:rsidR="009A6A00">
        <w:rPr>
          <w:rFonts w:eastAsia="Times New Roman"/>
          <w:b/>
          <w:color w:val="000000"/>
          <w:shd w:val="clear" w:color="auto" w:fill="FFFFFF"/>
          <w:lang w:val="id-ID"/>
        </w:rPr>
        <w:t xml:space="preserve"> – Document </w:t>
      </w:r>
      <w:r w:rsidR="00EB5C49" w:rsidRPr="00856F92">
        <w:fldChar w:fldCharType="begin"/>
      </w:r>
      <w:r w:rsidR="00EB5C49" w:rsidRPr="00856F92">
        <w:instrText xml:space="preserve"> HYPERLINK "https://www.apt.int/sites/default/files/2018/03/APG19-3-INP-29Rev.1_IRN_WP2.docx" </w:instrText>
      </w:r>
      <w:r w:rsidR="00EB5C49" w:rsidRPr="00856F92">
        <w:fldChar w:fldCharType="separate"/>
      </w:r>
      <w:r w:rsidR="009A6A00" w:rsidRPr="00041809">
        <w:rPr>
          <w:rStyle w:val="Hyperlink"/>
          <w:rFonts w:eastAsia="Times New Roman"/>
          <w:color w:val="000000" w:themeColor="text1"/>
          <w:u w:val="none"/>
        </w:rPr>
        <w:t>APG19-3/INP-29</w:t>
      </w:r>
      <w:r w:rsidR="009A6A00" w:rsidRPr="00041809">
        <w:rPr>
          <w:rStyle w:val="Hyperlink"/>
          <w:rFonts w:eastAsia="Times New Roman"/>
          <w:color w:val="000000" w:themeColor="text1"/>
          <w:u w:val="none"/>
          <w:lang w:val="id-ID"/>
        </w:rPr>
        <w:t>(Rev.1)</w:t>
      </w:r>
      <w:r w:rsidR="00EB5C49" w:rsidRPr="00041809">
        <w:rPr>
          <w:rStyle w:val="Hyperlink"/>
          <w:rFonts w:eastAsia="Times New Roman"/>
          <w:color w:val="000000" w:themeColor="text1"/>
          <w:u w:val="none"/>
          <w:lang w:val="id-ID"/>
        </w:rPr>
        <w:fldChar w:fldCharType="end"/>
      </w:r>
    </w:p>
    <w:p w14:paraId="6BCDE0B7" w14:textId="77777777" w:rsidR="000355CC" w:rsidRPr="00580E8A" w:rsidRDefault="000355CC" w:rsidP="00811D8F">
      <w:pPr>
        <w:spacing w:after="120"/>
        <w:ind w:right="119"/>
        <w:jc w:val="both"/>
        <w:rPr>
          <w:b/>
          <w:color w:val="000000"/>
          <w:lang w:eastAsia="ko-KR"/>
        </w:rPr>
      </w:pPr>
      <w:r w:rsidRPr="00580E8A">
        <w:rPr>
          <w:rFonts w:eastAsia="MS Mincho"/>
          <w:color w:val="000000"/>
          <w:szCs w:val="20"/>
          <w:lang w:val="en-GB" w:eastAsia="ja-JP"/>
        </w:rPr>
        <w:t xml:space="preserve">This administration </w:t>
      </w:r>
      <w:r w:rsidRPr="00580E8A">
        <w:rPr>
          <w:rFonts w:eastAsia="MS Mincho" w:hint="eastAsia"/>
          <w:color w:val="000000"/>
          <w:szCs w:val="20"/>
          <w:lang w:val="en-GB" w:eastAsia="ja-JP"/>
        </w:rPr>
        <w:t>support</w:t>
      </w:r>
      <w:r w:rsidRPr="00580E8A">
        <w:rPr>
          <w:rFonts w:eastAsia="MS Mincho"/>
          <w:color w:val="000000"/>
          <w:szCs w:val="20"/>
          <w:lang w:val="en-GB" w:eastAsia="ja-JP"/>
        </w:rPr>
        <w:t>s</w:t>
      </w:r>
      <w:r w:rsidRPr="00580E8A">
        <w:rPr>
          <w:rFonts w:eastAsia="MS Mincho" w:hint="eastAsia"/>
          <w:color w:val="000000"/>
          <w:szCs w:val="20"/>
          <w:lang w:val="en-GB" w:eastAsia="ja-JP"/>
        </w:rPr>
        <w:t xml:space="preserve"> </w:t>
      </w:r>
      <w:r w:rsidRPr="00580E8A">
        <w:rPr>
          <w:iCs/>
          <w:color w:val="000000"/>
          <w:lang w:val="id-ID"/>
        </w:rPr>
        <w:t>studies</w:t>
      </w:r>
      <w:r w:rsidRPr="00580E8A">
        <w:rPr>
          <w:i/>
          <w:iCs/>
          <w:color w:val="000000"/>
          <w:lang w:val="id-ID"/>
        </w:rPr>
        <w:t xml:space="preserve"> </w:t>
      </w:r>
      <w:r w:rsidRPr="00580E8A">
        <w:rPr>
          <w:iCs/>
          <w:color w:val="000000"/>
          <w:lang w:val="id-ID"/>
        </w:rPr>
        <w:t>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Pr="00580E8A">
        <w:rPr>
          <w:color w:val="000000"/>
        </w:rPr>
        <w:t>, in accordance with Resolution</w:t>
      </w:r>
      <w:r w:rsidRPr="00580E8A">
        <w:rPr>
          <w:iCs/>
          <w:color w:val="000000"/>
        </w:rPr>
        <w:t xml:space="preserve"> </w:t>
      </w:r>
      <w:r w:rsidRPr="00580E8A">
        <w:rPr>
          <w:b/>
          <w:iCs/>
          <w:color w:val="000000"/>
        </w:rPr>
        <w:t xml:space="preserve">958 </w:t>
      </w:r>
      <w:r w:rsidRPr="00580E8A">
        <w:rPr>
          <w:rFonts w:eastAsia="Times New Roman"/>
          <w:b/>
          <w:color w:val="000000"/>
          <w:lang w:val="en-GB" w:eastAsia="ja-JP"/>
        </w:rPr>
        <w:t>(WRC-15)</w:t>
      </w:r>
      <w:r w:rsidRPr="00580E8A">
        <w:rPr>
          <w:rFonts w:eastAsia="Times New Roman" w:hint="eastAsia"/>
          <w:color w:val="000000"/>
          <w:lang w:val="en-GB" w:eastAsia="ja-JP"/>
        </w:rPr>
        <w:t>.</w:t>
      </w:r>
    </w:p>
    <w:p w14:paraId="5432B754" w14:textId="390CB8F1" w:rsidR="000355CC" w:rsidRDefault="000355CC" w:rsidP="00811D8F">
      <w:pPr>
        <w:spacing w:after="120"/>
        <w:ind w:right="119"/>
        <w:jc w:val="both"/>
      </w:pPr>
      <w:r w:rsidRPr="00580E8A">
        <w:rPr>
          <w:rFonts w:eastAsia="MS Mincho"/>
          <w:color w:val="000000"/>
          <w:szCs w:val="20"/>
          <w:lang w:val="en-GB" w:eastAsia="ja-JP"/>
        </w:rPr>
        <w:t>This administration</w:t>
      </w:r>
      <w:r w:rsidRPr="00CB6A85">
        <w:t xml:space="preserve"> </w:t>
      </w:r>
      <w:r>
        <w:t>is i</w:t>
      </w:r>
      <w:r w:rsidRPr="00CB6A85">
        <w:t xml:space="preserve">n view of </w:t>
      </w:r>
      <w:r>
        <w:t xml:space="preserve">that </w:t>
      </w:r>
      <w:r w:rsidRPr="00CB6A85">
        <w:t>there is no need to make any changes to the Radio Regulations nor for any identification to support MTC.</w:t>
      </w:r>
    </w:p>
    <w:p w14:paraId="65C6C540" w14:textId="0A940E74" w:rsidR="006A440B" w:rsidRPr="001C17C2" w:rsidRDefault="00D75546" w:rsidP="00986E7C">
      <w:pPr>
        <w:spacing w:after="120"/>
        <w:jc w:val="both"/>
        <w:rPr>
          <w:b/>
          <w:lang w:val="id-ID" w:eastAsia="ko-KR"/>
        </w:rPr>
      </w:pPr>
      <w:r>
        <w:rPr>
          <w:b/>
          <w:lang w:val="en-NZ" w:eastAsia="ko-KR"/>
        </w:rPr>
        <w:t>3.1.4</w:t>
      </w:r>
      <w:r w:rsidR="00601726">
        <w:rPr>
          <w:b/>
          <w:lang w:val="en-NZ" w:eastAsia="ko-KR"/>
        </w:rPr>
        <w:tab/>
      </w:r>
      <w:r w:rsidR="00583D2F">
        <w:rPr>
          <w:b/>
          <w:lang w:val="en-NZ" w:eastAsia="ko-KR"/>
        </w:rPr>
        <w:t>New Zealand</w:t>
      </w:r>
      <w:r w:rsidR="009A6A00">
        <w:rPr>
          <w:b/>
          <w:lang w:val="id-ID" w:eastAsia="ko-KR"/>
        </w:rPr>
        <w:t xml:space="preserve"> – Document </w:t>
      </w:r>
      <w:r w:rsidR="004B14A8">
        <w:fldChar w:fldCharType="begin"/>
      </w:r>
      <w:r w:rsidR="004B14A8">
        <w:instrText xml:space="preserve"> HYPERLINK "https://www.apt.int/sites/default/files/2018/03/APG19-3-INP-35_New_Zealand_WP2_0.docx" </w:instrText>
      </w:r>
      <w:r w:rsidR="004B14A8">
        <w:fldChar w:fldCharType="separate"/>
      </w:r>
      <w:r w:rsidR="009A6A00" w:rsidRPr="00903E72">
        <w:rPr>
          <w:rStyle w:val="Hyperlink"/>
          <w:rFonts w:eastAsia="Times New Roman"/>
          <w:color w:val="000000" w:themeColor="text1"/>
        </w:rPr>
        <w:t>APG19-3/INP-35</w:t>
      </w:r>
      <w:r w:rsidR="004B14A8">
        <w:rPr>
          <w:rStyle w:val="Hyperlink"/>
          <w:rFonts w:eastAsia="Times New Roman"/>
          <w:color w:val="000000" w:themeColor="text1"/>
        </w:rPr>
        <w:fldChar w:fldCharType="end"/>
      </w:r>
    </w:p>
    <w:p w14:paraId="4C5F043A" w14:textId="5201A049" w:rsidR="00E74910" w:rsidRDefault="00E74910" w:rsidP="00811D8F">
      <w:pPr>
        <w:spacing w:after="120"/>
        <w:ind w:right="119"/>
        <w:jc w:val="both"/>
        <w:rPr>
          <w:lang w:val="en-NZ"/>
        </w:rPr>
      </w:pPr>
      <w:r w:rsidRPr="00D9340E">
        <w:rPr>
          <w:lang w:val="en-NZ"/>
        </w:rPr>
        <w:t xml:space="preserve">New </w:t>
      </w:r>
      <w:r w:rsidRPr="00811D8F">
        <w:t>Zealand</w:t>
      </w:r>
      <w:r w:rsidRPr="00D9340E">
        <w:rPr>
          <w:lang w:val="en-NZ"/>
        </w:rPr>
        <w:t xml:space="preserve"> is of the view that there is no need to identify dedicated spectrum for Internet of Things (</w:t>
      </w:r>
      <w:proofErr w:type="spellStart"/>
      <w:r w:rsidRPr="00D9340E">
        <w:rPr>
          <w:lang w:val="en-NZ"/>
        </w:rPr>
        <w:t>IoT</w:t>
      </w:r>
      <w:proofErr w:type="spellEnd"/>
      <w:r w:rsidRPr="00D9340E">
        <w:rPr>
          <w:lang w:val="en-NZ"/>
        </w:rPr>
        <w:t xml:space="preserve">) or Machine-type communication (MTC) in the Radio Regulations. </w:t>
      </w:r>
      <w:proofErr w:type="spellStart"/>
      <w:r w:rsidRPr="00D9340E">
        <w:rPr>
          <w:lang w:val="en-NZ"/>
        </w:rPr>
        <w:t>IoT</w:t>
      </w:r>
      <w:proofErr w:type="spellEnd"/>
      <w:r w:rsidRPr="00D9340E">
        <w:rPr>
          <w:lang w:val="en-NZ"/>
        </w:rPr>
        <w:t>/MTC could be deployed in frequency bands already allocated to Mobile Service, or already identified for IMT use. Such applications can be clarified through development of appropriate ITU-R Recommendations, Reports and/or Handbooks.</w:t>
      </w:r>
    </w:p>
    <w:p w14:paraId="1CC7037B" w14:textId="04021BB7" w:rsidR="0075734D" w:rsidRPr="00856F92" w:rsidRDefault="0075734D" w:rsidP="00601726">
      <w:pPr>
        <w:spacing w:after="120"/>
        <w:jc w:val="both"/>
        <w:rPr>
          <w:b/>
          <w:lang w:val="id-ID" w:eastAsia="ko-KR"/>
        </w:rPr>
      </w:pPr>
      <w:r w:rsidRPr="006A440B">
        <w:rPr>
          <w:b/>
          <w:lang w:val="en-NZ" w:eastAsia="ko-KR"/>
        </w:rPr>
        <w:t>3.1.</w:t>
      </w:r>
      <w:r w:rsidR="00E10C65" w:rsidRPr="006A440B">
        <w:rPr>
          <w:b/>
          <w:lang w:val="en-NZ" w:eastAsia="ko-KR"/>
        </w:rPr>
        <w:t>5</w:t>
      </w:r>
      <w:r w:rsidR="00601726">
        <w:rPr>
          <w:b/>
          <w:lang w:val="en-NZ" w:eastAsia="ko-KR"/>
        </w:rPr>
        <w:tab/>
      </w:r>
      <w:r w:rsidR="00583D2F">
        <w:rPr>
          <w:b/>
          <w:lang w:val="en-NZ" w:eastAsia="ko-KR"/>
        </w:rPr>
        <w:t>Australia</w:t>
      </w:r>
      <w:r w:rsidR="009A6A00">
        <w:rPr>
          <w:b/>
          <w:lang w:val="id-ID" w:eastAsia="ko-KR"/>
        </w:rPr>
        <w:t xml:space="preserve"> – Document </w:t>
      </w:r>
      <w:r w:rsidR="00EB5C49" w:rsidRPr="00856F92">
        <w:fldChar w:fldCharType="begin"/>
      </w:r>
      <w:r w:rsidR="00EB5C49" w:rsidRPr="00856F92">
        <w:instrText xml:space="preserve"> HYPERLINK "https://www.apt.int/sites/default/files/2018/03/APG19-3-INP-42_Australia_WP2.docx" </w:instrText>
      </w:r>
      <w:r w:rsidR="00EB5C49" w:rsidRPr="00856F92">
        <w:fldChar w:fldCharType="separate"/>
      </w:r>
      <w:r w:rsidR="009A6A00" w:rsidRPr="00041809">
        <w:rPr>
          <w:rStyle w:val="Hyperlink"/>
          <w:rFonts w:eastAsia="Times New Roman"/>
          <w:color w:val="000000" w:themeColor="text1"/>
          <w:u w:val="none"/>
        </w:rPr>
        <w:t>APG19-3/INP-42</w:t>
      </w:r>
      <w:r w:rsidR="00EB5C49" w:rsidRPr="00041809">
        <w:rPr>
          <w:rStyle w:val="Hyperlink"/>
          <w:rFonts w:eastAsia="Times New Roman"/>
          <w:color w:val="000000" w:themeColor="text1"/>
          <w:u w:val="none"/>
        </w:rPr>
        <w:fldChar w:fldCharType="end"/>
      </w:r>
    </w:p>
    <w:p w14:paraId="4B0CB548" w14:textId="77777777" w:rsidR="000F7613" w:rsidRPr="008E74F4" w:rsidRDefault="000F7613" w:rsidP="00811D8F">
      <w:pPr>
        <w:spacing w:after="120"/>
        <w:ind w:right="119"/>
        <w:jc w:val="both"/>
        <w:rPr>
          <w:rFonts w:eastAsia="Times New Roman"/>
          <w:lang w:val="en-AU"/>
        </w:rPr>
      </w:pPr>
      <w:r w:rsidRPr="00856F92">
        <w:rPr>
          <w:rFonts w:eastAsia="Times New Roman"/>
          <w:lang w:val="en-GB"/>
        </w:rPr>
        <w:t xml:space="preserve">Australia supports </w:t>
      </w:r>
      <w:r w:rsidRPr="00856F92">
        <w:rPr>
          <w:rFonts w:eastAsia="Times New Roman"/>
          <w:lang w:val="en-AU"/>
        </w:rPr>
        <w:t>the development of appropriate ITU-R Recommendations, Reports and/or Handbooks on technical and op</w:t>
      </w:r>
      <w:r w:rsidRPr="008E74F4">
        <w:rPr>
          <w:rFonts w:eastAsia="Times New Roman"/>
          <w:lang w:val="en-AU"/>
        </w:rPr>
        <w:t xml:space="preserve">erational aspects of using different radio networks and systems for the implementation of narrowband and broadband machine-type communication infrastructures. </w:t>
      </w:r>
    </w:p>
    <w:p w14:paraId="41935FAD" w14:textId="77777777" w:rsidR="000F7613" w:rsidRPr="008E74F4" w:rsidRDefault="000F7613" w:rsidP="00811D8F">
      <w:pPr>
        <w:spacing w:after="120"/>
        <w:ind w:right="119"/>
        <w:jc w:val="both"/>
        <w:rPr>
          <w:rFonts w:eastAsia="Times New Roman"/>
          <w:lang w:val="en-GB"/>
        </w:rPr>
      </w:pPr>
      <w:r w:rsidRPr="008E74F4">
        <w:rPr>
          <w:rFonts w:eastAsia="Times New Roman"/>
          <w:lang w:val="en-AU"/>
        </w:rPr>
        <w:lastRenderedPageBreak/>
        <w:t xml:space="preserve">However, Australia is of the view that </w:t>
      </w:r>
      <w:r w:rsidRPr="008E74F4">
        <w:rPr>
          <w:rFonts w:eastAsia="Times New Roman"/>
          <w:lang w:val="en-GB"/>
        </w:rPr>
        <w:t xml:space="preserve">it is unnecessary to identify spectrum for machine-type communication infrastructures and no changes are required in the Radio Regulations as an outcome of this Issue. This is consistent with the current draft CPM </w:t>
      </w:r>
      <w:r>
        <w:rPr>
          <w:rFonts w:eastAsia="Times New Roman"/>
          <w:lang w:val="en-GB"/>
        </w:rPr>
        <w:t>R</w:t>
      </w:r>
      <w:r w:rsidRPr="008E74F4">
        <w:rPr>
          <w:rFonts w:eastAsia="Times New Roman"/>
          <w:lang w:val="en-GB"/>
        </w:rPr>
        <w:t>eport conclusion (</w:t>
      </w:r>
      <w:r w:rsidRPr="008E74F4">
        <w:rPr>
          <w:rFonts w:eastAsia="Times New Roman"/>
          <w:lang w:val="en-AU"/>
        </w:rPr>
        <w:t>Document 5D/</w:t>
      </w:r>
      <w:r>
        <w:rPr>
          <w:rFonts w:eastAsia="Times New Roman"/>
          <w:lang w:val="en-AU"/>
        </w:rPr>
        <w:t>875</w:t>
      </w:r>
      <w:r w:rsidRPr="008E74F4">
        <w:rPr>
          <w:rFonts w:eastAsia="Times New Roman"/>
          <w:u w:val="single"/>
          <w:lang w:val="en-AU"/>
        </w:rPr>
        <w:t xml:space="preserve"> </w:t>
      </w:r>
      <w:hyperlink r:id="rId27" w:history="1">
        <w:r w:rsidRPr="008E74F4">
          <w:rPr>
            <w:rStyle w:val="Hyperlink"/>
            <w:rFonts w:eastAsia="Times New Roman"/>
            <w:lang w:val="en-AU"/>
          </w:rPr>
          <w:t>Chapter 3</w:t>
        </w:r>
      </w:hyperlink>
      <w:r w:rsidRPr="008E74F4">
        <w:rPr>
          <w:rFonts w:eastAsia="Times New Roman"/>
          <w:u w:val="single"/>
          <w:lang w:val="en-AU"/>
        </w:rPr>
        <w:t xml:space="preserve"> - </w:t>
      </w:r>
      <w:r w:rsidRPr="008E74F4">
        <w:rPr>
          <w:rFonts w:eastAsia="Times New Roman"/>
          <w:lang w:val="en-AU"/>
        </w:rPr>
        <w:t>Attachment 3.11)</w:t>
      </w:r>
    </w:p>
    <w:p w14:paraId="4DCA457D" w14:textId="77777777" w:rsidR="000F7613" w:rsidRPr="008E74F4" w:rsidRDefault="000F7613" w:rsidP="00811D8F">
      <w:pPr>
        <w:spacing w:after="120"/>
        <w:ind w:right="119"/>
        <w:jc w:val="both"/>
        <w:rPr>
          <w:rFonts w:eastAsia="Times New Roman"/>
          <w:lang w:val="en-GB"/>
        </w:rPr>
      </w:pPr>
      <w:r w:rsidRPr="008E74F4">
        <w:rPr>
          <w:rFonts w:eastAsia="Times New Roman"/>
          <w:lang w:val="en-GB"/>
        </w:rPr>
        <w:t>Any future study can be accommodated in the scope of work of the ITU Radiocommunication Sector (ITU-R).</w:t>
      </w:r>
    </w:p>
    <w:p w14:paraId="4E3D90F5" w14:textId="0A30C200" w:rsidR="009436CB" w:rsidRDefault="00746779" w:rsidP="00811D8F">
      <w:pPr>
        <w:spacing w:after="120"/>
        <w:ind w:right="119"/>
        <w:jc w:val="both"/>
        <w:rPr>
          <w:rFonts w:eastAsia="Times New Roman"/>
          <w:lang w:val="en-GB"/>
        </w:rPr>
      </w:pPr>
      <w:r w:rsidRPr="008E74F4">
        <w:rPr>
          <w:rFonts w:eastAsia="Times New Roman"/>
          <w:lang w:val="en-GB"/>
        </w:rPr>
        <w:t>Accordingly,</w:t>
      </w:r>
      <w:r w:rsidR="000F7613" w:rsidRPr="008E74F4">
        <w:rPr>
          <w:rFonts w:eastAsia="Times New Roman"/>
          <w:lang w:val="en-GB"/>
        </w:rPr>
        <w:t xml:space="preserve"> number 3 of the Annex to Resolution </w:t>
      </w:r>
      <w:r w:rsidR="000F7613" w:rsidRPr="008E74F4">
        <w:rPr>
          <w:rFonts w:eastAsia="Times New Roman"/>
          <w:b/>
          <w:lang w:val="en-GB"/>
        </w:rPr>
        <w:t>958 (WRC-15)</w:t>
      </w:r>
      <w:r w:rsidR="000F7613" w:rsidRPr="008E74F4">
        <w:rPr>
          <w:rFonts w:eastAsia="Times New Roman"/>
          <w:lang w:val="en-GB"/>
        </w:rPr>
        <w:t xml:space="preserve"> can be suppressed.</w:t>
      </w:r>
    </w:p>
    <w:p w14:paraId="42585219" w14:textId="589C3F8F" w:rsidR="00205E27" w:rsidRPr="001C17C2" w:rsidRDefault="00205E27" w:rsidP="00205E27">
      <w:pPr>
        <w:spacing w:after="120"/>
        <w:jc w:val="both"/>
        <w:rPr>
          <w:b/>
          <w:lang w:val="id-ID" w:eastAsia="ko-KR"/>
        </w:rPr>
      </w:pPr>
      <w:r w:rsidRPr="00974EA1">
        <w:rPr>
          <w:b/>
          <w:lang w:val="en-NZ" w:eastAsia="ko-KR"/>
        </w:rPr>
        <w:t>3.1.</w:t>
      </w:r>
      <w:r w:rsidR="00E10C65" w:rsidRPr="00974EA1">
        <w:rPr>
          <w:b/>
          <w:lang w:val="en-NZ" w:eastAsia="ko-KR"/>
        </w:rPr>
        <w:t>6</w:t>
      </w:r>
      <w:r w:rsidR="00601726">
        <w:rPr>
          <w:b/>
          <w:lang w:val="en-NZ" w:eastAsia="ko-KR"/>
        </w:rPr>
        <w:tab/>
      </w:r>
      <w:r w:rsidR="00C80021" w:rsidRPr="00974EA1">
        <w:rPr>
          <w:b/>
          <w:lang w:val="en-NZ" w:eastAsia="ko-KR"/>
        </w:rPr>
        <w:t>Japan</w:t>
      </w:r>
      <w:r w:rsidR="009A6A00">
        <w:rPr>
          <w:b/>
          <w:lang w:val="id-ID" w:eastAsia="ko-KR"/>
        </w:rPr>
        <w:t xml:space="preserve"> – Document </w:t>
      </w:r>
      <w:r w:rsidR="00EB5C49" w:rsidRPr="00DB6E57">
        <w:fldChar w:fldCharType="begin"/>
      </w:r>
      <w:r w:rsidR="00EB5C49" w:rsidRPr="00DB6E57">
        <w:instrText xml:space="preserve"> HYPERLINK "https://www.apt.int/sites/default/files/2018/03/APG19-3-INP-50_Japan_WP2.docx" </w:instrText>
      </w:r>
      <w:r w:rsidR="00EB5C49" w:rsidRPr="00DB6E57">
        <w:fldChar w:fldCharType="separate"/>
      </w:r>
      <w:r w:rsidR="009A6A00" w:rsidRPr="00041809">
        <w:rPr>
          <w:rStyle w:val="Hyperlink"/>
          <w:rFonts w:eastAsia="Times New Roman"/>
          <w:color w:val="000000" w:themeColor="text1"/>
          <w:u w:val="none"/>
        </w:rPr>
        <w:t>APG19-3/INP-50</w:t>
      </w:r>
      <w:r w:rsidR="00EB5C49" w:rsidRPr="00041809">
        <w:rPr>
          <w:rStyle w:val="Hyperlink"/>
          <w:rFonts w:eastAsia="Times New Roman"/>
          <w:color w:val="000000" w:themeColor="text1"/>
          <w:u w:val="none"/>
        </w:rPr>
        <w:fldChar w:fldCharType="end"/>
      </w:r>
    </w:p>
    <w:p w14:paraId="75F8A1F6" w14:textId="77777777" w:rsidR="0045027F" w:rsidRDefault="0045027F" w:rsidP="001C17C2">
      <w:pPr>
        <w:spacing w:after="120"/>
        <w:ind w:right="119"/>
        <w:jc w:val="both"/>
        <w:rPr>
          <w:rFonts w:eastAsiaTheme="minorEastAsia"/>
          <w:lang w:val="en-GB" w:eastAsia="ja-JP"/>
        </w:rPr>
      </w:pPr>
      <w:r>
        <w:rPr>
          <w:rFonts w:eastAsiaTheme="minorEastAsia" w:hint="eastAsia"/>
          <w:lang w:val="en-GB" w:eastAsia="ja-JP"/>
        </w:rPr>
        <w:t>Japan</w:t>
      </w:r>
      <w:r w:rsidRPr="003E233F">
        <w:rPr>
          <w:rFonts w:eastAsiaTheme="minorEastAsia"/>
          <w:lang w:val="en-GB" w:eastAsia="ja-JP"/>
        </w:rPr>
        <w:t xml:space="preserve"> supports </w:t>
      </w:r>
      <w:r>
        <w:rPr>
          <w:rFonts w:eastAsiaTheme="minorEastAsia" w:hint="eastAsia"/>
          <w:lang w:val="en-GB" w:eastAsia="ja-JP"/>
        </w:rPr>
        <w:t xml:space="preserve">the ITU-R </w:t>
      </w:r>
      <w:r w:rsidRPr="00A205A0">
        <w:rPr>
          <w:rFonts w:eastAsiaTheme="minorEastAsia"/>
          <w:lang w:val="en-GB" w:eastAsia="ja-JP"/>
        </w:rPr>
        <w:t xml:space="preserve">studies on the technical and operational aspects of radio networks and systems, as well as spectrum needed, including possible harmonized use of spectrum to support the implementation of narrowband and broadband machine-type communication infrastructures, </w:t>
      </w:r>
      <w:r>
        <w:rPr>
          <w:rFonts w:eastAsiaTheme="minorEastAsia" w:hint="eastAsia"/>
          <w:lang w:val="en-GB" w:eastAsia="ja-JP"/>
        </w:rPr>
        <w:t xml:space="preserve">in accordance with </w:t>
      </w:r>
      <w:r w:rsidRPr="00A205A0">
        <w:rPr>
          <w:rFonts w:eastAsiaTheme="minorEastAsia"/>
          <w:lang w:val="en-GB" w:eastAsia="ja-JP"/>
        </w:rPr>
        <w:t xml:space="preserve">Resolution </w:t>
      </w:r>
      <w:r w:rsidRPr="00A205A0">
        <w:rPr>
          <w:rFonts w:eastAsiaTheme="minorEastAsia"/>
          <w:b/>
          <w:lang w:val="en-GB" w:eastAsia="ja-JP"/>
        </w:rPr>
        <w:t>958 (WRC-15)</w:t>
      </w:r>
      <w:r>
        <w:rPr>
          <w:rFonts w:eastAsiaTheme="minorEastAsia" w:hint="eastAsia"/>
          <w:lang w:val="en-GB" w:eastAsia="ja-JP"/>
        </w:rPr>
        <w:t xml:space="preserve">. Japan also supports to conduct these studies in light of IMT and non-IMT </w:t>
      </w:r>
      <w:r>
        <w:rPr>
          <w:rFonts w:eastAsiaTheme="minorEastAsia"/>
          <w:lang w:val="en-GB" w:eastAsia="ja-JP"/>
        </w:rPr>
        <w:t>technologies</w:t>
      </w:r>
      <w:r>
        <w:rPr>
          <w:rFonts w:eastAsiaTheme="minorEastAsia" w:hint="eastAsia"/>
          <w:lang w:val="en-GB" w:eastAsia="ja-JP"/>
        </w:rPr>
        <w:t xml:space="preserve"> for MTC applications.</w:t>
      </w:r>
    </w:p>
    <w:p w14:paraId="2E1387F7" w14:textId="63B3C551" w:rsidR="0045027F" w:rsidRDefault="0045027F" w:rsidP="001C17C2">
      <w:pPr>
        <w:spacing w:after="120"/>
        <w:ind w:right="119"/>
        <w:jc w:val="both"/>
        <w:rPr>
          <w:rFonts w:eastAsiaTheme="minorEastAsia"/>
          <w:lang w:val="en-GB" w:eastAsia="ja-JP"/>
        </w:rPr>
      </w:pPr>
      <w:r>
        <w:rPr>
          <w:rFonts w:eastAsiaTheme="minorEastAsia" w:hint="eastAsia"/>
          <w:lang w:val="en-GB" w:eastAsia="ja-JP"/>
        </w:rPr>
        <w:t xml:space="preserve">Japan is of the view that </w:t>
      </w:r>
      <w:r w:rsidRPr="004B6394">
        <w:rPr>
          <w:rFonts w:eastAsiaTheme="minorEastAsia"/>
          <w:lang w:val="en-GB" w:eastAsia="ja-JP"/>
        </w:rPr>
        <w:t xml:space="preserve">there is no need to identify specific spectrum for </w:t>
      </w:r>
      <w:r>
        <w:rPr>
          <w:rFonts w:eastAsiaTheme="minorEastAsia"/>
          <w:lang w:val="en-GB" w:eastAsia="ja-JP"/>
        </w:rPr>
        <w:t xml:space="preserve">MTC </w:t>
      </w:r>
      <w:r w:rsidRPr="004B6394">
        <w:rPr>
          <w:rFonts w:eastAsiaTheme="minorEastAsia"/>
          <w:lang w:val="en-GB" w:eastAsia="ja-JP"/>
        </w:rPr>
        <w:t xml:space="preserve">applications in the </w:t>
      </w:r>
      <w:r>
        <w:rPr>
          <w:rFonts w:eastAsiaTheme="minorEastAsia" w:hint="eastAsia"/>
          <w:lang w:val="en-GB" w:eastAsia="ja-JP"/>
        </w:rPr>
        <w:t xml:space="preserve">ITU </w:t>
      </w:r>
      <w:r w:rsidRPr="004B6394">
        <w:rPr>
          <w:rFonts w:eastAsiaTheme="minorEastAsia"/>
          <w:lang w:val="en-GB" w:eastAsia="ja-JP"/>
        </w:rPr>
        <w:t>Radio Regulations.</w:t>
      </w:r>
    </w:p>
    <w:p w14:paraId="4ADA6F13" w14:textId="6A52D7F0" w:rsidR="00E10C65" w:rsidRPr="00DB6E57" w:rsidRDefault="00C4585B" w:rsidP="001B4F1E">
      <w:pPr>
        <w:spacing w:after="120"/>
        <w:jc w:val="both"/>
        <w:rPr>
          <w:b/>
          <w:lang w:val="id-ID" w:eastAsia="ko-KR"/>
        </w:rPr>
      </w:pPr>
      <w:r w:rsidRPr="00974EA1">
        <w:rPr>
          <w:b/>
          <w:lang w:val="en-NZ" w:eastAsia="ko-KR"/>
        </w:rPr>
        <w:t>3.1.</w:t>
      </w:r>
      <w:r w:rsidR="00E10C65" w:rsidRPr="00974EA1">
        <w:rPr>
          <w:b/>
          <w:lang w:val="en-NZ" w:eastAsia="ko-KR"/>
        </w:rPr>
        <w:t>7</w:t>
      </w:r>
      <w:r w:rsidR="00601726">
        <w:rPr>
          <w:b/>
          <w:lang w:val="en-NZ" w:eastAsia="ko-KR"/>
        </w:rPr>
        <w:tab/>
      </w:r>
      <w:r w:rsidR="001A583E">
        <w:rPr>
          <w:b/>
          <w:lang w:val="en-NZ" w:eastAsia="ko-KR"/>
        </w:rPr>
        <w:t xml:space="preserve">Singapore and </w:t>
      </w:r>
      <w:r w:rsidR="00E10C65" w:rsidRPr="00974EA1">
        <w:rPr>
          <w:b/>
          <w:lang w:val="en-NZ" w:eastAsia="ko-KR"/>
        </w:rPr>
        <w:t>Thailand</w:t>
      </w:r>
      <w:r w:rsidR="009A6A00">
        <w:rPr>
          <w:b/>
          <w:lang w:val="id-ID" w:eastAsia="ko-KR"/>
        </w:rPr>
        <w:t xml:space="preserve"> – Document </w:t>
      </w:r>
      <w:r w:rsidR="00EB5C49" w:rsidRPr="00DB6E57">
        <w:fldChar w:fldCharType="begin"/>
      </w:r>
      <w:r w:rsidR="00EB5C49" w:rsidRPr="00DB6E57">
        <w:instrText xml:space="preserve"> HYPERLINK "https://www.apt.int/sites/default/files/2018/03/APG19-3-INP-72_Singapore-Thailand_WP2.docx" </w:instrText>
      </w:r>
      <w:r w:rsidR="00EB5C49" w:rsidRPr="00DB6E57">
        <w:fldChar w:fldCharType="separate"/>
      </w:r>
      <w:r w:rsidR="009A6A00" w:rsidRPr="00041809">
        <w:rPr>
          <w:rStyle w:val="Hyperlink"/>
          <w:rFonts w:eastAsia="Times New Roman"/>
          <w:color w:val="000000" w:themeColor="text1"/>
          <w:u w:val="none"/>
        </w:rPr>
        <w:t>APG19-3/INP-72</w:t>
      </w:r>
      <w:r w:rsidR="00EB5C49" w:rsidRPr="00041809">
        <w:rPr>
          <w:rStyle w:val="Hyperlink"/>
          <w:rFonts w:eastAsia="Times New Roman"/>
          <w:color w:val="000000" w:themeColor="text1"/>
          <w:u w:val="none"/>
        </w:rPr>
        <w:fldChar w:fldCharType="end"/>
      </w:r>
    </w:p>
    <w:p w14:paraId="3DD86EEF" w14:textId="77777777" w:rsidR="00AC35DC" w:rsidRPr="00DB6E57" w:rsidRDefault="00AC35DC" w:rsidP="00811D8F">
      <w:pPr>
        <w:spacing w:after="120"/>
        <w:ind w:right="119"/>
        <w:jc w:val="both"/>
      </w:pPr>
      <w:r w:rsidRPr="00DB6E57">
        <w:t xml:space="preserve">Singapore and Thailand support ITU-R studies currently undertaken by WP 5D on the technical, operational and spectrum aspects of the terrestrial component of the International Mobile Telecommunication (“IMT”) for narrowband and broadband MTC. </w:t>
      </w:r>
    </w:p>
    <w:p w14:paraId="1DAA9D26" w14:textId="3DA16C07" w:rsidR="00AC35DC" w:rsidRPr="00DB6E57" w:rsidRDefault="00AC35DC" w:rsidP="00811D8F">
      <w:pPr>
        <w:spacing w:after="120"/>
        <w:ind w:right="119"/>
        <w:jc w:val="both"/>
      </w:pPr>
      <w:r w:rsidRPr="00DB6E57">
        <w:t>Both Administrations are of the view that MTC / Internet of Things (“</w:t>
      </w:r>
      <w:proofErr w:type="spellStart"/>
      <w:r w:rsidRPr="00DB6E57">
        <w:t>IoT</w:t>
      </w:r>
      <w:proofErr w:type="spellEnd"/>
      <w:r w:rsidRPr="00DB6E57">
        <w:t>”) applications should be able to use existing frequency bands allocated to mobile service that could support mobile broadband deployment, including those already identified for IMT. These applications could also be used on non-IMT bands and there is no need to specify dedicated spectrum or indicate which frequency arrangement would be used exclusively for MTC/</w:t>
      </w:r>
      <w:proofErr w:type="spellStart"/>
      <w:r w:rsidRPr="00DB6E57">
        <w:t>IoT</w:t>
      </w:r>
      <w:proofErr w:type="spellEnd"/>
      <w:r w:rsidRPr="00DB6E57">
        <w:t xml:space="preserve"> applications.</w:t>
      </w:r>
    </w:p>
    <w:p w14:paraId="5A6D1E7A" w14:textId="3993B9BC" w:rsidR="001A583E" w:rsidRPr="00DB6E57" w:rsidRDefault="001A583E" w:rsidP="001A583E">
      <w:pPr>
        <w:spacing w:after="120"/>
        <w:jc w:val="both"/>
        <w:rPr>
          <w:b/>
          <w:lang w:val="id-ID" w:eastAsia="ko-KR"/>
        </w:rPr>
      </w:pPr>
      <w:r w:rsidRPr="00DB6E57">
        <w:rPr>
          <w:b/>
          <w:lang w:val="en-NZ" w:eastAsia="ko-KR"/>
        </w:rPr>
        <w:t>3.1.8</w:t>
      </w:r>
      <w:r w:rsidRPr="00DB6E57">
        <w:rPr>
          <w:b/>
          <w:lang w:val="en-NZ" w:eastAsia="ko-KR"/>
        </w:rPr>
        <w:tab/>
        <w:t>Malaysia</w:t>
      </w:r>
      <w:r w:rsidR="009A6A00" w:rsidRPr="00DB6E57">
        <w:rPr>
          <w:b/>
          <w:lang w:val="id-ID" w:eastAsia="ko-KR"/>
        </w:rPr>
        <w:t xml:space="preserve"> – Document </w:t>
      </w:r>
      <w:r w:rsidR="00EB5C49" w:rsidRPr="00DB6E57">
        <w:fldChar w:fldCharType="begin"/>
      </w:r>
      <w:r w:rsidR="00EB5C49" w:rsidRPr="00DB6E57">
        <w:instrText xml:space="preserve"> HYPERLINK "https://www.apt.int/sites/default/files/2018/03/APG19-3-INP-75_Malaysia_WP2.docx" </w:instrText>
      </w:r>
      <w:r w:rsidR="00EB5C49" w:rsidRPr="00DB6E57">
        <w:fldChar w:fldCharType="separate"/>
      </w:r>
      <w:r w:rsidR="009A6A00" w:rsidRPr="00041809">
        <w:rPr>
          <w:rStyle w:val="Hyperlink"/>
          <w:rFonts w:eastAsia="Times New Roman"/>
          <w:color w:val="000000" w:themeColor="text1"/>
          <w:u w:val="none"/>
        </w:rPr>
        <w:t>APG19-3/INP-75</w:t>
      </w:r>
      <w:r w:rsidR="00EB5C49" w:rsidRPr="00041809">
        <w:rPr>
          <w:rStyle w:val="Hyperlink"/>
          <w:rFonts w:eastAsia="Times New Roman"/>
          <w:color w:val="000000" w:themeColor="text1"/>
          <w:u w:val="none"/>
        </w:rPr>
        <w:fldChar w:fldCharType="end"/>
      </w:r>
    </w:p>
    <w:p w14:paraId="7726D072" w14:textId="77777777" w:rsidR="00C60775" w:rsidRPr="00DB6E57" w:rsidRDefault="00C60775" w:rsidP="00C60775">
      <w:pPr>
        <w:spacing w:afterLines="60" w:after="144"/>
        <w:jc w:val="both"/>
      </w:pPr>
      <w:r w:rsidRPr="00DB6E57">
        <w:rPr>
          <w:lang w:eastAsia="zh-CN"/>
        </w:rPr>
        <w:t xml:space="preserve">Malaysia is of the view that no specific spectrum is required for MTC infrastructure and no modification to Radio Regulations is necessary to resolve </w:t>
      </w:r>
      <w:r w:rsidRPr="00DB6E57">
        <w:t>Agenda item 9.1 (Issue 9.1.8).</w:t>
      </w:r>
    </w:p>
    <w:p w14:paraId="2717A671" w14:textId="6DB52606" w:rsidR="00C60775" w:rsidRPr="00DB6E57" w:rsidRDefault="00C60775" w:rsidP="00C60775">
      <w:pPr>
        <w:spacing w:afterLines="60" w:after="144"/>
        <w:jc w:val="both"/>
        <w:rPr>
          <w:lang w:eastAsia="zh-CN"/>
        </w:rPr>
      </w:pPr>
      <w:r w:rsidRPr="00DB6E57">
        <w:t xml:space="preserve">The requirement for MTC infrastructure can be satisfied through </w:t>
      </w:r>
      <w:r w:rsidRPr="00DB6E57">
        <w:rPr>
          <w:lang w:eastAsia="zh-CN"/>
        </w:rPr>
        <w:t xml:space="preserve">ITU-R Recommendation, Report and/or Handbook. </w:t>
      </w:r>
    </w:p>
    <w:p w14:paraId="1CE10892" w14:textId="6050B8C5" w:rsidR="006B2D92" w:rsidRPr="00DB6E57" w:rsidRDefault="006B2D92" w:rsidP="006B2D92">
      <w:pPr>
        <w:spacing w:after="120"/>
        <w:jc w:val="both"/>
        <w:rPr>
          <w:b/>
          <w:lang w:val="id-ID" w:eastAsia="ko-KR"/>
        </w:rPr>
      </w:pPr>
      <w:r w:rsidRPr="00DB6E57">
        <w:rPr>
          <w:b/>
          <w:lang w:val="en-NZ" w:eastAsia="ko-KR"/>
        </w:rPr>
        <w:t>3.1.9</w:t>
      </w:r>
      <w:r w:rsidRPr="00DB6E57">
        <w:rPr>
          <w:b/>
          <w:lang w:val="en-NZ" w:eastAsia="ko-KR"/>
        </w:rPr>
        <w:tab/>
        <w:t>Indonesia</w:t>
      </w:r>
      <w:r w:rsidR="009A6A00" w:rsidRPr="00DB6E57">
        <w:rPr>
          <w:b/>
          <w:lang w:val="id-ID" w:eastAsia="ko-KR"/>
        </w:rPr>
        <w:t xml:space="preserve"> – Document </w:t>
      </w:r>
      <w:r w:rsidR="00EB5C49" w:rsidRPr="00DB6E57">
        <w:fldChar w:fldCharType="begin"/>
      </w:r>
      <w:r w:rsidR="00EB5C49" w:rsidRPr="00DB6E57">
        <w:instrText xml:space="preserve"> HYPERLINK "https://www.apt.int/sites/default/files/2018/03/APG19-3-INP-79_Indonesia_WP2.docx" </w:instrText>
      </w:r>
      <w:r w:rsidR="00EB5C49" w:rsidRPr="00DB6E57">
        <w:fldChar w:fldCharType="separate"/>
      </w:r>
      <w:r w:rsidR="009A6A00" w:rsidRPr="00041809">
        <w:rPr>
          <w:rStyle w:val="Hyperlink"/>
          <w:rFonts w:eastAsia="Times New Roman"/>
          <w:color w:val="000000" w:themeColor="text1"/>
          <w:u w:val="none"/>
        </w:rPr>
        <w:t>APG19-3/INP-79</w:t>
      </w:r>
      <w:r w:rsidR="00EB5C49" w:rsidRPr="00041809">
        <w:rPr>
          <w:rStyle w:val="Hyperlink"/>
          <w:rFonts w:eastAsia="Times New Roman"/>
          <w:color w:val="000000" w:themeColor="text1"/>
          <w:u w:val="none"/>
        </w:rPr>
        <w:fldChar w:fldCharType="end"/>
      </w:r>
    </w:p>
    <w:p w14:paraId="588626C3" w14:textId="2A9D71D5" w:rsidR="00600F59" w:rsidRPr="00DB6E57" w:rsidRDefault="00600F59" w:rsidP="00811D8F">
      <w:pPr>
        <w:spacing w:after="120"/>
        <w:ind w:right="119"/>
        <w:jc w:val="both"/>
      </w:pPr>
      <w:r w:rsidRPr="00DB6E57">
        <w:rPr>
          <w:lang w:val="en-GB"/>
        </w:rPr>
        <w:t>Indonesia</w:t>
      </w:r>
      <w:r w:rsidRPr="00DB6E57">
        <w:t xml:space="preserve"> follow</w:t>
      </w:r>
      <w:r w:rsidR="00E016D0" w:rsidRPr="00DB6E57">
        <w:t>s</w:t>
      </w:r>
      <w:r w:rsidRPr="00DB6E57">
        <w:t xml:space="preserve"> up the study on the technical and operational aspects including the potential harmonized spectrum usage to support the implementation of narrowband and broadband machine-type communication infrastructures, until the relevant study is finished.</w:t>
      </w:r>
    </w:p>
    <w:p w14:paraId="0F916D2F" w14:textId="65D1144A" w:rsidR="006B2D92" w:rsidRPr="001C17C2" w:rsidRDefault="006B2D92" w:rsidP="006B2D92">
      <w:pPr>
        <w:spacing w:after="120"/>
        <w:jc w:val="both"/>
        <w:rPr>
          <w:b/>
          <w:lang w:val="id-ID" w:eastAsia="ko-KR"/>
        </w:rPr>
      </w:pPr>
      <w:r w:rsidRPr="00DB6E57">
        <w:rPr>
          <w:b/>
          <w:lang w:val="en-NZ" w:eastAsia="ko-KR"/>
        </w:rPr>
        <w:t>3.1.10</w:t>
      </w:r>
      <w:r w:rsidRPr="00DB6E57">
        <w:rPr>
          <w:b/>
          <w:lang w:val="en-NZ" w:eastAsia="ko-KR"/>
        </w:rPr>
        <w:tab/>
        <w:t>Vietnam</w:t>
      </w:r>
      <w:r w:rsidR="009A6A00" w:rsidRPr="00DB6E57">
        <w:rPr>
          <w:b/>
          <w:lang w:val="id-ID" w:eastAsia="ko-KR"/>
        </w:rPr>
        <w:t xml:space="preserve"> – Document </w:t>
      </w:r>
      <w:r w:rsidR="00EB5C49" w:rsidRPr="00DB6E57">
        <w:fldChar w:fldCharType="begin"/>
      </w:r>
      <w:r w:rsidR="00EB5C49" w:rsidRPr="00DB6E57">
        <w:instrText xml:space="preserve"> HYPERLINK "https://www.apt.int/sites/default/files/2018/03/APG19-3-INP-83_Vietnam_WP2.docx" </w:instrText>
      </w:r>
      <w:r w:rsidR="00EB5C49" w:rsidRPr="00DB6E57">
        <w:fldChar w:fldCharType="separate"/>
      </w:r>
      <w:r w:rsidR="009A6A00" w:rsidRPr="00041809">
        <w:rPr>
          <w:rStyle w:val="Hyperlink"/>
          <w:rFonts w:eastAsia="Times New Roman"/>
          <w:color w:val="000000" w:themeColor="text1"/>
          <w:u w:val="none"/>
        </w:rPr>
        <w:t>APG19-3/INP-83</w:t>
      </w:r>
      <w:r w:rsidR="00EB5C49" w:rsidRPr="00041809">
        <w:rPr>
          <w:rStyle w:val="Hyperlink"/>
          <w:rFonts w:eastAsia="Times New Roman"/>
          <w:color w:val="000000" w:themeColor="text1"/>
          <w:u w:val="none"/>
        </w:rPr>
        <w:fldChar w:fldCharType="end"/>
      </w:r>
    </w:p>
    <w:p w14:paraId="0FCC7020" w14:textId="77777777" w:rsidR="001D3C02" w:rsidRDefault="001D3C02" w:rsidP="00811D8F">
      <w:pPr>
        <w:spacing w:after="120"/>
        <w:ind w:right="119"/>
        <w:jc w:val="both"/>
        <w:rPr>
          <w:color w:val="000000"/>
          <w:shd w:val="clear" w:color="auto" w:fill="FFFFFF"/>
        </w:rPr>
      </w:pPr>
      <w:r>
        <w:rPr>
          <w:lang w:eastAsia="ko-KR"/>
        </w:rPr>
        <w:t xml:space="preserve">Viet Nam </w:t>
      </w:r>
      <w:r w:rsidRPr="000C0E74">
        <w:rPr>
          <w:rFonts w:eastAsia="Malgun Gothic"/>
          <w:bCs/>
          <w:snapToGrid w:val="0"/>
          <w:lang w:eastAsia="ko-KR"/>
        </w:rPr>
        <w:t xml:space="preserve">has a preliminary view that </w:t>
      </w:r>
      <w:r>
        <w:rPr>
          <w:rFonts w:eastAsia="Malgun Gothic"/>
          <w:bCs/>
          <w:snapToGrid w:val="0"/>
          <w:lang w:eastAsia="ko-KR"/>
        </w:rPr>
        <w:t>n</w:t>
      </w:r>
      <w:r w:rsidRPr="00E46546">
        <w:rPr>
          <w:color w:val="000000"/>
          <w:shd w:val="clear" w:color="auto" w:fill="FFFFFF"/>
        </w:rPr>
        <w:t xml:space="preserve">o need </w:t>
      </w:r>
      <w:r>
        <w:rPr>
          <w:color w:val="000000"/>
          <w:shd w:val="clear" w:color="auto" w:fill="FFFFFF"/>
        </w:rPr>
        <w:t>to identify a new spectrum dedicated exclusively for MTC/</w:t>
      </w:r>
      <w:proofErr w:type="spellStart"/>
      <w:r>
        <w:rPr>
          <w:color w:val="000000"/>
          <w:shd w:val="clear" w:color="auto" w:fill="FFFFFF"/>
        </w:rPr>
        <w:t>IoT</w:t>
      </w:r>
      <w:proofErr w:type="spellEnd"/>
      <w:r>
        <w:rPr>
          <w:color w:val="000000"/>
          <w:shd w:val="clear" w:color="auto" w:fill="FFFFFF"/>
        </w:rPr>
        <w:t xml:space="preserve"> </w:t>
      </w:r>
      <w:r w:rsidRPr="00E46546">
        <w:rPr>
          <w:color w:val="000000"/>
          <w:shd w:val="clear" w:color="auto" w:fill="FFFFFF"/>
        </w:rPr>
        <w:t>for any change in the R</w:t>
      </w:r>
      <w:r>
        <w:rPr>
          <w:color w:val="000000"/>
          <w:shd w:val="clear" w:color="auto" w:fill="FFFFFF"/>
        </w:rPr>
        <w:t xml:space="preserve">adio regulations. </w:t>
      </w:r>
    </w:p>
    <w:p w14:paraId="30F63459" w14:textId="24D85A22" w:rsidR="001D3C02" w:rsidRDefault="001D3C02" w:rsidP="00811D8F">
      <w:pPr>
        <w:spacing w:after="120"/>
        <w:ind w:right="119"/>
        <w:jc w:val="both"/>
        <w:rPr>
          <w:lang w:eastAsia="ko-KR"/>
        </w:rPr>
      </w:pPr>
      <w:r>
        <w:rPr>
          <w:color w:val="000000"/>
          <w:shd w:val="clear" w:color="auto" w:fill="FFFFFF"/>
        </w:rPr>
        <w:t>Viet Nam note</w:t>
      </w:r>
      <w:r w:rsidR="00982FE6">
        <w:rPr>
          <w:color w:val="000000"/>
          <w:shd w:val="clear" w:color="auto" w:fill="FFFFFF"/>
        </w:rPr>
        <w:t>s</w:t>
      </w:r>
      <w:r>
        <w:rPr>
          <w:color w:val="000000"/>
          <w:shd w:val="clear" w:color="auto" w:fill="FFFFFF"/>
        </w:rPr>
        <w:t xml:space="preserve"> that </w:t>
      </w:r>
      <w:r>
        <w:rPr>
          <w:lang w:eastAsia="ko-KR"/>
        </w:rPr>
        <w:t>MTC/</w:t>
      </w:r>
      <w:proofErr w:type="spellStart"/>
      <w:r>
        <w:rPr>
          <w:lang w:eastAsia="ko-KR"/>
        </w:rPr>
        <w:t>IoT</w:t>
      </w:r>
      <w:proofErr w:type="spellEnd"/>
      <w:r>
        <w:rPr>
          <w:lang w:eastAsia="ko-KR"/>
        </w:rPr>
        <w:t xml:space="preserve"> applications can be used effectively with all the benefits of the existing bands (None- IMT bands and IMT bands) as well as the new frequency bands under study for IMT.</w:t>
      </w:r>
    </w:p>
    <w:p w14:paraId="70430110" w14:textId="48D6F885" w:rsidR="001D3C02" w:rsidRDefault="001D3C02" w:rsidP="00811D8F">
      <w:pPr>
        <w:spacing w:after="120"/>
        <w:ind w:right="119"/>
        <w:jc w:val="both"/>
        <w:rPr>
          <w:rFonts w:eastAsiaTheme="minorEastAsia"/>
          <w:lang w:eastAsia="ko-KR"/>
        </w:rPr>
      </w:pPr>
      <w:r>
        <w:rPr>
          <w:lang w:eastAsia="ko-KR"/>
        </w:rPr>
        <w:t>Viet Nam propose</w:t>
      </w:r>
      <w:r w:rsidR="00982FE6">
        <w:rPr>
          <w:lang w:eastAsia="ko-KR"/>
        </w:rPr>
        <w:t>s</w:t>
      </w:r>
      <w:r>
        <w:rPr>
          <w:lang w:eastAsia="ko-KR"/>
        </w:rPr>
        <w:t xml:space="preserve"> to invite APT/AWG to assist on the </w:t>
      </w:r>
      <w:r w:rsidRPr="001D3C02">
        <w:rPr>
          <w:rFonts w:eastAsiaTheme="minorEastAsia"/>
          <w:lang w:eastAsia="ko-KR"/>
        </w:rPr>
        <w:t>technical and operational aspects of radio networks and systems, as well as spectrum needed including possible harmonized use of spectrum to support the implementation of narrowband and broadband machine-type communication infrastructures.</w:t>
      </w:r>
    </w:p>
    <w:p w14:paraId="2F54C2A6" w14:textId="34BDB6CC" w:rsidR="001D41DB" w:rsidRPr="001C17C2" w:rsidRDefault="001D41DB" w:rsidP="001D41DB">
      <w:pPr>
        <w:spacing w:after="120"/>
        <w:jc w:val="both"/>
        <w:rPr>
          <w:b/>
          <w:lang w:val="id-ID" w:eastAsia="ko-KR"/>
        </w:rPr>
      </w:pPr>
      <w:r w:rsidRPr="00974EA1">
        <w:rPr>
          <w:b/>
          <w:lang w:val="en-NZ" w:eastAsia="ko-KR"/>
        </w:rPr>
        <w:t>3.1.</w:t>
      </w:r>
      <w:r>
        <w:rPr>
          <w:b/>
          <w:lang w:val="en-NZ" w:eastAsia="ko-KR"/>
        </w:rPr>
        <w:t>11</w:t>
      </w:r>
      <w:r>
        <w:rPr>
          <w:b/>
          <w:lang w:val="en-NZ" w:eastAsia="ko-KR"/>
        </w:rPr>
        <w:tab/>
        <w:t>China</w:t>
      </w:r>
      <w:r w:rsidR="009A6A00">
        <w:rPr>
          <w:b/>
          <w:lang w:val="id-ID" w:eastAsia="ko-KR"/>
        </w:rPr>
        <w:t xml:space="preserve"> – Document </w:t>
      </w:r>
      <w:r w:rsidR="002243C6" w:rsidRPr="00041809">
        <w:rPr>
          <w:rStyle w:val="Hyperlink"/>
          <w:rFonts w:eastAsia="Times New Roman"/>
          <w:color w:val="000000" w:themeColor="text1"/>
          <w:u w:val="none"/>
        </w:rPr>
        <w:t>APG19-3/INP-87</w:t>
      </w:r>
    </w:p>
    <w:p w14:paraId="71DA8736" w14:textId="77777777" w:rsidR="00246984" w:rsidRDefault="00246984" w:rsidP="00811D8F">
      <w:pPr>
        <w:spacing w:after="120"/>
        <w:ind w:right="119"/>
        <w:jc w:val="both"/>
        <w:rPr>
          <w:rFonts w:eastAsia="SimSun"/>
          <w:lang w:eastAsia="zh-CN"/>
        </w:rPr>
      </w:pPr>
      <w:r>
        <w:rPr>
          <w:rFonts w:eastAsia="SimSun"/>
          <w:lang w:eastAsia="zh-CN"/>
        </w:rPr>
        <w:lastRenderedPageBreak/>
        <w:t xml:space="preserve">China's </w:t>
      </w:r>
      <w:r w:rsidRPr="00811D8F">
        <w:rPr>
          <w:rFonts w:eastAsia="Malgun Gothic"/>
          <w:bCs/>
          <w:snapToGrid w:val="0"/>
          <w:lang w:eastAsia="ko-KR"/>
        </w:rPr>
        <w:t>preliminary</w:t>
      </w:r>
      <w:r>
        <w:rPr>
          <w:rFonts w:eastAsia="SimSun"/>
          <w:lang w:eastAsia="zh-CN"/>
        </w:rPr>
        <w:t xml:space="preserve"> views are as follows:</w:t>
      </w:r>
    </w:p>
    <w:p w14:paraId="67820898" w14:textId="77777777" w:rsidR="00246984" w:rsidRPr="00811D8F" w:rsidRDefault="00246984" w:rsidP="00811D8F">
      <w:pPr>
        <w:pStyle w:val="ListParagraph"/>
        <w:numPr>
          <w:ilvl w:val="0"/>
          <w:numId w:val="36"/>
        </w:numPr>
        <w:jc w:val="both"/>
        <w:rPr>
          <w:rFonts w:eastAsia="SimSun"/>
          <w:lang w:eastAsia="zh-CN"/>
        </w:rPr>
      </w:pPr>
      <w:r w:rsidRPr="00811D8F">
        <w:rPr>
          <w:rFonts w:eastAsia="SimSun" w:hint="eastAsia"/>
          <w:lang w:eastAsia="zh-CN"/>
        </w:rPr>
        <w:t>China</w:t>
      </w:r>
      <w:r w:rsidRPr="00811D8F">
        <w:rPr>
          <w:rFonts w:eastAsia="SimSun"/>
          <w:lang w:eastAsia="zh-CN"/>
        </w:rPr>
        <w:t xml:space="preserve"> supports ITU-R</w:t>
      </w:r>
      <w:r w:rsidRPr="00811D8F">
        <w:rPr>
          <w:rFonts w:eastAsia="SimSun" w:hint="eastAsia"/>
          <w:lang w:eastAsia="zh-CN"/>
        </w:rPr>
        <w:t xml:space="preserve"> </w:t>
      </w:r>
      <w:r w:rsidRPr="00811D8F">
        <w:rPr>
          <w:rFonts w:eastAsia="SimSun"/>
          <w:lang w:eastAsia="zh-CN"/>
        </w:rPr>
        <w:t>studies on the technical and operational aspects of radio networks and systems, as well as spectrum needed, for the narrowband and broadband machine type communications</w:t>
      </w:r>
      <w:r w:rsidRPr="00811D8F">
        <w:rPr>
          <w:rFonts w:eastAsia="SimSun" w:hint="eastAsia"/>
          <w:lang w:eastAsia="zh-CN"/>
        </w:rPr>
        <w:t>.</w:t>
      </w:r>
    </w:p>
    <w:p w14:paraId="0290914E" w14:textId="77777777" w:rsidR="00246984" w:rsidRPr="00811D8F" w:rsidRDefault="00246984" w:rsidP="00811D8F">
      <w:pPr>
        <w:pStyle w:val="ListParagraph"/>
        <w:numPr>
          <w:ilvl w:val="0"/>
          <w:numId w:val="36"/>
        </w:numPr>
        <w:jc w:val="both"/>
        <w:rPr>
          <w:rFonts w:eastAsia="SimSun"/>
          <w:lang w:eastAsia="zh-CN"/>
        </w:rPr>
      </w:pPr>
      <w:r w:rsidRPr="00811D8F">
        <w:rPr>
          <w:rFonts w:eastAsia="SimSun"/>
          <w:lang w:eastAsia="zh-CN"/>
        </w:rPr>
        <w:t>China support</w:t>
      </w:r>
      <w:r w:rsidRPr="00811D8F">
        <w:rPr>
          <w:rFonts w:eastAsia="SimSun" w:hint="eastAsia"/>
          <w:lang w:eastAsia="zh-CN"/>
        </w:rPr>
        <w:t>s</w:t>
      </w:r>
      <w:r w:rsidRPr="00811D8F">
        <w:rPr>
          <w:rFonts w:eastAsia="SimSun"/>
          <w:lang w:eastAsia="zh-CN"/>
        </w:rPr>
        <w:t xml:space="preserve"> APT to formulate preliminary views as early as possible </w:t>
      </w:r>
      <w:r w:rsidRPr="00811D8F">
        <w:rPr>
          <w:rFonts w:eastAsia="SimSun" w:hint="eastAsia"/>
          <w:lang w:eastAsia="zh-CN"/>
        </w:rPr>
        <w:t>subject to discussion and agreement</w:t>
      </w:r>
      <w:r w:rsidRPr="00811D8F">
        <w:rPr>
          <w:rFonts w:eastAsia="SimSun"/>
          <w:lang w:eastAsia="zh-CN"/>
        </w:rPr>
        <w:t>, and to actively harmonize with other ITU-R regions.</w:t>
      </w:r>
    </w:p>
    <w:p w14:paraId="7F2307E4" w14:textId="6B5428DC" w:rsidR="00246984" w:rsidRDefault="00246984" w:rsidP="00811D8F">
      <w:pPr>
        <w:pStyle w:val="ListParagraph"/>
        <w:numPr>
          <w:ilvl w:val="0"/>
          <w:numId w:val="36"/>
        </w:numPr>
        <w:spacing w:after="120"/>
        <w:ind w:left="357" w:hanging="357"/>
        <w:contextualSpacing w:val="0"/>
        <w:jc w:val="both"/>
        <w:rPr>
          <w:rFonts w:eastAsia="SimSun"/>
          <w:lang w:eastAsia="zh-CN"/>
        </w:rPr>
      </w:pPr>
      <w:r w:rsidRPr="00811D8F">
        <w:rPr>
          <w:rFonts w:eastAsia="SimSun" w:hint="eastAsia"/>
          <w:lang w:eastAsia="zh-CN"/>
        </w:rPr>
        <w:t>China</w:t>
      </w:r>
      <w:r w:rsidRPr="00811D8F">
        <w:rPr>
          <w:rFonts w:eastAsia="SimSun"/>
          <w:lang w:eastAsia="zh-CN"/>
        </w:rPr>
        <w:t xml:space="preserve"> is of</w:t>
      </w:r>
      <w:r w:rsidRPr="00811D8F">
        <w:rPr>
          <w:rFonts w:eastAsia="SimSun" w:hint="eastAsia"/>
          <w:lang w:eastAsia="zh-CN"/>
        </w:rPr>
        <w:t xml:space="preserve"> t</w:t>
      </w:r>
      <w:r w:rsidRPr="00811D8F">
        <w:rPr>
          <w:rFonts w:eastAsia="SimSun"/>
          <w:lang w:eastAsia="zh-CN"/>
        </w:rPr>
        <w:t xml:space="preserve">he </w:t>
      </w:r>
      <w:r w:rsidRPr="00811D8F">
        <w:rPr>
          <w:rFonts w:eastAsia="SimSun" w:hint="eastAsia"/>
          <w:lang w:eastAsia="zh-CN"/>
        </w:rPr>
        <w:t xml:space="preserve">view that the </w:t>
      </w:r>
      <w:r w:rsidRPr="00811D8F">
        <w:rPr>
          <w:rFonts w:eastAsia="SimSun"/>
          <w:lang w:eastAsia="zh-CN"/>
        </w:rPr>
        <w:t>existing frequency arrangements for IMT, detailed in Rec. ITU-R M.1036, can help enable a wide range of narrowband and broadband MTC applications and devices, both above and below 1 GHz. And there is no need to make any changes to the Radio Regulations nor for any identification to support MTC.</w:t>
      </w:r>
    </w:p>
    <w:p w14:paraId="291FC379" w14:textId="15242A83" w:rsidR="00974923" w:rsidRPr="001C17C2" w:rsidRDefault="00974923" w:rsidP="006B2D92">
      <w:pPr>
        <w:spacing w:after="120"/>
        <w:jc w:val="both"/>
        <w:rPr>
          <w:b/>
          <w:lang w:val="id-ID" w:eastAsia="ko-KR"/>
        </w:rPr>
      </w:pPr>
      <w:r w:rsidRPr="00974EA1">
        <w:rPr>
          <w:b/>
          <w:lang w:val="en-NZ" w:eastAsia="ko-KR"/>
        </w:rPr>
        <w:t>3.1.</w:t>
      </w:r>
      <w:r w:rsidR="001D41DB">
        <w:rPr>
          <w:b/>
          <w:lang w:val="en-NZ" w:eastAsia="ko-KR"/>
        </w:rPr>
        <w:t>12</w:t>
      </w:r>
      <w:r>
        <w:rPr>
          <w:b/>
          <w:lang w:val="en-NZ" w:eastAsia="ko-KR"/>
        </w:rPr>
        <w:tab/>
        <w:t>Bangladesh</w:t>
      </w:r>
      <w:r w:rsidR="009A6A00">
        <w:rPr>
          <w:b/>
          <w:lang w:val="id-ID" w:eastAsia="ko-KR"/>
        </w:rPr>
        <w:t xml:space="preserve"> – Document </w:t>
      </w:r>
      <w:hyperlink r:id="rId28" w:history="1">
        <w:r w:rsidR="009A6A00" w:rsidRPr="00041809">
          <w:rPr>
            <w:rStyle w:val="Hyperlink"/>
            <w:rFonts w:eastAsia="Times New Roman"/>
            <w:color w:val="000000" w:themeColor="text1"/>
            <w:u w:val="none"/>
          </w:rPr>
          <w:t>APG19-3/INP-97</w:t>
        </w:r>
      </w:hyperlink>
      <w:r w:rsidR="009A6A00" w:rsidRPr="00041809">
        <w:rPr>
          <w:rStyle w:val="Hyperlink"/>
          <w:rFonts w:eastAsia="Times New Roman"/>
          <w:color w:val="000000" w:themeColor="text1"/>
          <w:u w:val="none"/>
          <w:lang w:val="id-ID"/>
        </w:rPr>
        <w:t>(Rev.1)</w:t>
      </w:r>
    </w:p>
    <w:p w14:paraId="1ADC298A" w14:textId="1E14AC40" w:rsidR="00246984" w:rsidRDefault="00246984" w:rsidP="00811D8F">
      <w:pPr>
        <w:spacing w:after="120"/>
        <w:ind w:right="119"/>
        <w:jc w:val="both"/>
        <w:rPr>
          <w:rFonts w:eastAsia="Times New Roman"/>
          <w:lang w:val="en-GB" w:bidi="en-US"/>
        </w:rPr>
      </w:pPr>
      <w:r w:rsidRPr="00811D8F">
        <w:rPr>
          <w:rFonts w:eastAsia="Malgun Gothic"/>
          <w:bCs/>
          <w:snapToGrid w:val="0"/>
          <w:lang w:eastAsia="ko-KR"/>
        </w:rPr>
        <w:t>Bangladesh</w:t>
      </w:r>
      <w:r w:rsidRPr="006A4939">
        <w:rPr>
          <w:rFonts w:eastAsia="Times New Roman"/>
          <w:lang w:val="en-GB" w:bidi="en-US"/>
        </w:rPr>
        <w:t xml:space="preserve"> </w:t>
      </w:r>
      <w:r w:rsidRPr="00811D8F">
        <w:rPr>
          <w:rFonts w:eastAsia="Malgun Gothic"/>
          <w:bCs/>
          <w:snapToGrid w:val="0"/>
          <w:lang w:eastAsia="ko-KR"/>
        </w:rPr>
        <w:t>supports</w:t>
      </w:r>
      <w:r w:rsidRPr="006A4939">
        <w:rPr>
          <w:rFonts w:eastAsia="Times New Roman"/>
          <w:lang w:val="en-GB" w:bidi="en-US"/>
        </w:rPr>
        <w:t xml:space="preserve"> ITU Radiocommunication Sector (ITU-R) studies on technical and operational aspects of </w:t>
      </w:r>
      <w:r w:rsidRPr="006A4939">
        <w:rPr>
          <w:rFonts w:eastAsia="Times New Roman"/>
          <w:lang w:bidi="en-US"/>
        </w:rPr>
        <w:t>narrowband and broadband machine type communications.</w:t>
      </w:r>
      <w:r w:rsidRPr="006A4939">
        <w:rPr>
          <w:rFonts w:eastAsia="Times New Roman"/>
          <w:lang w:val="en-GB" w:bidi="en-US"/>
        </w:rPr>
        <w:t xml:space="preserve"> Studies should focus on the development of ITU-R Recommendations, Reports and/or Handbooks, as appropriate</w:t>
      </w:r>
      <w:r>
        <w:rPr>
          <w:rFonts w:eastAsia="Times New Roman"/>
          <w:lang w:val="en-GB" w:bidi="en-US"/>
        </w:rPr>
        <w:t xml:space="preserve"> only</w:t>
      </w:r>
      <w:r w:rsidRPr="006A4939">
        <w:rPr>
          <w:rFonts w:eastAsia="Times New Roman"/>
          <w:lang w:val="en-GB" w:bidi="en-US"/>
        </w:rPr>
        <w:t>.</w:t>
      </w:r>
    </w:p>
    <w:p w14:paraId="1A20CA53" w14:textId="77777777" w:rsidR="00121473" w:rsidRPr="006A4939" w:rsidRDefault="00121473" w:rsidP="00811D8F">
      <w:pPr>
        <w:spacing w:after="120"/>
        <w:ind w:right="119"/>
        <w:jc w:val="both"/>
        <w:rPr>
          <w:rFonts w:eastAsia="Times New Roman"/>
          <w:lang w:val="en-GB" w:bidi="en-US"/>
        </w:rPr>
      </w:pPr>
    </w:p>
    <w:p w14:paraId="4E11BF48" w14:textId="77777777" w:rsidR="00D07928" w:rsidRPr="00441526" w:rsidRDefault="00C4585B" w:rsidP="00D07928">
      <w:pPr>
        <w:spacing w:after="120"/>
        <w:jc w:val="both"/>
        <w:rPr>
          <w:b/>
          <w:lang w:val="en-NZ"/>
        </w:rPr>
      </w:pPr>
      <w:r w:rsidRPr="003471DF">
        <w:rPr>
          <w:b/>
          <w:color w:val="000000" w:themeColor="text1"/>
          <w:lang w:val="en-NZ"/>
        </w:rPr>
        <w:t xml:space="preserve">3.2 </w:t>
      </w:r>
      <w:r w:rsidRPr="003471DF">
        <w:rPr>
          <w:b/>
          <w:color w:val="000000" w:themeColor="text1"/>
          <w:lang w:val="en-NZ"/>
        </w:rPr>
        <w:tab/>
      </w:r>
      <w:r w:rsidR="00D07928" w:rsidRPr="00441526">
        <w:rPr>
          <w:b/>
          <w:lang w:val="en-NZ"/>
        </w:rPr>
        <w:t>S</w:t>
      </w:r>
      <w:r w:rsidR="00D07928" w:rsidRPr="00441526">
        <w:rPr>
          <w:b/>
          <w:lang w:val="en-NZ" w:eastAsia="ko-KR"/>
        </w:rPr>
        <w:t>ummary of issues raised du</w:t>
      </w:r>
      <w:r w:rsidR="00D07928" w:rsidRPr="00441526">
        <w:rPr>
          <w:b/>
          <w:lang w:val="en-NZ"/>
        </w:rPr>
        <w:t>ring the meeting</w:t>
      </w:r>
    </w:p>
    <w:p w14:paraId="63B69885" w14:textId="38C1D45C" w:rsidR="00662081" w:rsidRDefault="00662081" w:rsidP="001C12C9">
      <w:pPr>
        <w:tabs>
          <w:tab w:val="left" w:pos="3390"/>
        </w:tabs>
        <w:spacing w:after="100" w:afterAutospacing="1"/>
        <w:rPr>
          <w:rFonts w:eastAsia="Times New Roman"/>
          <w:lang w:val="en-GB" w:bidi="en-US"/>
        </w:rPr>
      </w:pPr>
      <w:r w:rsidRPr="001C17C2">
        <w:rPr>
          <w:color w:val="000000" w:themeColor="text1"/>
          <w:lang w:val="en-NZ"/>
        </w:rPr>
        <w:t xml:space="preserve">APT Members </w:t>
      </w:r>
      <w:r w:rsidR="001C12C9" w:rsidRPr="001C17C2">
        <w:rPr>
          <w:color w:val="000000" w:themeColor="text1"/>
          <w:lang w:val="en-NZ"/>
        </w:rPr>
        <w:t xml:space="preserve">endorse the current conclusion of draft CPM text </w:t>
      </w:r>
      <w:r w:rsidRPr="001C17C2">
        <w:rPr>
          <w:rFonts w:eastAsia="Times New Roman"/>
          <w:lang w:val="en-GB" w:bidi="en-US"/>
        </w:rPr>
        <w:t>that no change to the Radio Regulations is required under this issue.</w:t>
      </w:r>
      <w:r w:rsidR="005945A9" w:rsidRPr="001C17C2">
        <w:rPr>
          <w:rFonts w:eastAsia="Times New Roman"/>
          <w:lang w:val="en-GB" w:bidi="en-US"/>
        </w:rPr>
        <w:t xml:space="preserve"> (</w:t>
      </w:r>
      <w:r w:rsidR="00F60C50" w:rsidRPr="001C17C2">
        <w:rPr>
          <w:rFonts w:eastAsia="Times New Roman"/>
          <w:lang w:val="en-GB" w:bidi="en-US"/>
        </w:rPr>
        <w:t>Document 5D/</w:t>
      </w:r>
      <w:r w:rsidR="00C60775" w:rsidRPr="00C60775">
        <w:rPr>
          <w:rFonts w:eastAsia="Times New Roman"/>
          <w:lang w:val="en-GB" w:bidi="en-US"/>
        </w:rPr>
        <w:t>8</w:t>
      </w:r>
      <w:r w:rsidR="00C60775">
        <w:rPr>
          <w:rFonts w:eastAsia="Times New Roman"/>
          <w:lang w:val="id-ID" w:bidi="en-US"/>
        </w:rPr>
        <w:t>75</w:t>
      </w:r>
      <w:r w:rsidR="00F60C50" w:rsidRPr="001C17C2">
        <w:rPr>
          <w:rFonts w:eastAsia="Times New Roman"/>
          <w:lang w:val="en-GB" w:bidi="en-US"/>
        </w:rPr>
        <w:t>-Chapter 3-</w:t>
      </w:r>
      <w:r w:rsidR="005E7386" w:rsidRPr="001C17C2">
        <w:rPr>
          <w:rFonts w:eastAsia="Times New Roman"/>
          <w:lang w:val="en-GB" w:bidi="en-US"/>
        </w:rPr>
        <w:t>Attachment 3.11</w:t>
      </w:r>
      <w:r w:rsidR="005945A9" w:rsidRPr="001C17C2">
        <w:rPr>
          <w:rFonts w:eastAsia="Times New Roman"/>
          <w:lang w:val="en-GB" w:bidi="en-US"/>
        </w:rPr>
        <w:t>)</w:t>
      </w:r>
    </w:p>
    <w:p w14:paraId="409D2A87" w14:textId="6F3DE313" w:rsidR="009A04D2" w:rsidRDefault="009A04D2" w:rsidP="009A04D2">
      <w:pPr>
        <w:spacing w:after="120"/>
        <w:ind w:right="119"/>
        <w:jc w:val="both"/>
        <w:rPr>
          <w:rFonts w:eastAsiaTheme="minorEastAsia"/>
          <w:lang w:val="id-ID" w:eastAsia="ko-KR"/>
        </w:rPr>
      </w:pPr>
      <w:r>
        <w:rPr>
          <w:lang w:eastAsia="ko-KR"/>
        </w:rPr>
        <w:t xml:space="preserve">Viet Nam </w:t>
      </w:r>
      <w:r w:rsidRPr="00595BF2">
        <w:rPr>
          <w:lang w:eastAsia="ko-KR"/>
        </w:rPr>
        <w:t>invite</w:t>
      </w:r>
      <w:r w:rsidR="00A97978" w:rsidRPr="00595BF2">
        <w:rPr>
          <w:lang w:eastAsia="ko-KR"/>
        </w:rPr>
        <w:t>d</w:t>
      </w:r>
      <w:r w:rsidRPr="00595BF2">
        <w:rPr>
          <w:lang w:eastAsia="ko-KR"/>
        </w:rPr>
        <w:t xml:space="preserve"> APT/AWG to assist </w:t>
      </w:r>
      <w:r w:rsidR="00B8475E" w:rsidRPr="00595BF2">
        <w:rPr>
          <w:lang w:eastAsia="ko-KR"/>
        </w:rPr>
        <w:t>concerning</w:t>
      </w:r>
      <w:r w:rsidRPr="00A97978">
        <w:rPr>
          <w:rFonts w:eastAsiaTheme="minorEastAsia"/>
          <w:lang w:eastAsia="ko-KR"/>
        </w:rPr>
        <w:t xml:space="preserve"> the implementation of narrowband and broadband machine-type communication infrastructures</w:t>
      </w:r>
      <w:r w:rsidRPr="001D3C02">
        <w:rPr>
          <w:rFonts w:eastAsiaTheme="minorEastAsia"/>
          <w:lang w:eastAsia="ko-KR"/>
        </w:rPr>
        <w:t>.</w:t>
      </w:r>
      <w:r>
        <w:rPr>
          <w:rFonts w:eastAsiaTheme="minorEastAsia"/>
          <w:lang w:val="id-ID" w:eastAsia="ko-KR"/>
        </w:rPr>
        <w:t xml:space="preserve"> In this regard,</w:t>
      </w:r>
      <w:r w:rsidR="003C7C88">
        <w:rPr>
          <w:rFonts w:eastAsiaTheme="minorEastAsia"/>
          <w:lang w:val="id-ID" w:eastAsia="ko-KR"/>
        </w:rPr>
        <w:t xml:space="preserve"> APT members agreed </w:t>
      </w:r>
      <w:r>
        <w:rPr>
          <w:rFonts w:eastAsiaTheme="minorEastAsia"/>
          <w:lang w:val="id-ID" w:eastAsia="ko-KR"/>
        </w:rPr>
        <w:t xml:space="preserve"> to send a liason statement to APT/AWG to seek information regarding </w:t>
      </w:r>
      <w:r w:rsidR="003C7C88">
        <w:rPr>
          <w:rFonts w:eastAsiaTheme="minorEastAsia"/>
          <w:lang w:val="id-ID" w:eastAsia="ko-KR"/>
        </w:rPr>
        <w:t>the</w:t>
      </w:r>
      <w:r w:rsidR="003D5398">
        <w:rPr>
          <w:rFonts w:eastAsiaTheme="minorEastAsia"/>
          <w:lang w:val="id-ID" w:eastAsia="ko-KR"/>
        </w:rPr>
        <w:t xml:space="preserve"> progress of </w:t>
      </w:r>
      <w:r w:rsidR="003C7C88">
        <w:rPr>
          <w:rFonts w:eastAsiaTheme="minorEastAsia"/>
          <w:lang w:val="id-ID" w:eastAsia="ko-KR"/>
        </w:rPr>
        <w:t xml:space="preserve">their </w:t>
      </w:r>
      <w:r w:rsidR="003D5398">
        <w:rPr>
          <w:rFonts w:eastAsiaTheme="minorEastAsia"/>
          <w:lang w:val="id-ID" w:eastAsia="ko-KR"/>
        </w:rPr>
        <w:t xml:space="preserve">work on </w:t>
      </w:r>
      <w:r w:rsidR="003C7C88">
        <w:rPr>
          <w:rFonts w:eastAsiaTheme="minorEastAsia"/>
          <w:lang w:val="id-ID" w:eastAsia="ko-KR"/>
        </w:rPr>
        <w:t xml:space="preserve"> MTC/IoT</w:t>
      </w:r>
      <w:r w:rsidR="00121473">
        <w:rPr>
          <w:rFonts w:eastAsiaTheme="minorEastAsia"/>
          <w:lang w:val="id-ID" w:eastAsia="ko-KR"/>
        </w:rPr>
        <w:t>.</w:t>
      </w:r>
    </w:p>
    <w:p w14:paraId="5BD33FCE" w14:textId="77777777" w:rsidR="00121473" w:rsidRPr="001C17C2" w:rsidRDefault="00121473" w:rsidP="009A04D2">
      <w:pPr>
        <w:spacing w:after="120"/>
        <w:ind w:right="119"/>
        <w:jc w:val="both"/>
        <w:rPr>
          <w:rFonts w:eastAsiaTheme="minorEastAsia"/>
          <w:lang w:val="id-ID" w:eastAsia="ko-KR"/>
        </w:rPr>
      </w:pPr>
    </w:p>
    <w:p w14:paraId="63818E16" w14:textId="7EFCA7EF" w:rsidR="00C4585B" w:rsidRDefault="009A04D2" w:rsidP="00662081">
      <w:pPr>
        <w:tabs>
          <w:tab w:val="left" w:pos="3390"/>
        </w:tabs>
        <w:spacing w:after="100" w:afterAutospacing="1"/>
        <w:rPr>
          <w:b/>
          <w:lang w:eastAsia="ko-KR"/>
        </w:rPr>
      </w:pPr>
      <w:r>
        <w:rPr>
          <w:rFonts w:eastAsia="Times New Roman"/>
          <w:lang w:val="id-ID" w:bidi="en-US"/>
        </w:rPr>
        <w:t xml:space="preserve"> </w:t>
      </w:r>
      <w:r w:rsidR="007A507E">
        <w:rPr>
          <w:b/>
          <w:lang w:eastAsia="ko-KR"/>
        </w:rPr>
        <w:t>4</w:t>
      </w:r>
      <w:r w:rsidR="006A02CF">
        <w:rPr>
          <w:b/>
          <w:lang w:eastAsia="ko-KR"/>
        </w:rPr>
        <w:t>. APT Preliminary View</w:t>
      </w:r>
      <w:r w:rsidR="00C4585B">
        <w:rPr>
          <w:b/>
          <w:lang w:eastAsia="ko-KR"/>
        </w:rPr>
        <w:t>(</w:t>
      </w:r>
      <w:r w:rsidR="006A02CF">
        <w:rPr>
          <w:b/>
          <w:lang w:eastAsia="ko-KR"/>
        </w:rPr>
        <w:t>s</w:t>
      </w:r>
      <w:r w:rsidR="00C4585B">
        <w:rPr>
          <w:b/>
          <w:lang w:eastAsia="ko-KR"/>
        </w:rPr>
        <w:t>)</w:t>
      </w:r>
    </w:p>
    <w:p w14:paraId="32D49A4A" w14:textId="40A73E51" w:rsidR="004C6145" w:rsidRPr="004C6145" w:rsidRDefault="004C6145" w:rsidP="004C6145">
      <w:pPr>
        <w:spacing w:after="120"/>
        <w:ind w:right="119"/>
        <w:jc w:val="both"/>
        <w:rPr>
          <w:rFonts w:eastAsia="MS Mincho"/>
          <w:color w:val="FF0000"/>
          <w:szCs w:val="20"/>
          <w:lang w:val="en-GB" w:eastAsia="ja-JP"/>
        </w:rPr>
      </w:pPr>
      <w:r w:rsidRPr="004C6145">
        <w:rPr>
          <w:rFonts w:eastAsia="MS Mincho"/>
          <w:color w:val="000000" w:themeColor="text1"/>
          <w:szCs w:val="20"/>
          <w:lang w:val="en-GB" w:eastAsia="ja-JP"/>
        </w:rPr>
        <w:t xml:space="preserve">APT </w:t>
      </w:r>
      <w:r w:rsidRPr="004C6145">
        <w:rPr>
          <w:rFonts w:eastAsia="MS Mincho" w:hint="eastAsia"/>
          <w:color w:val="000000" w:themeColor="text1"/>
          <w:szCs w:val="20"/>
          <w:lang w:val="en-GB" w:eastAsia="ja-JP"/>
        </w:rPr>
        <w:t>M</w:t>
      </w:r>
      <w:r w:rsidRPr="004C6145">
        <w:rPr>
          <w:rFonts w:eastAsia="MS Mincho"/>
          <w:color w:val="000000" w:themeColor="text1"/>
          <w:szCs w:val="20"/>
          <w:lang w:val="en-GB" w:eastAsia="ja-JP"/>
        </w:rPr>
        <w:t>ember</w:t>
      </w:r>
      <w:r w:rsidRPr="004C6145">
        <w:rPr>
          <w:rFonts w:eastAsia="MS Mincho" w:hint="eastAsia"/>
          <w:color w:val="000000" w:themeColor="text1"/>
          <w:szCs w:val="20"/>
          <w:lang w:val="en-GB" w:eastAsia="ja-JP"/>
        </w:rPr>
        <w:t>s</w:t>
      </w:r>
      <w:r w:rsidRPr="004C6145">
        <w:rPr>
          <w:rFonts w:eastAsia="MS Mincho"/>
          <w:color w:val="000000" w:themeColor="text1"/>
          <w:szCs w:val="20"/>
          <w:lang w:val="en-GB" w:eastAsia="ja-JP"/>
        </w:rPr>
        <w:t xml:space="preserve"> </w:t>
      </w:r>
      <w:r w:rsidRPr="004C6145">
        <w:rPr>
          <w:rFonts w:eastAsia="MS Mincho" w:hint="eastAsia"/>
          <w:color w:val="000000" w:themeColor="text1"/>
          <w:szCs w:val="20"/>
          <w:lang w:val="en-GB" w:eastAsia="ja-JP"/>
        </w:rPr>
        <w:t xml:space="preserve">support </w:t>
      </w:r>
      <w:r w:rsidRPr="004C6145">
        <w:rPr>
          <w:iCs/>
          <w:color w:val="000000" w:themeColor="text1"/>
          <w:lang w:val="id-ID"/>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Pr="004C6145">
        <w:rPr>
          <w:color w:val="000000" w:themeColor="text1"/>
        </w:rPr>
        <w:t>, in accordance with Resolution</w:t>
      </w:r>
      <w:r w:rsidRPr="004C6145">
        <w:rPr>
          <w:iCs/>
          <w:color w:val="000000" w:themeColor="text1"/>
        </w:rPr>
        <w:t xml:space="preserve"> </w:t>
      </w:r>
      <w:r w:rsidRPr="004C6145">
        <w:rPr>
          <w:b/>
          <w:iCs/>
          <w:color w:val="000000" w:themeColor="text1"/>
        </w:rPr>
        <w:t xml:space="preserve">958 </w:t>
      </w:r>
      <w:r w:rsidRPr="004C6145">
        <w:rPr>
          <w:rFonts w:eastAsiaTheme="minorEastAsia"/>
          <w:b/>
          <w:color w:val="000000" w:themeColor="text1"/>
          <w:lang w:val="en-GB" w:eastAsia="ja-JP"/>
        </w:rPr>
        <w:t>(WRC-15)</w:t>
      </w:r>
      <w:r w:rsidRPr="004C6145">
        <w:rPr>
          <w:rFonts w:eastAsiaTheme="minorEastAsia" w:hint="eastAsia"/>
          <w:color w:val="000000" w:themeColor="text1"/>
          <w:lang w:val="en-GB" w:eastAsia="ja-JP"/>
        </w:rPr>
        <w:t>.</w:t>
      </w:r>
    </w:p>
    <w:p w14:paraId="75E72B5D" w14:textId="5D0D3C19" w:rsidR="004C6145" w:rsidRPr="001C17C2" w:rsidRDefault="004C6145" w:rsidP="00811D8F">
      <w:pPr>
        <w:spacing w:after="120"/>
        <w:ind w:right="119"/>
        <w:jc w:val="both"/>
        <w:rPr>
          <w:rStyle w:val="Hyperlink"/>
          <w:color w:val="auto"/>
          <w:lang w:val="en-NZ" w:eastAsia="ko-KR"/>
        </w:rPr>
      </w:pPr>
      <w:r w:rsidRPr="001C17C2">
        <w:rPr>
          <w:rStyle w:val="Hyperlink"/>
          <w:color w:val="auto"/>
          <w:u w:val="none"/>
          <w:lang w:val="en-NZ" w:eastAsia="ko-KR"/>
        </w:rPr>
        <w:t xml:space="preserve">APT Members are of the view that the possible harmonized use of spectrum to support MTC can be achieved through ITU-R Recommendations/Reports and </w:t>
      </w:r>
      <w:r w:rsidR="002F6244" w:rsidRPr="001C17C2">
        <w:rPr>
          <w:rStyle w:val="Hyperlink"/>
          <w:color w:val="auto"/>
          <w:u w:val="none"/>
          <w:lang w:val="en-NZ" w:eastAsia="ko-KR"/>
        </w:rPr>
        <w:t>there is</w:t>
      </w:r>
      <w:r w:rsidRPr="001C17C2">
        <w:rPr>
          <w:rStyle w:val="Hyperlink"/>
          <w:color w:val="auto"/>
          <w:u w:val="none"/>
          <w:lang w:val="en-NZ" w:eastAsia="ko-KR"/>
        </w:rPr>
        <w:t xml:space="preserve"> </w:t>
      </w:r>
      <w:r w:rsidR="002F6244" w:rsidRPr="001C17C2">
        <w:rPr>
          <w:rStyle w:val="Hyperlink"/>
          <w:color w:val="auto"/>
          <w:u w:val="none"/>
          <w:lang w:val="en-NZ" w:eastAsia="ko-KR"/>
        </w:rPr>
        <w:t xml:space="preserve">no need to make any changes to the Radio Regulations nor for any identification </w:t>
      </w:r>
      <w:r w:rsidR="00C60775" w:rsidRPr="001C17C2">
        <w:rPr>
          <w:rStyle w:val="Hyperlink"/>
          <w:color w:val="auto"/>
          <w:u w:val="none"/>
          <w:lang w:val="id-ID" w:eastAsia="ko-KR"/>
        </w:rPr>
        <w:t xml:space="preserve">of spectrum </w:t>
      </w:r>
      <w:r w:rsidR="002F6244" w:rsidRPr="001C17C2">
        <w:rPr>
          <w:rStyle w:val="Hyperlink"/>
          <w:color w:val="auto"/>
          <w:u w:val="none"/>
          <w:lang w:val="en-NZ" w:eastAsia="ko-KR"/>
        </w:rPr>
        <w:t>to support MTC</w:t>
      </w:r>
      <w:r w:rsidR="004B7705" w:rsidRPr="001C17C2">
        <w:rPr>
          <w:rStyle w:val="Hyperlink"/>
          <w:color w:val="auto"/>
          <w:u w:val="none"/>
          <w:lang w:val="id-ID" w:eastAsia="ko-KR"/>
        </w:rPr>
        <w:t>.</w:t>
      </w:r>
    </w:p>
    <w:p w14:paraId="21E3C0CC" w14:textId="77777777" w:rsidR="000B7ABD" w:rsidRDefault="000B7ABD" w:rsidP="008A0C35">
      <w:pPr>
        <w:spacing w:after="120"/>
        <w:jc w:val="both"/>
        <w:rPr>
          <w:b/>
          <w:lang w:eastAsia="ko-KR"/>
        </w:rPr>
      </w:pPr>
    </w:p>
    <w:p w14:paraId="338363C9" w14:textId="53593F71" w:rsidR="00EF5F6F" w:rsidRDefault="007A507E" w:rsidP="008A0C35">
      <w:pPr>
        <w:spacing w:after="120"/>
        <w:jc w:val="both"/>
        <w:rPr>
          <w:b/>
          <w:lang w:val="en-NZ" w:eastAsia="ko-KR"/>
        </w:rPr>
      </w:pPr>
      <w:r>
        <w:rPr>
          <w:b/>
          <w:lang w:eastAsia="ko-KR"/>
        </w:rPr>
        <w:t>5</w:t>
      </w:r>
      <w:r w:rsidR="006A02CF">
        <w:rPr>
          <w:b/>
          <w:lang w:eastAsia="ko-KR"/>
        </w:rPr>
        <w:t xml:space="preserve">. </w:t>
      </w:r>
      <w:r w:rsidR="003C0D05" w:rsidRPr="00441526">
        <w:rPr>
          <w:b/>
          <w:lang w:val="en-NZ" w:eastAsia="ko-KR"/>
        </w:rPr>
        <w:t>Other View(s)</w:t>
      </w:r>
      <w:r w:rsidR="003C0D05">
        <w:rPr>
          <w:b/>
          <w:lang w:val="en-NZ" w:eastAsia="ko-KR"/>
        </w:rPr>
        <w:t xml:space="preserve"> from APT Members</w:t>
      </w:r>
    </w:p>
    <w:p w14:paraId="4F02EF6C" w14:textId="2E6E0872" w:rsidR="004B7705" w:rsidRPr="00D53A7B" w:rsidRDefault="004B7705" w:rsidP="00D53A7B">
      <w:pPr>
        <w:spacing w:after="120"/>
        <w:ind w:right="119"/>
        <w:jc w:val="both"/>
        <w:rPr>
          <w:rFonts w:eastAsia="MS Mincho"/>
          <w:lang w:val="id-ID" w:eastAsia="ja-JP"/>
        </w:rPr>
      </w:pPr>
      <w:r w:rsidRPr="00D53A7B">
        <w:rPr>
          <w:rFonts w:eastAsia="MS Mincho"/>
          <w:color w:val="000000" w:themeColor="text1"/>
          <w:szCs w:val="20"/>
          <w:lang w:val="en-GB" w:eastAsia="ja-JP"/>
        </w:rPr>
        <w:t>None</w:t>
      </w:r>
    </w:p>
    <w:p w14:paraId="69EB7C3E" w14:textId="3D55C50C" w:rsidR="00121473" w:rsidRDefault="00121473" w:rsidP="00C357AD">
      <w:pPr>
        <w:jc w:val="both"/>
        <w:rPr>
          <w:b/>
        </w:rPr>
      </w:pPr>
    </w:p>
    <w:p w14:paraId="1E75316E" w14:textId="77777777" w:rsidR="000B7ABD" w:rsidRDefault="000B7ABD" w:rsidP="00C357AD">
      <w:pPr>
        <w:jc w:val="both"/>
        <w:rPr>
          <w:b/>
        </w:rPr>
      </w:pPr>
    </w:p>
    <w:p w14:paraId="7AD7B2CE" w14:textId="58770AF0" w:rsidR="00B23BDB" w:rsidRDefault="000A0D53" w:rsidP="001C17C2">
      <w:pPr>
        <w:spacing w:after="120"/>
        <w:jc w:val="both"/>
        <w:rPr>
          <w:b/>
          <w:lang w:val="en-NZ" w:eastAsia="ko-KR"/>
        </w:rPr>
      </w:pPr>
      <w:r>
        <w:rPr>
          <w:b/>
        </w:rPr>
        <w:t>6</w:t>
      </w:r>
      <w:r w:rsidRPr="0051685B">
        <w:rPr>
          <w:b/>
        </w:rPr>
        <w:t xml:space="preserve">. </w:t>
      </w:r>
      <w:r w:rsidR="00B23BDB">
        <w:rPr>
          <w:b/>
        </w:rPr>
        <w:t xml:space="preserve"> </w:t>
      </w:r>
      <w:r w:rsidR="00B23BDB" w:rsidRPr="00441526">
        <w:rPr>
          <w:b/>
          <w:lang w:val="en-NZ" w:eastAsia="ko-KR"/>
        </w:rPr>
        <w:t>Issues for Consideration at Next APG Meeting</w:t>
      </w:r>
    </w:p>
    <w:p w14:paraId="06CA1439" w14:textId="009D6818" w:rsidR="00C721A4" w:rsidRDefault="00C721A4" w:rsidP="00C357AD">
      <w:pPr>
        <w:jc w:val="both"/>
        <w:rPr>
          <w:lang w:val="id-ID" w:eastAsia="ko-KR"/>
        </w:rPr>
      </w:pPr>
      <w:r>
        <w:rPr>
          <w:lang w:val="id-ID" w:eastAsia="ko-KR"/>
        </w:rPr>
        <w:t>None</w:t>
      </w:r>
    </w:p>
    <w:p w14:paraId="0E13B77C" w14:textId="77777777" w:rsidR="00C721A4" w:rsidRPr="001C17C2" w:rsidRDefault="00C721A4" w:rsidP="00C357AD">
      <w:pPr>
        <w:jc w:val="both"/>
        <w:rPr>
          <w:b/>
          <w:lang w:val="id-ID"/>
        </w:rPr>
      </w:pPr>
    </w:p>
    <w:p w14:paraId="44FE825E" w14:textId="704D96D3" w:rsidR="00593824" w:rsidRPr="006F518F" w:rsidRDefault="00B23BDB" w:rsidP="00041809">
      <w:pPr>
        <w:jc w:val="both"/>
        <w:rPr>
          <w:lang w:val="en-NZ"/>
        </w:rPr>
      </w:pPr>
      <w:r>
        <w:rPr>
          <w:b/>
        </w:rPr>
        <w:t xml:space="preserve">7.  </w:t>
      </w:r>
      <w:r w:rsidR="00593824" w:rsidRPr="00441526">
        <w:rPr>
          <w:b/>
          <w:lang w:val="en-NZ"/>
        </w:rPr>
        <w:t>Views from Other Organisations</w:t>
      </w:r>
      <w:r w:rsidR="00593824">
        <w:rPr>
          <w:b/>
          <w:lang w:val="en-NZ"/>
        </w:rPr>
        <w:t xml:space="preserve"> </w:t>
      </w:r>
    </w:p>
    <w:p w14:paraId="53E60EBC" w14:textId="2253E309" w:rsidR="006A02CF" w:rsidRPr="0051685B" w:rsidRDefault="006A02CF" w:rsidP="00C357AD">
      <w:pPr>
        <w:jc w:val="both"/>
        <w:rPr>
          <w:b/>
        </w:rPr>
      </w:pPr>
    </w:p>
    <w:p w14:paraId="76E486D9" w14:textId="77777777" w:rsidR="00C85F76" w:rsidRPr="00441526" w:rsidRDefault="00C85F76" w:rsidP="00C85F76">
      <w:pPr>
        <w:spacing w:after="120"/>
        <w:jc w:val="both"/>
        <w:rPr>
          <w:b/>
          <w:lang w:val="en-NZ" w:eastAsia="ko-KR"/>
        </w:rPr>
      </w:pPr>
      <w:r>
        <w:rPr>
          <w:b/>
          <w:lang w:val="en-NZ" w:eastAsia="ko-KR"/>
        </w:rPr>
        <w:lastRenderedPageBreak/>
        <w:t>7</w:t>
      </w:r>
      <w:r w:rsidRPr="00441526">
        <w:rPr>
          <w:b/>
          <w:lang w:val="en-NZ" w:eastAsia="ko-KR"/>
        </w:rPr>
        <w:t xml:space="preserve">.1 </w:t>
      </w:r>
      <w:r w:rsidRPr="00441526">
        <w:rPr>
          <w:b/>
          <w:lang w:val="en-NZ" w:eastAsia="ko-KR"/>
        </w:rPr>
        <w:tab/>
        <w:t>Regional Groups</w:t>
      </w:r>
    </w:p>
    <w:p w14:paraId="258E011D" w14:textId="3986AC65" w:rsidR="00167517" w:rsidRPr="00441526" w:rsidRDefault="000D06A6" w:rsidP="00167517">
      <w:pPr>
        <w:spacing w:after="120"/>
        <w:jc w:val="both"/>
        <w:rPr>
          <w:b/>
          <w:lang w:val="en-NZ" w:eastAsia="ko-KR"/>
        </w:rPr>
      </w:pPr>
      <w:r>
        <w:rPr>
          <w:b/>
          <w:lang w:val="en-NZ" w:eastAsia="ko-KR"/>
        </w:rPr>
        <w:t>7</w:t>
      </w:r>
      <w:r w:rsidR="00E1317F" w:rsidRPr="00441526">
        <w:rPr>
          <w:b/>
          <w:lang w:val="en-NZ" w:eastAsia="ko-KR"/>
        </w:rPr>
        <w:t>.1.</w:t>
      </w:r>
      <w:r w:rsidR="00E1317F">
        <w:rPr>
          <w:b/>
          <w:lang w:val="id-ID" w:eastAsia="ko-KR"/>
        </w:rPr>
        <w:t>1</w:t>
      </w:r>
      <w:r w:rsidR="00E1317F" w:rsidRPr="00441526">
        <w:rPr>
          <w:b/>
          <w:lang w:val="en-NZ" w:eastAsia="ko-KR"/>
        </w:rPr>
        <w:t xml:space="preserve"> </w:t>
      </w:r>
      <w:r w:rsidR="00E1317F" w:rsidRPr="00441526">
        <w:rPr>
          <w:b/>
          <w:lang w:val="en-NZ" w:eastAsia="ko-KR"/>
        </w:rPr>
        <w:tab/>
      </w:r>
      <w:r w:rsidR="00167517" w:rsidRPr="00441526">
        <w:rPr>
          <w:b/>
          <w:lang w:val="en-NZ" w:eastAsia="ko-KR"/>
        </w:rPr>
        <w:t>ASMG</w:t>
      </w:r>
      <w:r w:rsidR="00E1317F">
        <w:t xml:space="preserve"> </w:t>
      </w:r>
      <w:r w:rsidR="003A5454" w:rsidRPr="00441526">
        <w:t xml:space="preserve">- </w:t>
      </w:r>
      <w:r w:rsidR="003A5454" w:rsidRPr="00441526">
        <w:rPr>
          <w:b/>
          <w:lang w:val="en-NZ" w:eastAsia="ko-KR"/>
        </w:rPr>
        <w:t xml:space="preserve">Document </w:t>
      </w:r>
      <w:r w:rsidR="003A5454" w:rsidRPr="001C17C2">
        <w:t>APG19-2/</w:t>
      </w:r>
      <w:r w:rsidR="003D5398" w:rsidRPr="001C17C2">
        <w:t>IN</w:t>
      </w:r>
      <w:r w:rsidR="003D5398" w:rsidRPr="00DB0FF9">
        <w:t>F</w:t>
      </w:r>
      <w:r w:rsidR="003A5454" w:rsidRPr="00DB0FF9">
        <w:t>-</w:t>
      </w:r>
      <w:r w:rsidR="003D5398" w:rsidRPr="00041809">
        <w:rPr>
          <w:lang w:val="id-ID" w:eastAsia="ko-KR"/>
        </w:rPr>
        <w:t>01</w:t>
      </w:r>
    </w:p>
    <w:p w14:paraId="53CD78BF" w14:textId="62405A33" w:rsidR="00167517" w:rsidRPr="00441526" w:rsidRDefault="00982FE6" w:rsidP="00811D8F">
      <w:pPr>
        <w:spacing w:after="120"/>
        <w:ind w:right="119"/>
        <w:jc w:val="both"/>
        <w:rPr>
          <w:lang w:val="en-NZ"/>
        </w:rPr>
      </w:pPr>
      <w:r>
        <w:rPr>
          <w:iCs/>
          <w:color w:val="000000" w:themeColor="text1"/>
        </w:rPr>
        <w:t>ASMG s</w:t>
      </w:r>
      <w:r w:rsidRPr="00811D8F">
        <w:rPr>
          <w:iCs/>
          <w:color w:val="000000" w:themeColor="text1"/>
          <w:lang w:val="id-ID"/>
        </w:rPr>
        <w:t>upport</w:t>
      </w:r>
      <w:r>
        <w:rPr>
          <w:iCs/>
          <w:color w:val="000000" w:themeColor="text1"/>
        </w:rPr>
        <w:t>s</w:t>
      </w:r>
      <w:r w:rsidRPr="003A5454">
        <w:rPr>
          <w:lang w:val="id-ID"/>
        </w:rPr>
        <w:t xml:space="preserve"> </w:t>
      </w:r>
      <w:r w:rsidR="003A5454" w:rsidRPr="003A5454">
        <w:rPr>
          <w:lang w:val="id-ID"/>
        </w:rPr>
        <w:t>the use of regionally or globally harmonized frequency bands in the frequency bands identified for IMT systems for Internet of Things (IoT) applications and systems.</w:t>
      </w:r>
    </w:p>
    <w:p w14:paraId="0C9E0E9B" w14:textId="77777777" w:rsidR="00167517" w:rsidRPr="00441526" w:rsidRDefault="00167517" w:rsidP="00167517">
      <w:pPr>
        <w:rPr>
          <w:lang w:val="en-NZ"/>
        </w:rPr>
      </w:pPr>
    </w:p>
    <w:p w14:paraId="26A31445" w14:textId="1E10C553" w:rsidR="00167517" w:rsidRPr="00441526" w:rsidRDefault="000D06A6" w:rsidP="00167517">
      <w:pPr>
        <w:spacing w:after="120"/>
        <w:jc w:val="both"/>
        <w:rPr>
          <w:b/>
          <w:lang w:val="en-NZ" w:eastAsia="ko-KR"/>
        </w:rPr>
      </w:pPr>
      <w:r>
        <w:rPr>
          <w:b/>
          <w:lang w:val="en-NZ" w:eastAsia="ko-KR"/>
        </w:rPr>
        <w:t>7</w:t>
      </w:r>
      <w:r w:rsidR="00167517" w:rsidRPr="00441526">
        <w:rPr>
          <w:b/>
          <w:lang w:val="en-NZ" w:eastAsia="ko-KR"/>
        </w:rPr>
        <w:t xml:space="preserve">.1.2 </w:t>
      </w:r>
      <w:r w:rsidR="00167517" w:rsidRPr="00441526">
        <w:rPr>
          <w:b/>
          <w:lang w:val="en-NZ" w:eastAsia="ko-KR"/>
        </w:rPr>
        <w:tab/>
        <w:t xml:space="preserve">ATU </w:t>
      </w:r>
    </w:p>
    <w:p w14:paraId="594D6B3D" w14:textId="59D131CA" w:rsidR="00167517" w:rsidRPr="00441526" w:rsidRDefault="004B7705" w:rsidP="00167517">
      <w:pPr>
        <w:numPr>
          <w:ilvl w:val="0"/>
          <w:numId w:val="14"/>
        </w:numPr>
        <w:ind w:leftChars="145" w:left="708"/>
        <w:rPr>
          <w:lang w:val="en-NZ"/>
        </w:rPr>
      </w:pPr>
      <w:r>
        <w:rPr>
          <w:lang w:val="id-ID"/>
        </w:rPr>
        <w:t>None (</w:t>
      </w:r>
      <w:r w:rsidR="002F6244" w:rsidRPr="002F6244">
        <w:rPr>
          <w:lang w:val="id-ID"/>
        </w:rPr>
        <w:t>http://atu-uat.org/</w:t>
      </w:r>
      <w:r>
        <w:rPr>
          <w:lang w:val="id-ID"/>
        </w:rPr>
        <w:t>)</w:t>
      </w:r>
    </w:p>
    <w:p w14:paraId="0A17EAA4" w14:textId="77777777" w:rsidR="00167517" w:rsidRPr="00441526" w:rsidRDefault="00167517" w:rsidP="00167517">
      <w:pPr>
        <w:rPr>
          <w:b/>
          <w:lang w:val="en-NZ"/>
        </w:rPr>
      </w:pPr>
    </w:p>
    <w:p w14:paraId="52914322" w14:textId="0FBA49E2" w:rsidR="00167517" w:rsidRPr="00E55FCF" w:rsidRDefault="000D06A6" w:rsidP="00167517">
      <w:pPr>
        <w:spacing w:after="120"/>
        <w:jc w:val="both"/>
        <w:rPr>
          <w:b/>
          <w:lang w:val="id-ID" w:eastAsia="ko-KR"/>
        </w:rPr>
      </w:pPr>
      <w:r>
        <w:rPr>
          <w:b/>
          <w:lang w:val="en-NZ" w:eastAsia="ko-KR"/>
        </w:rPr>
        <w:t>7</w:t>
      </w:r>
      <w:r w:rsidR="00167517" w:rsidRPr="00441526">
        <w:rPr>
          <w:b/>
          <w:lang w:val="en-NZ" w:eastAsia="ko-KR"/>
        </w:rPr>
        <w:t xml:space="preserve">.1.3 </w:t>
      </w:r>
      <w:r w:rsidR="00167517" w:rsidRPr="00441526">
        <w:rPr>
          <w:b/>
          <w:lang w:val="en-NZ" w:eastAsia="ko-KR"/>
        </w:rPr>
        <w:tab/>
        <w:t xml:space="preserve">CEPT </w:t>
      </w:r>
      <w:r w:rsidR="00167517" w:rsidRPr="00441526">
        <w:t xml:space="preserve">- </w:t>
      </w:r>
      <w:r w:rsidR="00167517" w:rsidRPr="00441526">
        <w:rPr>
          <w:b/>
          <w:lang w:val="en-NZ" w:eastAsia="ko-KR"/>
        </w:rPr>
        <w:t xml:space="preserve">Document </w:t>
      </w:r>
      <w:hyperlink r:id="rId29" w:history="1">
        <w:r w:rsidR="00167517" w:rsidRPr="00E1317F">
          <w:rPr>
            <w:rStyle w:val="Hyperlink"/>
            <w:b/>
            <w:lang w:val="en-NZ" w:eastAsia="ko-KR"/>
          </w:rPr>
          <w:t>APG19-3/INF-</w:t>
        </w:r>
        <w:r w:rsidR="00E55FCF" w:rsidRPr="00E1317F">
          <w:rPr>
            <w:rStyle w:val="Hyperlink"/>
            <w:b/>
            <w:lang w:val="id-ID" w:eastAsia="ko-KR"/>
          </w:rPr>
          <w:t>06</w:t>
        </w:r>
      </w:hyperlink>
    </w:p>
    <w:p w14:paraId="3C28E8DF" w14:textId="77777777" w:rsidR="001406FC" w:rsidRPr="00244873" w:rsidRDefault="001406FC" w:rsidP="00811D8F">
      <w:pPr>
        <w:spacing w:after="120"/>
        <w:ind w:right="119"/>
        <w:jc w:val="both"/>
        <w:rPr>
          <w:lang w:val="en-NZ"/>
        </w:rPr>
      </w:pPr>
      <w:r w:rsidRPr="00811D8F">
        <w:rPr>
          <w:iCs/>
          <w:color w:val="000000" w:themeColor="text1"/>
          <w:lang w:val="id-ID"/>
        </w:rPr>
        <w:t>CEPT</w:t>
      </w:r>
      <w:r w:rsidRPr="00244873">
        <w:rPr>
          <w:lang w:val="en-NZ"/>
        </w:rPr>
        <w:t xml:space="preserve"> supports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CEPT is of the view that no modifications to the Radio Regulations are required in order to resolve Agenda item 9.1 issue 9.1.8. </w:t>
      </w:r>
      <w:bookmarkStart w:id="0" w:name="_GoBack"/>
      <w:bookmarkEnd w:id="0"/>
    </w:p>
    <w:p w14:paraId="087A7447" w14:textId="77777777" w:rsidR="001406FC" w:rsidRPr="00244873" w:rsidRDefault="001406FC" w:rsidP="00811D8F">
      <w:pPr>
        <w:spacing w:after="120"/>
        <w:ind w:right="119"/>
        <w:jc w:val="both"/>
        <w:rPr>
          <w:lang w:val="en-NZ"/>
        </w:rPr>
      </w:pPr>
      <w:r w:rsidRPr="00811D8F">
        <w:rPr>
          <w:iCs/>
          <w:color w:val="000000" w:themeColor="text1"/>
          <w:lang w:val="id-ID"/>
        </w:rPr>
        <w:t>CEPT</w:t>
      </w:r>
      <w:r w:rsidRPr="00244873">
        <w:rPr>
          <w:lang w:val="en-NZ"/>
        </w:rPr>
        <w:t xml:space="preserve"> supports the consideration of IMT technologies within Agenda item 9.1 issue 9.1.8 as well as the consideration of non-IMT technologies in the purview of WPs 1B and 5A related to machine-type communications. </w:t>
      </w:r>
    </w:p>
    <w:p w14:paraId="4E13D8DB" w14:textId="4DBC6555" w:rsidR="00167517" w:rsidRPr="001C17C2" w:rsidRDefault="000D06A6" w:rsidP="00167517">
      <w:pPr>
        <w:spacing w:after="120"/>
        <w:jc w:val="both"/>
        <w:rPr>
          <w:b/>
          <w:lang w:val="id-ID" w:eastAsia="ko-KR"/>
        </w:rPr>
      </w:pPr>
      <w:r>
        <w:rPr>
          <w:b/>
          <w:lang w:val="en-NZ" w:eastAsia="ko-KR"/>
        </w:rPr>
        <w:t>7</w:t>
      </w:r>
      <w:r w:rsidR="00167517" w:rsidRPr="00441526">
        <w:rPr>
          <w:b/>
          <w:lang w:val="en-NZ" w:eastAsia="ko-KR"/>
        </w:rPr>
        <w:t xml:space="preserve">.1.4 </w:t>
      </w:r>
      <w:r w:rsidR="00167517" w:rsidRPr="00441526">
        <w:rPr>
          <w:b/>
          <w:lang w:val="en-NZ" w:eastAsia="ko-KR"/>
        </w:rPr>
        <w:tab/>
        <w:t xml:space="preserve">CITEL </w:t>
      </w:r>
      <w:r w:rsidR="00167517" w:rsidRPr="00441526">
        <w:t xml:space="preserve">- </w:t>
      </w:r>
      <w:r w:rsidR="00167517" w:rsidRPr="00441526">
        <w:rPr>
          <w:b/>
          <w:lang w:val="en-NZ" w:eastAsia="ko-KR"/>
        </w:rPr>
        <w:t xml:space="preserve">Document </w:t>
      </w:r>
      <w:hyperlink r:id="rId30" w:history="1">
        <w:r w:rsidR="004C6145" w:rsidRPr="004C6145">
          <w:rPr>
            <w:rStyle w:val="Hyperlink"/>
            <w:b/>
            <w:lang w:val="en-NZ" w:eastAsia="ko-KR"/>
          </w:rPr>
          <w:t>APG19-</w:t>
        </w:r>
        <w:r w:rsidR="003D5398">
          <w:rPr>
            <w:rStyle w:val="Hyperlink"/>
            <w:b/>
            <w:lang w:val="id-ID" w:eastAsia="ko-KR"/>
          </w:rPr>
          <w:t>3</w:t>
        </w:r>
        <w:r w:rsidR="004C6145" w:rsidRPr="004C6145">
          <w:rPr>
            <w:rStyle w:val="Hyperlink"/>
            <w:b/>
            <w:lang w:val="en-NZ" w:eastAsia="ko-KR"/>
          </w:rPr>
          <w:t>/</w:t>
        </w:r>
        <w:r w:rsidR="003D5398">
          <w:rPr>
            <w:rStyle w:val="Hyperlink"/>
            <w:b/>
            <w:lang w:val="id-ID" w:eastAsia="ko-KR"/>
          </w:rPr>
          <w:t>INF</w:t>
        </w:r>
        <w:r w:rsidR="004C6145" w:rsidRPr="004C6145">
          <w:rPr>
            <w:rStyle w:val="Hyperlink"/>
            <w:b/>
            <w:lang w:val="en-NZ" w:eastAsia="ko-KR"/>
          </w:rPr>
          <w:t>-</w:t>
        </w:r>
      </w:hyperlink>
      <w:r w:rsidR="003D5398">
        <w:rPr>
          <w:rStyle w:val="Hyperlink"/>
          <w:b/>
          <w:lang w:val="id-ID" w:eastAsia="ko-KR"/>
        </w:rPr>
        <w:t>08Rev.1</w:t>
      </w:r>
    </w:p>
    <w:p w14:paraId="3DD21497" w14:textId="2CFE54B8" w:rsidR="003D5398" w:rsidRDefault="000B7ABD" w:rsidP="00811D8F">
      <w:pPr>
        <w:spacing w:after="120"/>
        <w:ind w:right="119"/>
        <w:jc w:val="both"/>
        <w:rPr>
          <w:lang w:val="id-ID"/>
        </w:rPr>
      </w:pPr>
      <w:r>
        <w:rPr>
          <w:b/>
          <w:iCs/>
          <w:color w:val="000000" w:themeColor="text1"/>
          <w:lang w:val="id-ID"/>
        </w:rPr>
        <w:t>(</w:t>
      </w:r>
      <w:r w:rsidR="00051997">
        <w:rPr>
          <w:lang w:val="id-ID"/>
        </w:rPr>
        <w:t>IAP</w:t>
      </w:r>
      <w:r>
        <w:rPr>
          <w:lang w:val="id-ID"/>
        </w:rPr>
        <w:t>)</w:t>
      </w:r>
      <w:r w:rsidR="00051997">
        <w:rPr>
          <w:lang w:val="id-ID"/>
        </w:rPr>
        <w:t xml:space="preserve"> </w:t>
      </w:r>
    </w:p>
    <w:p w14:paraId="496BD734" w14:textId="3FD38277" w:rsidR="00051997" w:rsidRPr="001C17C2" w:rsidRDefault="00051997" w:rsidP="00811D8F">
      <w:pPr>
        <w:spacing w:after="120"/>
        <w:ind w:right="119"/>
        <w:jc w:val="both"/>
        <w:rPr>
          <w:rFonts w:eastAsia="Times New Roman"/>
          <w:strike/>
          <w:lang w:val="id-ID"/>
        </w:rPr>
      </w:pPr>
      <w:r w:rsidRPr="007A3872">
        <w:rPr>
          <w:rFonts w:eastAsia="Times New Roman"/>
          <w:color w:val="000000"/>
        </w:rPr>
        <w:t>No Change to the regulations, identification of spectrum for applications to be addressed via ITU reports and recommendations</w:t>
      </w:r>
    </w:p>
    <w:p w14:paraId="231DC2F2" w14:textId="3404E7FE" w:rsidR="004C6145" w:rsidRPr="00441526" w:rsidRDefault="000D06A6" w:rsidP="004C6145">
      <w:pPr>
        <w:spacing w:after="120"/>
        <w:jc w:val="both"/>
        <w:rPr>
          <w:b/>
          <w:lang w:val="en-NZ" w:eastAsia="ko-KR"/>
        </w:rPr>
      </w:pPr>
      <w:r>
        <w:rPr>
          <w:b/>
          <w:lang w:val="en-NZ" w:eastAsia="ko-KR"/>
        </w:rPr>
        <w:t>7</w:t>
      </w:r>
      <w:r w:rsidR="00167517" w:rsidRPr="00441526">
        <w:rPr>
          <w:b/>
          <w:lang w:val="en-NZ" w:eastAsia="ko-KR"/>
        </w:rPr>
        <w:t xml:space="preserve">.1.5 </w:t>
      </w:r>
      <w:r w:rsidR="00167517" w:rsidRPr="00441526">
        <w:rPr>
          <w:b/>
          <w:lang w:val="en-NZ" w:eastAsia="ko-KR"/>
        </w:rPr>
        <w:tab/>
        <w:t xml:space="preserve">RCC </w:t>
      </w:r>
      <w:r w:rsidR="00167517" w:rsidRPr="00441526">
        <w:t xml:space="preserve">- </w:t>
      </w:r>
      <w:r w:rsidR="00167517" w:rsidRPr="00441526">
        <w:rPr>
          <w:b/>
          <w:lang w:val="en-NZ" w:eastAsia="ko-KR"/>
        </w:rPr>
        <w:t xml:space="preserve">Document </w:t>
      </w:r>
      <w:hyperlink r:id="rId31" w:history="1">
        <w:r w:rsidR="004C6145" w:rsidRPr="004C6145">
          <w:rPr>
            <w:rStyle w:val="Hyperlink"/>
            <w:b/>
            <w:lang w:val="en-NZ" w:eastAsia="ko-KR"/>
          </w:rPr>
          <w:t>APG19-2/</w:t>
        </w:r>
        <w:r w:rsidR="003D5398">
          <w:rPr>
            <w:rStyle w:val="Hyperlink"/>
            <w:b/>
            <w:lang w:val="id-ID" w:eastAsia="ko-KR"/>
          </w:rPr>
          <w:t>INF-05</w:t>
        </w:r>
      </w:hyperlink>
    </w:p>
    <w:p w14:paraId="1E879133" w14:textId="77777777" w:rsidR="004C6145" w:rsidRPr="004C6145" w:rsidRDefault="004C6145" w:rsidP="00811D8F">
      <w:pPr>
        <w:spacing w:after="120"/>
        <w:ind w:right="119"/>
        <w:jc w:val="both"/>
        <w:rPr>
          <w:rFonts w:eastAsiaTheme="minorEastAsia"/>
          <w:lang w:eastAsia="ko-KR"/>
        </w:rPr>
      </w:pPr>
      <w:r w:rsidRPr="00811D8F">
        <w:rPr>
          <w:iCs/>
          <w:color w:val="000000" w:themeColor="text1"/>
          <w:lang w:val="id-ID"/>
        </w:rPr>
        <w:t>The</w:t>
      </w:r>
      <w:r w:rsidRPr="004C6145">
        <w:rPr>
          <w:rFonts w:eastAsiaTheme="minorEastAsia"/>
          <w:lang w:eastAsia="ko-KR"/>
        </w:rPr>
        <w:t xml:space="preserve"> RCC Administrations support the development of ITU-R Recommendations, Reports and/or Handbooks on technical and operational aspects of using different radio networks and systems, as well as on spectrum needed and experience in spectrum use, to support the implementation of narrowband and broadband machine-type communication infrastructures.</w:t>
      </w:r>
    </w:p>
    <w:p w14:paraId="04409C34" w14:textId="15C26976" w:rsidR="00167517" w:rsidRPr="004C6145" w:rsidRDefault="004C6145" w:rsidP="00811D8F">
      <w:pPr>
        <w:spacing w:after="120"/>
        <w:ind w:right="119"/>
        <w:jc w:val="both"/>
        <w:rPr>
          <w:rFonts w:eastAsiaTheme="minorEastAsia"/>
          <w:lang w:eastAsia="ko-KR"/>
        </w:rPr>
      </w:pPr>
      <w:r w:rsidRPr="00811D8F">
        <w:rPr>
          <w:iCs/>
          <w:color w:val="000000" w:themeColor="text1"/>
          <w:lang w:val="id-ID"/>
        </w:rPr>
        <w:t>The</w:t>
      </w:r>
      <w:r w:rsidRPr="004C6145">
        <w:rPr>
          <w:rFonts w:eastAsiaTheme="minorEastAsia"/>
          <w:lang w:eastAsia="ko-KR"/>
        </w:rPr>
        <w:t xml:space="preserve"> RCC Administrations </w:t>
      </w:r>
      <w:r w:rsidR="00982FE6" w:rsidRPr="004C6145">
        <w:rPr>
          <w:rFonts w:eastAsiaTheme="minorEastAsia"/>
          <w:lang w:eastAsia="ko-KR"/>
        </w:rPr>
        <w:t>underst</w:t>
      </w:r>
      <w:r w:rsidR="00982FE6">
        <w:rPr>
          <w:rFonts w:eastAsiaTheme="minorEastAsia"/>
          <w:lang w:eastAsia="ko-KR"/>
        </w:rPr>
        <w:t>and</w:t>
      </w:r>
      <w:r w:rsidR="00036603">
        <w:rPr>
          <w:rFonts w:eastAsiaTheme="minorEastAsia"/>
          <w:lang w:val="id-ID" w:eastAsia="ko-KR"/>
        </w:rPr>
        <w:t xml:space="preserve"> </w:t>
      </w:r>
      <w:r w:rsidRPr="004C6145">
        <w:rPr>
          <w:rFonts w:eastAsiaTheme="minorEastAsia"/>
          <w:lang w:eastAsia="ko-KR"/>
        </w:rPr>
        <w:t>that the practicability for harmonization of any frequency bands for narrowband or broadband machine-type communication shall be justified taking into account features and prospects of the introduction of such systems both within IMT and non-IMT technologies.</w:t>
      </w:r>
    </w:p>
    <w:p w14:paraId="1186A27C" w14:textId="77777777" w:rsidR="000B7ABD" w:rsidRPr="00441526" w:rsidRDefault="000B7ABD" w:rsidP="006B73CA">
      <w:pPr>
        <w:rPr>
          <w:lang w:val="en-NZ"/>
        </w:rPr>
      </w:pPr>
    </w:p>
    <w:p w14:paraId="01D332B1" w14:textId="77777777" w:rsidR="006B73CA" w:rsidRPr="00441526" w:rsidRDefault="006B73CA" w:rsidP="006B73C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59B1B44F" w14:textId="38318704" w:rsidR="00167517" w:rsidRPr="00441526" w:rsidRDefault="000D06A6" w:rsidP="00167517">
      <w:pPr>
        <w:spacing w:after="120"/>
        <w:jc w:val="both"/>
        <w:rPr>
          <w:b/>
          <w:lang w:val="en-NZ" w:eastAsia="ko-KR"/>
        </w:rPr>
      </w:pPr>
      <w:r>
        <w:rPr>
          <w:b/>
          <w:lang w:val="en-NZ" w:eastAsia="ko-KR"/>
        </w:rPr>
        <w:t>7</w:t>
      </w:r>
      <w:r w:rsidR="00167517" w:rsidRPr="00441526">
        <w:rPr>
          <w:b/>
          <w:lang w:val="en-NZ" w:eastAsia="ko-KR"/>
        </w:rPr>
        <w:t xml:space="preserve">.2.1 </w:t>
      </w:r>
      <w:r w:rsidR="00167517" w:rsidRPr="00441526">
        <w:rPr>
          <w:b/>
          <w:lang w:val="en-NZ" w:eastAsia="ko-KR"/>
        </w:rPr>
        <w:tab/>
        <w:t xml:space="preserve">IARU </w:t>
      </w:r>
      <w:r w:rsidR="00167517" w:rsidRPr="00441526">
        <w:t xml:space="preserve">- </w:t>
      </w:r>
      <w:r w:rsidR="00167517" w:rsidRPr="00441526">
        <w:rPr>
          <w:b/>
          <w:lang w:val="en-NZ" w:eastAsia="ko-KR"/>
        </w:rPr>
        <w:t xml:space="preserve">Document </w:t>
      </w:r>
      <w:hyperlink r:id="rId32" w:history="1">
        <w:r w:rsidR="00E1317F" w:rsidRPr="00E1317F">
          <w:rPr>
            <w:rStyle w:val="Hyperlink"/>
            <w:b/>
            <w:lang w:val="en-NZ" w:eastAsia="ko-KR"/>
          </w:rPr>
          <w:t>APG19-3/INF-09</w:t>
        </w:r>
      </w:hyperlink>
    </w:p>
    <w:p w14:paraId="0997ED4E" w14:textId="0D270612" w:rsidR="00167517" w:rsidRPr="00441526" w:rsidRDefault="00E1317F" w:rsidP="00811D8F">
      <w:pPr>
        <w:spacing w:after="120"/>
        <w:ind w:right="119"/>
        <w:jc w:val="both"/>
        <w:rPr>
          <w:lang w:val="en-NZ"/>
        </w:rPr>
      </w:pPr>
      <w:r w:rsidRPr="00E1317F">
        <w:rPr>
          <w:lang w:val="en-NZ"/>
        </w:rPr>
        <w:t xml:space="preserve">The IARU </w:t>
      </w:r>
      <w:r w:rsidRPr="00E1317F">
        <w:rPr>
          <w:rFonts w:eastAsiaTheme="minorEastAsia"/>
          <w:lang w:eastAsia="ko-KR"/>
        </w:rPr>
        <w:t>supports</w:t>
      </w:r>
      <w:r w:rsidRPr="00E1317F">
        <w:rPr>
          <w:lang w:val="en-NZ"/>
        </w:rPr>
        <w:t xml:space="preserve"> the use of spectrum efficient technologies for MTC within the spectrum identified for IMT.</w:t>
      </w:r>
    </w:p>
    <w:p w14:paraId="24778834" w14:textId="38007711" w:rsidR="00167517" w:rsidRPr="00441526" w:rsidRDefault="000D06A6" w:rsidP="00167517">
      <w:pPr>
        <w:spacing w:after="120"/>
        <w:jc w:val="both"/>
        <w:rPr>
          <w:b/>
          <w:lang w:val="en-NZ" w:eastAsia="ko-KR"/>
        </w:rPr>
      </w:pPr>
      <w:r>
        <w:rPr>
          <w:b/>
          <w:lang w:val="en-NZ" w:eastAsia="ko-KR"/>
        </w:rPr>
        <w:t>7</w:t>
      </w:r>
      <w:r w:rsidR="00167517" w:rsidRPr="00441526">
        <w:rPr>
          <w:b/>
          <w:lang w:val="en-NZ" w:eastAsia="ko-KR"/>
        </w:rPr>
        <w:t xml:space="preserve">.2.2 </w:t>
      </w:r>
      <w:r w:rsidR="00167517" w:rsidRPr="00441526">
        <w:rPr>
          <w:b/>
          <w:lang w:val="en-NZ" w:eastAsia="ko-KR"/>
        </w:rPr>
        <w:tab/>
        <w:t xml:space="preserve">ICAO </w:t>
      </w:r>
    </w:p>
    <w:p w14:paraId="18B0F594" w14:textId="27429974" w:rsidR="00167517" w:rsidRPr="00441526" w:rsidRDefault="004B7705" w:rsidP="00167517">
      <w:pPr>
        <w:numPr>
          <w:ilvl w:val="0"/>
          <w:numId w:val="14"/>
        </w:numPr>
        <w:ind w:leftChars="145" w:left="708"/>
        <w:rPr>
          <w:lang w:val="en-NZ"/>
        </w:rPr>
      </w:pPr>
      <w:r>
        <w:rPr>
          <w:lang w:val="id-ID"/>
        </w:rPr>
        <w:t>None (</w:t>
      </w:r>
      <w:r w:rsidR="00B03BD9" w:rsidRPr="00B03BD9">
        <w:rPr>
          <w:lang w:val="id-ID"/>
        </w:rPr>
        <w:t>https://www.icao.int/Pages/default.aspx</w:t>
      </w:r>
      <w:r>
        <w:rPr>
          <w:lang w:val="id-ID"/>
        </w:rPr>
        <w:t>)</w:t>
      </w:r>
    </w:p>
    <w:p w14:paraId="40695FD3" w14:textId="77777777" w:rsidR="00167517" w:rsidRDefault="00167517" w:rsidP="003F0AC4">
      <w:pPr>
        <w:rPr>
          <w:color w:val="FF0000"/>
          <w:lang w:val="en-NZ"/>
        </w:rPr>
      </w:pPr>
    </w:p>
    <w:p w14:paraId="1967BFC2" w14:textId="77777777" w:rsidR="008A0C35" w:rsidRPr="008A0C35" w:rsidRDefault="008A0C35" w:rsidP="005566B4">
      <w:pPr>
        <w:spacing w:after="120"/>
        <w:jc w:val="both"/>
        <w:rPr>
          <w:lang w:val="en-NZ" w:eastAsia="ko-KR"/>
        </w:rPr>
      </w:pPr>
    </w:p>
    <w:p w14:paraId="4452E336" w14:textId="09FA6B9B" w:rsidR="00DA7595" w:rsidRDefault="00C357AD" w:rsidP="00434B0E">
      <w:pPr>
        <w:jc w:val="center"/>
      </w:pPr>
      <w:r w:rsidRPr="004A2673">
        <w:t>____________</w:t>
      </w:r>
    </w:p>
    <w:p w14:paraId="62706A49" w14:textId="77777777" w:rsidR="00D54FF0" w:rsidRPr="004A2673" w:rsidRDefault="00D54FF0" w:rsidP="00434B0E">
      <w:pPr>
        <w:jc w:val="center"/>
        <w:rPr>
          <w:snapToGrid w:val="0"/>
        </w:rPr>
      </w:pPr>
    </w:p>
    <w:sectPr w:rsidR="00D54FF0" w:rsidRPr="004A2673" w:rsidSect="001C17C2">
      <w:headerReference w:type="default" r:id="rId33"/>
      <w:footerReference w:type="even" r:id="rId34"/>
      <w:footerReference w:type="default" r:id="rId35"/>
      <w:footerReference w:type="first" r:id="rId36"/>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A8EF" w14:textId="77777777" w:rsidR="004B14A8" w:rsidRDefault="004B14A8">
      <w:r>
        <w:separator/>
      </w:r>
    </w:p>
  </w:endnote>
  <w:endnote w:type="continuationSeparator" w:id="0">
    <w:p w14:paraId="0EEF6682" w14:textId="77777777" w:rsidR="004B14A8" w:rsidRDefault="004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CE46" w14:textId="77777777" w:rsidR="005844D7" w:rsidRDefault="005844D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F3AC1" w14:textId="77777777" w:rsidR="005844D7" w:rsidRDefault="005844D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7D5E" w14:textId="050F5132" w:rsidR="005844D7" w:rsidRDefault="00F03405" w:rsidP="00F03405">
    <w:pPr>
      <w:pStyle w:val="Footer"/>
      <w:ind w:right="360"/>
    </w:pPr>
    <w:r>
      <w:rPr>
        <w:rFonts w:hint="eastAsia"/>
        <w:lang w:eastAsia="ko-KR"/>
      </w:rPr>
      <w:t>A</w:t>
    </w:r>
    <w:r>
      <w:rPr>
        <w:lang w:eastAsia="ko-KR"/>
      </w:rPr>
      <w:t>PG19-3</w:t>
    </w:r>
    <w:r>
      <w:rPr>
        <w:rFonts w:hint="eastAsia"/>
        <w:lang w:eastAsia="ko-KR"/>
      </w:rPr>
      <w:t>/</w:t>
    </w:r>
    <w:r w:rsidR="00B75530">
      <w:rPr>
        <w:lang w:eastAsia="ko-KR"/>
      </w:rPr>
      <w:t>OUT-12</w:t>
    </w:r>
    <w:r>
      <w:rPr>
        <w:lang w:eastAsia="ko-KR"/>
      </w:rPr>
      <w:tab/>
    </w:r>
    <w:r>
      <w:rPr>
        <w:lang w:eastAsia="ko-KR"/>
      </w:rPr>
      <w:tab/>
    </w:r>
    <w:r w:rsidR="005844D7" w:rsidRPr="002C7EA9">
      <w:rPr>
        <w:rStyle w:val="PageNumber"/>
      </w:rPr>
      <w:t xml:space="preserve">Page </w:t>
    </w:r>
    <w:r w:rsidR="005844D7" w:rsidRPr="002C7EA9">
      <w:rPr>
        <w:rStyle w:val="PageNumber"/>
      </w:rPr>
      <w:fldChar w:fldCharType="begin"/>
    </w:r>
    <w:r w:rsidR="005844D7" w:rsidRPr="002C7EA9">
      <w:rPr>
        <w:rStyle w:val="PageNumber"/>
      </w:rPr>
      <w:instrText xml:space="preserve"> PAGE </w:instrText>
    </w:r>
    <w:r w:rsidR="005844D7" w:rsidRPr="002C7EA9">
      <w:rPr>
        <w:rStyle w:val="PageNumber"/>
      </w:rPr>
      <w:fldChar w:fldCharType="separate"/>
    </w:r>
    <w:r w:rsidR="00041809">
      <w:rPr>
        <w:rStyle w:val="PageNumber"/>
        <w:noProof/>
      </w:rPr>
      <w:t>5</w:t>
    </w:r>
    <w:r w:rsidR="005844D7" w:rsidRPr="002C7EA9">
      <w:rPr>
        <w:rStyle w:val="PageNumber"/>
      </w:rPr>
      <w:fldChar w:fldCharType="end"/>
    </w:r>
    <w:r w:rsidR="005844D7" w:rsidRPr="002C7EA9">
      <w:rPr>
        <w:rStyle w:val="PageNumber"/>
      </w:rPr>
      <w:t xml:space="preserve"> of </w:t>
    </w:r>
    <w:r w:rsidR="005844D7" w:rsidRPr="002C7EA9">
      <w:rPr>
        <w:rStyle w:val="PageNumber"/>
      </w:rPr>
      <w:fldChar w:fldCharType="begin"/>
    </w:r>
    <w:r w:rsidR="005844D7" w:rsidRPr="002C7EA9">
      <w:rPr>
        <w:rStyle w:val="PageNumber"/>
      </w:rPr>
      <w:instrText xml:space="preserve"> NUMPAGES </w:instrText>
    </w:r>
    <w:r w:rsidR="005844D7" w:rsidRPr="002C7EA9">
      <w:rPr>
        <w:rStyle w:val="PageNumber"/>
      </w:rPr>
      <w:fldChar w:fldCharType="separate"/>
    </w:r>
    <w:r w:rsidR="00041809">
      <w:rPr>
        <w:rStyle w:val="PageNumber"/>
        <w:noProof/>
      </w:rPr>
      <w:t>5</w:t>
    </w:r>
    <w:r w:rsidR="005844D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850"/>
      <w:gridCol w:w="4214"/>
    </w:tblGrid>
    <w:tr w:rsidR="00041809" w:rsidRPr="00041809" w14:paraId="66D84E01" w14:textId="77777777" w:rsidTr="001250D0">
      <w:trPr>
        <w:trHeight w:val="432"/>
      </w:trPr>
      <w:tc>
        <w:tcPr>
          <w:tcW w:w="1296" w:type="dxa"/>
          <w:tcBorders>
            <w:top w:val="single" w:sz="8" w:space="0" w:color="auto"/>
            <w:bottom w:val="nil"/>
            <w:right w:val="nil"/>
          </w:tcBorders>
        </w:tcPr>
        <w:p w14:paraId="2C285568" w14:textId="77777777" w:rsidR="00041809" w:rsidRPr="00041809" w:rsidRDefault="00041809" w:rsidP="00041809">
          <w:pPr>
            <w:rPr>
              <w:sz w:val="16"/>
              <w:szCs w:val="16"/>
            </w:rPr>
          </w:pPr>
          <w:r w:rsidRPr="00041809">
            <w:rPr>
              <w:b/>
              <w:bCs/>
            </w:rPr>
            <w:t>Contact:</w:t>
          </w:r>
        </w:p>
      </w:tc>
      <w:tc>
        <w:tcPr>
          <w:tcW w:w="3850" w:type="dxa"/>
          <w:tcBorders>
            <w:top w:val="single" w:sz="8" w:space="0" w:color="auto"/>
            <w:left w:val="nil"/>
            <w:bottom w:val="nil"/>
            <w:right w:val="nil"/>
          </w:tcBorders>
        </w:tcPr>
        <w:p w14:paraId="22615352" w14:textId="77777777" w:rsidR="00041809" w:rsidRPr="00041809" w:rsidRDefault="00041809" w:rsidP="00041809">
          <w:pPr>
            <w:rPr>
              <w:rFonts w:eastAsia="MS Mincho"/>
              <w:lang w:eastAsia="ja-JP"/>
            </w:rPr>
          </w:pPr>
          <w:r w:rsidRPr="00041809">
            <w:rPr>
              <w:rFonts w:eastAsia="MS Mincho"/>
              <w:lang w:eastAsia="ja-JP"/>
            </w:rPr>
            <w:t>DR. KYUNG-MEE KIM</w:t>
          </w:r>
        </w:p>
        <w:p w14:paraId="0AC630C8" w14:textId="77777777" w:rsidR="00041809" w:rsidRPr="00041809" w:rsidRDefault="00041809" w:rsidP="00041809">
          <w:pPr>
            <w:rPr>
              <w:rFonts w:eastAsia="MS Mincho"/>
              <w:lang w:eastAsia="ja-JP"/>
            </w:rPr>
          </w:pPr>
          <w:r w:rsidRPr="00041809">
            <w:t>Chairman, WP 2</w:t>
          </w:r>
        </w:p>
      </w:tc>
      <w:tc>
        <w:tcPr>
          <w:tcW w:w="4214" w:type="dxa"/>
          <w:tcBorders>
            <w:top w:val="single" w:sz="8" w:space="0" w:color="auto"/>
            <w:left w:val="nil"/>
            <w:bottom w:val="nil"/>
          </w:tcBorders>
        </w:tcPr>
        <w:p w14:paraId="704A20C6" w14:textId="77777777" w:rsidR="00041809" w:rsidRPr="00041809" w:rsidRDefault="00041809" w:rsidP="00041809">
          <w:pPr>
            <w:rPr>
              <w:rFonts w:eastAsia="MS Mincho"/>
              <w:lang w:eastAsia="ja-JP"/>
            </w:rPr>
          </w:pPr>
          <w:r w:rsidRPr="00041809">
            <w:t>E-mail:</w:t>
          </w:r>
          <w:r w:rsidRPr="00041809">
            <w:rPr>
              <w:rFonts w:eastAsia="MS Mincho" w:hint="eastAsia"/>
              <w:lang w:eastAsia="ja-JP"/>
            </w:rPr>
            <w:t xml:space="preserve"> </w:t>
          </w:r>
          <w:hyperlink r:id="rId1" w:history="1">
            <w:r w:rsidRPr="00041809">
              <w:rPr>
                <w:rFonts w:eastAsia="MS Mincho"/>
                <w:color w:val="0000FF" w:themeColor="hyperlink"/>
                <w:u w:val="single"/>
                <w:lang w:eastAsia="ja-JP"/>
              </w:rPr>
              <w:t>kyungmee5@korea.kr</w:t>
            </w:r>
          </w:hyperlink>
          <w:r w:rsidRPr="00041809">
            <w:rPr>
              <w:rFonts w:eastAsia="MS Mincho"/>
              <w:lang w:eastAsia="ja-JP"/>
            </w:rPr>
            <w:t xml:space="preserve"> </w:t>
          </w:r>
        </w:p>
      </w:tc>
    </w:tr>
  </w:tbl>
  <w:p w14:paraId="281D78E1" w14:textId="77777777" w:rsidR="00041809" w:rsidRDefault="0004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B4B8" w14:textId="77777777" w:rsidR="004B14A8" w:rsidRDefault="004B14A8">
      <w:r>
        <w:separator/>
      </w:r>
    </w:p>
  </w:footnote>
  <w:footnote w:type="continuationSeparator" w:id="0">
    <w:p w14:paraId="17C5D742" w14:textId="77777777" w:rsidR="004B14A8" w:rsidRDefault="004B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484D" w14:textId="1DD42E25" w:rsidR="005844D7" w:rsidRDefault="005844D7" w:rsidP="00C15633">
    <w:pPr>
      <w:pStyle w:val="Header"/>
      <w:tabs>
        <w:tab w:val="center" w:pos="4763"/>
        <w:tab w:val="left" w:pos="5820"/>
      </w:tabs>
      <w:rPr>
        <w:lang w:eastAsia="ko-KR"/>
      </w:rPr>
    </w:pPr>
    <w:r>
      <w:rPr>
        <w:lang w:eastAsia="ko-KR"/>
      </w:rPr>
      <w:tab/>
    </w:r>
  </w:p>
  <w:p w14:paraId="6DA88178" w14:textId="77777777" w:rsidR="005844D7" w:rsidRDefault="005844D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833"/>
    <w:multiLevelType w:val="hybridMultilevel"/>
    <w:tmpl w:val="67B8546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B893C86"/>
    <w:multiLevelType w:val="hybridMultilevel"/>
    <w:tmpl w:val="5AD0381A"/>
    <w:lvl w:ilvl="0" w:tplc="46C66BEA">
      <w:numFmt w:val="bullet"/>
      <w:lvlText w:val="-"/>
      <w:lvlJc w:val="left"/>
      <w:pPr>
        <w:ind w:left="720" w:hanging="360"/>
      </w:pPr>
      <w:rPr>
        <w:rFonts w:ascii="Times New Roman" w:eastAsia="BatangChe"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37BB"/>
    <w:multiLevelType w:val="hybridMultilevel"/>
    <w:tmpl w:val="A462B94E"/>
    <w:lvl w:ilvl="0" w:tplc="11681526">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C76B3F"/>
    <w:multiLevelType w:val="hybridMultilevel"/>
    <w:tmpl w:val="3C6415BC"/>
    <w:lvl w:ilvl="0" w:tplc="262810F8">
      <w:start w:val="1"/>
      <w:numFmt w:val="bullet"/>
      <w:lvlText w:val="•"/>
      <w:lvlJc w:val="left"/>
      <w:pPr>
        <w:tabs>
          <w:tab w:val="num" w:pos="720"/>
        </w:tabs>
        <w:ind w:left="720" w:hanging="360"/>
      </w:pPr>
      <w:rPr>
        <w:rFonts w:ascii="Arial" w:hAnsi="Arial" w:hint="default"/>
      </w:rPr>
    </w:lvl>
    <w:lvl w:ilvl="1" w:tplc="7A02FB40">
      <w:numFmt w:val="bullet"/>
      <w:lvlText w:val="o"/>
      <w:lvlJc w:val="left"/>
      <w:pPr>
        <w:tabs>
          <w:tab w:val="num" w:pos="1440"/>
        </w:tabs>
        <w:ind w:left="1440" w:hanging="360"/>
      </w:pPr>
      <w:rPr>
        <w:rFonts w:ascii="Courier New" w:hAnsi="Courier New" w:hint="default"/>
      </w:rPr>
    </w:lvl>
    <w:lvl w:ilvl="2" w:tplc="8F9E3E74" w:tentative="1">
      <w:start w:val="1"/>
      <w:numFmt w:val="bullet"/>
      <w:lvlText w:val="•"/>
      <w:lvlJc w:val="left"/>
      <w:pPr>
        <w:tabs>
          <w:tab w:val="num" w:pos="2160"/>
        </w:tabs>
        <w:ind w:left="2160" w:hanging="360"/>
      </w:pPr>
      <w:rPr>
        <w:rFonts w:ascii="Arial" w:hAnsi="Arial" w:hint="default"/>
      </w:rPr>
    </w:lvl>
    <w:lvl w:ilvl="3" w:tplc="3C06296E" w:tentative="1">
      <w:start w:val="1"/>
      <w:numFmt w:val="bullet"/>
      <w:lvlText w:val="•"/>
      <w:lvlJc w:val="left"/>
      <w:pPr>
        <w:tabs>
          <w:tab w:val="num" w:pos="2880"/>
        </w:tabs>
        <w:ind w:left="2880" w:hanging="360"/>
      </w:pPr>
      <w:rPr>
        <w:rFonts w:ascii="Arial" w:hAnsi="Arial" w:hint="default"/>
      </w:rPr>
    </w:lvl>
    <w:lvl w:ilvl="4" w:tplc="AC663922" w:tentative="1">
      <w:start w:val="1"/>
      <w:numFmt w:val="bullet"/>
      <w:lvlText w:val="•"/>
      <w:lvlJc w:val="left"/>
      <w:pPr>
        <w:tabs>
          <w:tab w:val="num" w:pos="3600"/>
        </w:tabs>
        <w:ind w:left="3600" w:hanging="360"/>
      </w:pPr>
      <w:rPr>
        <w:rFonts w:ascii="Arial" w:hAnsi="Arial" w:hint="default"/>
      </w:rPr>
    </w:lvl>
    <w:lvl w:ilvl="5" w:tplc="4886D1C4" w:tentative="1">
      <w:start w:val="1"/>
      <w:numFmt w:val="bullet"/>
      <w:lvlText w:val="•"/>
      <w:lvlJc w:val="left"/>
      <w:pPr>
        <w:tabs>
          <w:tab w:val="num" w:pos="4320"/>
        </w:tabs>
        <w:ind w:left="4320" w:hanging="360"/>
      </w:pPr>
      <w:rPr>
        <w:rFonts w:ascii="Arial" w:hAnsi="Arial" w:hint="default"/>
      </w:rPr>
    </w:lvl>
    <w:lvl w:ilvl="6" w:tplc="D4E28014" w:tentative="1">
      <w:start w:val="1"/>
      <w:numFmt w:val="bullet"/>
      <w:lvlText w:val="•"/>
      <w:lvlJc w:val="left"/>
      <w:pPr>
        <w:tabs>
          <w:tab w:val="num" w:pos="5040"/>
        </w:tabs>
        <w:ind w:left="5040" w:hanging="360"/>
      </w:pPr>
      <w:rPr>
        <w:rFonts w:ascii="Arial" w:hAnsi="Arial" w:hint="default"/>
      </w:rPr>
    </w:lvl>
    <w:lvl w:ilvl="7" w:tplc="1F4861AC" w:tentative="1">
      <w:start w:val="1"/>
      <w:numFmt w:val="bullet"/>
      <w:lvlText w:val="•"/>
      <w:lvlJc w:val="left"/>
      <w:pPr>
        <w:tabs>
          <w:tab w:val="num" w:pos="5760"/>
        </w:tabs>
        <w:ind w:left="5760" w:hanging="360"/>
      </w:pPr>
      <w:rPr>
        <w:rFonts w:ascii="Arial" w:hAnsi="Arial" w:hint="default"/>
      </w:rPr>
    </w:lvl>
    <w:lvl w:ilvl="8" w:tplc="985698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80072"/>
    <w:multiLevelType w:val="multilevel"/>
    <w:tmpl w:val="919239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F5D19"/>
    <w:multiLevelType w:val="hybridMultilevel"/>
    <w:tmpl w:val="A11C2982"/>
    <w:lvl w:ilvl="0" w:tplc="07629780">
      <w:start w:val="1"/>
      <w:numFmt w:val="bullet"/>
      <w:lvlText w:val="-"/>
      <w:lvlJc w:val="left"/>
      <w:pPr>
        <w:ind w:left="1200" w:hanging="400"/>
      </w:pPr>
      <w:rPr>
        <w:rFonts w:ascii="Sylfaen" w:hAnsi="Sylfaen" w:hint="default"/>
        <w:color w:val="auto"/>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1BA96BAD"/>
    <w:multiLevelType w:val="hybridMultilevel"/>
    <w:tmpl w:val="332CA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36C26C1"/>
    <w:multiLevelType w:val="hybridMultilevel"/>
    <w:tmpl w:val="0672A3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6FE14BD"/>
    <w:multiLevelType w:val="hybridMultilevel"/>
    <w:tmpl w:val="0FE4FAB2"/>
    <w:lvl w:ilvl="0" w:tplc="39D05526">
      <w:start w:val="2"/>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3" w15:restartNumberingAfterBreak="0">
    <w:nsid w:val="28383807"/>
    <w:multiLevelType w:val="hybridMultilevel"/>
    <w:tmpl w:val="A8CABCF6"/>
    <w:lvl w:ilvl="0" w:tplc="999A4074">
      <w:start w:val="1"/>
      <w:numFmt w:val="decimal"/>
      <w:lvlText w:val="%1."/>
      <w:lvlJc w:val="left"/>
      <w:pPr>
        <w:ind w:left="360" w:hanging="360"/>
      </w:pPr>
      <w:rPr>
        <w:rFonts w:ascii="Times New Roman" w:eastAsiaTheme="minorEastAsia" w:hAnsi="Times New Roman" w:cs="Times New Roman"/>
      </w:rPr>
    </w:lvl>
    <w:lvl w:ilvl="1" w:tplc="04090019" w:tentative="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upp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C4748"/>
    <w:multiLevelType w:val="hybridMultilevel"/>
    <w:tmpl w:val="8EC20D8A"/>
    <w:lvl w:ilvl="0" w:tplc="11681526">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34E0C"/>
    <w:multiLevelType w:val="hybridMultilevel"/>
    <w:tmpl w:val="B07AEEBE"/>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87CF4"/>
    <w:multiLevelType w:val="hybridMultilevel"/>
    <w:tmpl w:val="F3906AE8"/>
    <w:lvl w:ilvl="0" w:tplc="11681526">
      <w:start w:val="1"/>
      <w:numFmt w:val="bullet"/>
      <w:lvlText w:val="-"/>
      <w:lvlJc w:val="left"/>
      <w:pPr>
        <w:ind w:left="360" w:hanging="360"/>
      </w:pPr>
      <w:rPr>
        <w:rFonts w:ascii="MS Gothic" w:eastAsia="MS Gothic" w:hAnsi="MS Gothic"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56E7088"/>
    <w:multiLevelType w:val="hybridMultilevel"/>
    <w:tmpl w:val="EDEAB050"/>
    <w:lvl w:ilvl="0" w:tplc="B6DC9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8217804"/>
    <w:multiLevelType w:val="hybridMultilevel"/>
    <w:tmpl w:val="FBA20C88"/>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18501B"/>
    <w:multiLevelType w:val="hybridMultilevel"/>
    <w:tmpl w:val="935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4" w15:restartNumberingAfterBreak="0">
    <w:nsid w:val="47D15F46"/>
    <w:multiLevelType w:val="hybridMultilevel"/>
    <w:tmpl w:val="761C70CC"/>
    <w:lvl w:ilvl="0" w:tplc="E6608082">
      <w:start w:val="2"/>
      <w:numFmt w:val="decimal"/>
      <w:lvlText w:val="%1."/>
      <w:lvlJc w:val="left"/>
      <w:pPr>
        <w:tabs>
          <w:tab w:val="num" w:pos="720"/>
        </w:tabs>
        <w:ind w:left="720" w:hanging="360"/>
      </w:pPr>
    </w:lvl>
    <w:lvl w:ilvl="1" w:tplc="84DA318E" w:tentative="1">
      <w:start w:val="1"/>
      <w:numFmt w:val="decimal"/>
      <w:lvlText w:val="%2."/>
      <w:lvlJc w:val="left"/>
      <w:pPr>
        <w:tabs>
          <w:tab w:val="num" w:pos="1440"/>
        </w:tabs>
        <w:ind w:left="1440" w:hanging="360"/>
      </w:pPr>
    </w:lvl>
    <w:lvl w:ilvl="2" w:tplc="6B06336A" w:tentative="1">
      <w:start w:val="1"/>
      <w:numFmt w:val="decimal"/>
      <w:lvlText w:val="%3."/>
      <w:lvlJc w:val="left"/>
      <w:pPr>
        <w:tabs>
          <w:tab w:val="num" w:pos="2160"/>
        </w:tabs>
        <w:ind w:left="2160" w:hanging="360"/>
      </w:pPr>
    </w:lvl>
    <w:lvl w:ilvl="3" w:tplc="D5BAC2EE" w:tentative="1">
      <w:start w:val="1"/>
      <w:numFmt w:val="decimal"/>
      <w:lvlText w:val="%4."/>
      <w:lvlJc w:val="left"/>
      <w:pPr>
        <w:tabs>
          <w:tab w:val="num" w:pos="2880"/>
        </w:tabs>
        <w:ind w:left="2880" w:hanging="360"/>
      </w:pPr>
    </w:lvl>
    <w:lvl w:ilvl="4" w:tplc="A1BC3B3A" w:tentative="1">
      <w:start w:val="1"/>
      <w:numFmt w:val="decimal"/>
      <w:lvlText w:val="%5."/>
      <w:lvlJc w:val="left"/>
      <w:pPr>
        <w:tabs>
          <w:tab w:val="num" w:pos="3600"/>
        </w:tabs>
        <w:ind w:left="3600" w:hanging="360"/>
      </w:pPr>
    </w:lvl>
    <w:lvl w:ilvl="5" w:tplc="B4827680" w:tentative="1">
      <w:start w:val="1"/>
      <w:numFmt w:val="decimal"/>
      <w:lvlText w:val="%6."/>
      <w:lvlJc w:val="left"/>
      <w:pPr>
        <w:tabs>
          <w:tab w:val="num" w:pos="4320"/>
        </w:tabs>
        <w:ind w:left="4320" w:hanging="360"/>
      </w:pPr>
    </w:lvl>
    <w:lvl w:ilvl="6" w:tplc="A50EA73C" w:tentative="1">
      <w:start w:val="1"/>
      <w:numFmt w:val="decimal"/>
      <w:lvlText w:val="%7."/>
      <w:lvlJc w:val="left"/>
      <w:pPr>
        <w:tabs>
          <w:tab w:val="num" w:pos="5040"/>
        </w:tabs>
        <w:ind w:left="5040" w:hanging="360"/>
      </w:pPr>
    </w:lvl>
    <w:lvl w:ilvl="7" w:tplc="42C297FA" w:tentative="1">
      <w:start w:val="1"/>
      <w:numFmt w:val="decimal"/>
      <w:lvlText w:val="%8."/>
      <w:lvlJc w:val="left"/>
      <w:pPr>
        <w:tabs>
          <w:tab w:val="num" w:pos="5760"/>
        </w:tabs>
        <w:ind w:left="5760" w:hanging="360"/>
      </w:pPr>
    </w:lvl>
    <w:lvl w:ilvl="8" w:tplc="C2F6CB36" w:tentative="1">
      <w:start w:val="1"/>
      <w:numFmt w:val="decimal"/>
      <w:lvlText w:val="%9."/>
      <w:lvlJc w:val="left"/>
      <w:pPr>
        <w:tabs>
          <w:tab w:val="num" w:pos="6480"/>
        </w:tabs>
        <w:ind w:left="6480" w:hanging="360"/>
      </w:pPr>
    </w:lvl>
  </w:abstractNum>
  <w:abstractNum w:abstractNumId="25" w15:restartNumberingAfterBreak="0">
    <w:nsid w:val="4B3D3824"/>
    <w:multiLevelType w:val="hybridMultilevel"/>
    <w:tmpl w:val="29C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E1EF1"/>
    <w:multiLevelType w:val="multilevel"/>
    <w:tmpl w:val="58CE1EF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62F22008"/>
    <w:multiLevelType w:val="hybridMultilevel"/>
    <w:tmpl w:val="1C5A0D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69D70A4"/>
    <w:multiLevelType w:val="hybridMultilevel"/>
    <w:tmpl w:val="104818E0"/>
    <w:lvl w:ilvl="0" w:tplc="A232EABA">
      <w:start w:val="1"/>
      <w:numFmt w:val="bullet"/>
      <w:lvlText w:val=""/>
      <w:lvlJc w:val="left"/>
      <w:pPr>
        <w:tabs>
          <w:tab w:val="num" w:pos="720"/>
        </w:tabs>
        <w:ind w:left="720" w:hanging="360"/>
      </w:pPr>
      <w:rPr>
        <w:rFonts w:ascii="Wingdings 2" w:hAnsi="Wingdings 2" w:hint="default"/>
      </w:rPr>
    </w:lvl>
    <w:lvl w:ilvl="1" w:tplc="7E0E80FA" w:tentative="1">
      <w:start w:val="1"/>
      <w:numFmt w:val="bullet"/>
      <w:lvlText w:val=""/>
      <w:lvlJc w:val="left"/>
      <w:pPr>
        <w:tabs>
          <w:tab w:val="num" w:pos="1440"/>
        </w:tabs>
        <w:ind w:left="1440" w:hanging="360"/>
      </w:pPr>
      <w:rPr>
        <w:rFonts w:ascii="Wingdings 2" w:hAnsi="Wingdings 2" w:hint="default"/>
      </w:rPr>
    </w:lvl>
    <w:lvl w:ilvl="2" w:tplc="718A1880" w:tentative="1">
      <w:start w:val="1"/>
      <w:numFmt w:val="bullet"/>
      <w:lvlText w:val=""/>
      <w:lvlJc w:val="left"/>
      <w:pPr>
        <w:tabs>
          <w:tab w:val="num" w:pos="2160"/>
        </w:tabs>
        <w:ind w:left="2160" w:hanging="360"/>
      </w:pPr>
      <w:rPr>
        <w:rFonts w:ascii="Wingdings 2" w:hAnsi="Wingdings 2" w:hint="default"/>
      </w:rPr>
    </w:lvl>
    <w:lvl w:ilvl="3" w:tplc="64882FF6" w:tentative="1">
      <w:start w:val="1"/>
      <w:numFmt w:val="bullet"/>
      <w:lvlText w:val=""/>
      <w:lvlJc w:val="left"/>
      <w:pPr>
        <w:tabs>
          <w:tab w:val="num" w:pos="2880"/>
        </w:tabs>
        <w:ind w:left="2880" w:hanging="360"/>
      </w:pPr>
      <w:rPr>
        <w:rFonts w:ascii="Wingdings 2" w:hAnsi="Wingdings 2" w:hint="default"/>
      </w:rPr>
    </w:lvl>
    <w:lvl w:ilvl="4" w:tplc="36827BE6" w:tentative="1">
      <w:start w:val="1"/>
      <w:numFmt w:val="bullet"/>
      <w:lvlText w:val=""/>
      <w:lvlJc w:val="left"/>
      <w:pPr>
        <w:tabs>
          <w:tab w:val="num" w:pos="3600"/>
        </w:tabs>
        <w:ind w:left="3600" w:hanging="360"/>
      </w:pPr>
      <w:rPr>
        <w:rFonts w:ascii="Wingdings 2" w:hAnsi="Wingdings 2" w:hint="default"/>
      </w:rPr>
    </w:lvl>
    <w:lvl w:ilvl="5" w:tplc="BDD633DA" w:tentative="1">
      <w:start w:val="1"/>
      <w:numFmt w:val="bullet"/>
      <w:lvlText w:val=""/>
      <w:lvlJc w:val="left"/>
      <w:pPr>
        <w:tabs>
          <w:tab w:val="num" w:pos="4320"/>
        </w:tabs>
        <w:ind w:left="4320" w:hanging="360"/>
      </w:pPr>
      <w:rPr>
        <w:rFonts w:ascii="Wingdings 2" w:hAnsi="Wingdings 2" w:hint="default"/>
      </w:rPr>
    </w:lvl>
    <w:lvl w:ilvl="6" w:tplc="81343956" w:tentative="1">
      <w:start w:val="1"/>
      <w:numFmt w:val="bullet"/>
      <w:lvlText w:val=""/>
      <w:lvlJc w:val="left"/>
      <w:pPr>
        <w:tabs>
          <w:tab w:val="num" w:pos="5040"/>
        </w:tabs>
        <w:ind w:left="5040" w:hanging="360"/>
      </w:pPr>
      <w:rPr>
        <w:rFonts w:ascii="Wingdings 2" w:hAnsi="Wingdings 2" w:hint="default"/>
      </w:rPr>
    </w:lvl>
    <w:lvl w:ilvl="7" w:tplc="04CEC656" w:tentative="1">
      <w:start w:val="1"/>
      <w:numFmt w:val="bullet"/>
      <w:lvlText w:val=""/>
      <w:lvlJc w:val="left"/>
      <w:pPr>
        <w:tabs>
          <w:tab w:val="num" w:pos="5760"/>
        </w:tabs>
        <w:ind w:left="5760" w:hanging="360"/>
      </w:pPr>
      <w:rPr>
        <w:rFonts w:ascii="Wingdings 2" w:hAnsi="Wingdings 2" w:hint="default"/>
      </w:rPr>
    </w:lvl>
    <w:lvl w:ilvl="8" w:tplc="893E732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FD871D1"/>
    <w:multiLevelType w:val="hybridMultilevel"/>
    <w:tmpl w:val="6BF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1737D"/>
    <w:multiLevelType w:val="hybridMultilevel"/>
    <w:tmpl w:val="ED28C820"/>
    <w:lvl w:ilvl="0" w:tplc="3BD0276E">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D15599"/>
    <w:multiLevelType w:val="hybridMultilevel"/>
    <w:tmpl w:val="FADEC67C"/>
    <w:lvl w:ilvl="0" w:tplc="11681526">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44C513C"/>
    <w:multiLevelType w:val="hybridMultilevel"/>
    <w:tmpl w:val="4A1A3E26"/>
    <w:lvl w:ilvl="0" w:tplc="B6DC9052">
      <w:start w:val="1"/>
      <w:numFmt w:val="bullet"/>
      <w:lvlText w:val=""/>
      <w:lvlJc w:val="left"/>
      <w:pPr>
        <w:ind w:left="1050" w:hanging="420"/>
      </w:pPr>
      <w:rPr>
        <w:rFonts w:ascii="Wingdings" w:hAnsi="Wingdings" w:hint="default"/>
      </w:rPr>
    </w:lvl>
    <w:lvl w:ilvl="1" w:tplc="11681526">
      <w:start w:val="1"/>
      <w:numFmt w:val="bullet"/>
      <w:lvlText w:val="-"/>
      <w:lvlJc w:val="left"/>
      <w:pPr>
        <w:ind w:left="1470" w:hanging="420"/>
      </w:pPr>
      <w:rPr>
        <w:rFonts w:ascii="MS Gothic" w:eastAsia="MS Gothic" w:hAnsi="MS Gothic"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5EE045E"/>
    <w:multiLevelType w:val="hybridMultilevel"/>
    <w:tmpl w:val="74A20C80"/>
    <w:lvl w:ilvl="0" w:tplc="1210446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35393"/>
    <w:multiLevelType w:val="hybridMultilevel"/>
    <w:tmpl w:val="F118A424"/>
    <w:lvl w:ilvl="0" w:tplc="0C09000F">
      <w:start w:val="1"/>
      <w:numFmt w:val="decimal"/>
      <w:lvlText w:val="%1."/>
      <w:lvlJc w:val="left"/>
      <w:pPr>
        <w:ind w:left="720" w:hanging="360"/>
      </w:pPr>
    </w:lvl>
    <w:lvl w:ilvl="1" w:tplc="931ADBA8">
      <w:start w:val="1"/>
      <w:numFmt w:val="bullet"/>
      <w:lvlText w:val="–"/>
      <w:lvlJc w:val="left"/>
      <w:pPr>
        <w:ind w:left="1440" w:hanging="360"/>
      </w:pPr>
      <w:rPr>
        <w:rFonts w:ascii="Calibri" w:eastAsiaTheme="minorEastAs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32"/>
  </w:num>
  <w:num w:numId="5">
    <w:abstractNumId w:val="17"/>
  </w:num>
  <w:num w:numId="6">
    <w:abstractNumId w:val="20"/>
  </w:num>
  <w:num w:numId="7">
    <w:abstractNumId w:val="8"/>
  </w:num>
  <w:num w:numId="8">
    <w:abstractNumId w:val="3"/>
  </w:num>
  <w:num w:numId="9">
    <w:abstractNumId w:val="33"/>
  </w:num>
  <w:num w:numId="10">
    <w:abstractNumId w:val="18"/>
  </w:num>
  <w:num w:numId="11">
    <w:abstractNumId w:val="30"/>
  </w:num>
  <w:num w:numId="12">
    <w:abstractNumId w:val="31"/>
  </w:num>
  <w:num w:numId="13">
    <w:abstractNumId w:val="2"/>
  </w:num>
  <w:num w:numId="14">
    <w:abstractNumId w:val="23"/>
  </w:num>
  <w:num w:numId="15">
    <w:abstractNumId w:val="28"/>
  </w:num>
  <w:num w:numId="16">
    <w:abstractNumId w:val="4"/>
  </w:num>
  <w:num w:numId="17">
    <w:abstractNumId w:val="24"/>
  </w:num>
  <w:num w:numId="18">
    <w:abstractNumId w:val="12"/>
  </w:num>
  <w:num w:numId="19">
    <w:abstractNumId w:val="6"/>
  </w:num>
  <w:num w:numId="20">
    <w:abstractNumId w:val="34"/>
  </w:num>
  <w:num w:numId="21">
    <w:abstractNumId w:val="22"/>
  </w:num>
  <w:num w:numId="22">
    <w:abstractNumId w:val="13"/>
  </w:num>
  <w:num w:numId="23">
    <w:abstractNumId w:val="5"/>
  </w:num>
  <w:num w:numId="24">
    <w:abstractNumId w:val="14"/>
  </w:num>
  <w:num w:numId="25">
    <w:abstractNumId w:val="25"/>
  </w:num>
  <w:num w:numId="26">
    <w:abstractNumId w:val="1"/>
  </w:num>
  <w:num w:numId="27">
    <w:abstractNumId w:val="29"/>
  </w:num>
  <w:num w:numId="28">
    <w:abstractNumId w:val="7"/>
  </w:num>
  <w:num w:numId="29">
    <w:abstractNumId w:val="21"/>
  </w:num>
  <w:num w:numId="30">
    <w:abstractNumId w:val="15"/>
  </w:num>
  <w:num w:numId="31">
    <w:abstractNumId w:val="26"/>
  </w:num>
  <w:num w:numId="32">
    <w:abstractNumId w:val="35"/>
  </w:num>
  <w:num w:numId="33">
    <w:abstractNumId w:val="10"/>
  </w:num>
  <w:num w:numId="34">
    <w:abstractNumId w:val="27"/>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5BD5"/>
    <w:rsid w:val="00010DEB"/>
    <w:rsid w:val="00020E6E"/>
    <w:rsid w:val="000316C5"/>
    <w:rsid w:val="000355CC"/>
    <w:rsid w:val="0003595B"/>
    <w:rsid w:val="00036603"/>
    <w:rsid w:val="00041809"/>
    <w:rsid w:val="00051997"/>
    <w:rsid w:val="00064165"/>
    <w:rsid w:val="00065CE3"/>
    <w:rsid w:val="000672C0"/>
    <w:rsid w:val="00070411"/>
    <w:rsid w:val="000713CF"/>
    <w:rsid w:val="000718C5"/>
    <w:rsid w:val="000746F4"/>
    <w:rsid w:val="000756AE"/>
    <w:rsid w:val="0007788F"/>
    <w:rsid w:val="00085F81"/>
    <w:rsid w:val="00087102"/>
    <w:rsid w:val="000908FB"/>
    <w:rsid w:val="000A0D53"/>
    <w:rsid w:val="000A3DA1"/>
    <w:rsid w:val="000A5418"/>
    <w:rsid w:val="000A70FB"/>
    <w:rsid w:val="000B3B13"/>
    <w:rsid w:val="000B5165"/>
    <w:rsid w:val="000B790B"/>
    <w:rsid w:val="000B7ABD"/>
    <w:rsid w:val="000C7AF3"/>
    <w:rsid w:val="000D06A6"/>
    <w:rsid w:val="000D1978"/>
    <w:rsid w:val="000D48CC"/>
    <w:rsid w:val="000D5DCE"/>
    <w:rsid w:val="000D5FE7"/>
    <w:rsid w:val="000D680F"/>
    <w:rsid w:val="000D7DF6"/>
    <w:rsid w:val="000E2D36"/>
    <w:rsid w:val="000E5B5D"/>
    <w:rsid w:val="000F517C"/>
    <w:rsid w:val="000F5540"/>
    <w:rsid w:val="000F7613"/>
    <w:rsid w:val="001009FE"/>
    <w:rsid w:val="0010382F"/>
    <w:rsid w:val="00105971"/>
    <w:rsid w:val="0011701D"/>
    <w:rsid w:val="00117C85"/>
    <w:rsid w:val="00121473"/>
    <w:rsid w:val="00121F5F"/>
    <w:rsid w:val="00122D80"/>
    <w:rsid w:val="00125807"/>
    <w:rsid w:val="001346CF"/>
    <w:rsid w:val="001406FC"/>
    <w:rsid w:val="00147D45"/>
    <w:rsid w:val="001539DD"/>
    <w:rsid w:val="001655F5"/>
    <w:rsid w:val="00166361"/>
    <w:rsid w:val="00167517"/>
    <w:rsid w:val="00167E5F"/>
    <w:rsid w:val="00182D55"/>
    <w:rsid w:val="001847EF"/>
    <w:rsid w:val="00196568"/>
    <w:rsid w:val="001A09D7"/>
    <w:rsid w:val="001A14CD"/>
    <w:rsid w:val="001A2CF1"/>
    <w:rsid w:val="001A2F16"/>
    <w:rsid w:val="001A312A"/>
    <w:rsid w:val="001A583E"/>
    <w:rsid w:val="001B18C2"/>
    <w:rsid w:val="001B264D"/>
    <w:rsid w:val="001B4F1E"/>
    <w:rsid w:val="001C12C9"/>
    <w:rsid w:val="001C17C2"/>
    <w:rsid w:val="001C610F"/>
    <w:rsid w:val="001D3C02"/>
    <w:rsid w:val="001D41DB"/>
    <w:rsid w:val="001D5D7E"/>
    <w:rsid w:val="001E3485"/>
    <w:rsid w:val="002033D1"/>
    <w:rsid w:val="00205E27"/>
    <w:rsid w:val="00206D6B"/>
    <w:rsid w:val="002106AD"/>
    <w:rsid w:val="0021296C"/>
    <w:rsid w:val="002243C6"/>
    <w:rsid w:val="00224B2A"/>
    <w:rsid w:val="002252AE"/>
    <w:rsid w:val="00226B32"/>
    <w:rsid w:val="00227A68"/>
    <w:rsid w:val="00232092"/>
    <w:rsid w:val="0023607A"/>
    <w:rsid w:val="00240387"/>
    <w:rsid w:val="00244873"/>
    <w:rsid w:val="00246984"/>
    <w:rsid w:val="00252B17"/>
    <w:rsid w:val="00254A1B"/>
    <w:rsid w:val="0025665E"/>
    <w:rsid w:val="0027687A"/>
    <w:rsid w:val="00284075"/>
    <w:rsid w:val="0028454D"/>
    <w:rsid w:val="00284C99"/>
    <w:rsid w:val="0028628F"/>
    <w:rsid w:val="00290ABD"/>
    <w:rsid w:val="00291C9E"/>
    <w:rsid w:val="002926D4"/>
    <w:rsid w:val="002942F7"/>
    <w:rsid w:val="00295D9B"/>
    <w:rsid w:val="002A14B9"/>
    <w:rsid w:val="002B2067"/>
    <w:rsid w:val="002B6CD1"/>
    <w:rsid w:val="002C07DA"/>
    <w:rsid w:val="002C493A"/>
    <w:rsid w:val="002C7EA9"/>
    <w:rsid w:val="002E139F"/>
    <w:rsid w:val="002E1658"/>
    <w:rsid w:val="002F41C9"/>
    <w:rsid w:val="002F6244"/>
    <w:rsid w:val="0030145E"/>
    <w:rsid w:val="00306FB9"/>
    <w:rsid w:val="00311E28"/>
    <w:rsid w:val="00323BFC"/>
    <w:rsid w:val="00325FE5"/>
    <w:rsid w:val="0032612F"/>
    <w:rsid w:val="003264B7"/>
    <w:rsid w:val="00332993"/>
    <w:rsid w:val="00332C65"/>
    <w:rsid w:val="0033616F"/>
    <w:rsid w:val="0033758F"/>
    <w:rsid w:val="00342F20"/>
    <w:rsid w:val="00345E51"/>
    <w:rsid w:val="003471DF"/>
    <w:rsid w:val="0035042A"/>
    <w:rsid w:val="003505B0"/>
    <w:rsid w:val="003577A7"/>
    <w:rsid w:val="003612AB"/>
    <w:rsid w:val="00366C10"/>
    <w:rsid w:val="00370C28"/>
    <w:rsid w:val="00373624"/>
    <w:rsid w:val="0037636D"/>
    <w:rsid w:val="003808BE"/>
    <w:rsid w:val="003809C7"/>
    <w:rsid w:val="00386262"/>
    <w:rsid w:val="0038745F"/>
    <w:rsid w:val="00387999"/>
    <w:rsid w:val="00391C84"/>
    <w:rsid w:val="003956DE"/>
    <w:rsid w:val="003958B0"/>
    <w:rsid w:val="003A195C"/>
    <w:rsid w:val="003A5454"/>
    <w:rsid w:val="003B3446"/>
    <w:rsid w:val="003B427E"/>
    <w:rsid w:val="003B6263"/>
    <w:rsid w:val="003C0D05"/>
    <w:rsid w:val="003C5152"/>
    <w:rsid w:val="003C5B70"/>
    <w:rsid w:val="003C64A7"/>
    <w:rsid w:val="003C7C88"/>
    <w:rsid w:val="003D09B0"/>
    <w:rsid w:val="003D1876"/>
    <w:rsid w:val="003D3070"/>
    <w:rsid w:val="003D3FDA"/>
    <w:rsid w:val="003D4962"/>
    <w:rsid w:val="003D5398"/>
    <w:rsid w:val="003E55A2"/>
    <w:rsid w:val="003F07DB"/>
    <w:rsid w:val="003F0AC4"/>
    <w:rsid w:val="00404753"/>
    <w:rsid w:val="00404F12"/>
    <w:rsid w:val="00406D60"/>
    <w:rsid w:val="00410877"/>
    <w:rsid w:val="0041779A"/>
    <w:rsid w:val="00417C50"/>
    <w:rsid w:val="00420822"/>
    <w:rsid w:val="004305D3"/>
    <w:rsid w:val="004334C5"/>
    <w:rsid w:val="00434B0E"/>
    <w:rsid w:val="00442041"/>
    <w:rsid w:val="004434A6"/>
    <w:rsid w:val="00444E71"/>
    <w:rsid w:val="0045027F"/>
    <w:rsid w:val="0045458F"/>
    <w:rsid w:val="004633B4"/>
    <w:rsid w:val="0046363A"/>
    <w:rsid w:val="00473941"/>
    <w:rsid w:val="00491B81"/>
    <w:rsid w:val="00492336"/>
    <w:rsid w:val="00493D17"/>
    <w:rsid w:val="004954E5"/>
    <w:rsid w:val="004A2673"/>
    <w:rsid w:val="004B14A8"/>
    <w:rsid w:val="004B2010"/>
    <w:rsid w:val="004B3553"/>
    <w:rsid w:val="004B5880"/>
    <w:rsid w:val="004B7705"/>
    <w:rsid w:val="004C1395"/>
    <w:rsid w:val="004C3A2B"/>
    <w:rsid w:val="004C6145"/>
    <w:rsid w:val="004D2761"/>
    <w:rsid w:val="004D453F"/>
    <w:rsid w:val="004E53B7"/>
    <w:rsid w:val="004F0328"/>
    <w:rsid w:val="004F2E51"/>
    <w:rsid w:val="0051114D"/>
    <w:rsid w:val="005123E4"/>
    <w:rsid w:val="00516393"/>
    <w:rsid w:val="00516826"/>
    <w:rsid w:val="0051685B"/>
    <w:rsid w:val="00516C66"/>
    <w:rsid w:val="00530E8C"/>
    <w:rsid w:val="00532D8B"/>
    <w:rsid w:val="005352E0"/>
    <w:rsid w:val="00545933"/>
    <w:rsid w:val="00551CB1"/>
    <w:rsid w:val="00552770"/>
    <w:rsid w:val="00552D53"/>
    <w:rsid w:val="005532CF"/>
    <w:rsid w:val="00554311"/>
    <w:rsid w:val="005565C4"/>
    <w:rsid w:val="005566B4"/>
    <w:rsid w:val="00557544"/>
    <w:rsid w:val="00562A19"/>
    <w:rsid w:val="00566342"/>
    <w:rsid w:val="00566CE6"/>
    <w:rsid w:val="00572E9C"/>
    <w:rsid w:val="005830FF"/>
    <w:rsid w:val="00583D2F"/>
    <w:rsid w:val="005844D7"/>
    <w:rsid w:val="005854EF"/>
    <w:rsid w:val="00587875"/>
    <w:rsid w:val="00591DD6"/>
    <w:rsid w:val="0059365B"/>
    <w:rsid w:val="00593824"/>
    <w:rsid w:val="005945A9"/>
    <w:rsid w:val="00595BF2"/>
    <w:rsid w:val="00596200"/>
    <w:rsid w:val="0059667E"/>
    <w:rsid w:val="005A3A3B"/>
    <w:rsid w:val="005A4744"/>
    <w:rsid w:val="005A7EA8"/>
    <w:rsid w:val="005D0A7A"/>
    <w:rsid w:val="005D233E"/>
    <w:rsid w:val="005D23EF"/>
    <w:rsid w:val="005D2C7B"/>
    <w:rsid w:val="005D36D8"/>
    <w:rsid w:val="005D736D"/>
    <w:rsid w:val="005E428B"/>
    <w:rsid w:val="005E50E0"/>
    <w:rsid w:val="005E7386"/>
    <w:rsid w:val="005F5CC9"/>
    <w:rsid w:val="005F76C9"/>
    <w:rsid w:val="00600F59"/>
    <w:rsid w:val="00601726"/>
    <w:rsid w:val="00604CFB"/>
    <w:rsid w:val="00607E2B"/>
    <w:rsid w:val="006110D7"/>
    <w:rsid w:val="006115D3"/>
    <w:rsid w:val="0061666B"/>
    <w:rsid w:val="006166F1"/>
    <w:rsid w:val="0061721E"/>
    <w:rsid w:val="006203ED"/>
    <w:rsid w:val="00623CE1"/>
    <w:rsid w:val="0062571C"/>
    <w:rsid w:val="0063062B"/>
    <w:rsid w:val="0063667C"/>
    <w:rsid w:val="006421F1"/>
    <w:rsid w:val="00644278"/>
    <w:rsid w:val="00654C44"/>
    <w:rsid w:val="00656967"/>
    <w:rsid w:val="006609E1"/>
    <w:rsid w:val="00662081"/>
    <w:rsid w:val="00665017"/>
    <w:rsid w:val="00667229"/>
    <w:rsid w:val="00667726"/>
    <w:rsid w:val="00672CD3"/>
    <w:rsid w:val="006740FC"/>
    <w:rsid w:val="00674745"/>
    <w:rsid w:val="00676933"/>
    <w:rsid w:val="006775F0"/>
    <w:rsid w:val="00677CCB"/>
    <w:rsid w:val="00681A38"/>
    <w:rsid w:val="00682BE5"/>
    <w:rsid w:val="006844DA"/>
    <w:rsid w:val="00685ABC"/>
    <w:rsid w:val="00690FED"/>
    <w:rsid w:val="006939A5"/>
    <w:rsid w:val="00693F0F"/>
    <w:rsid w:val="006A02CF"/>
    <w:rsid w:val="006A3224"/>
    <w:rsid w:val="006A4000"/>
    <w:rsid w:val="006A440B"/>
    <w:rsid w:val="006B2D92"/>
    <w:rsid w:val="006B73CA"/>
    <w:rsid w:val="006C6A7F"/>
    <w:rsid w:val="006D1A57"/>
    <w:rsid w:val="006D68BA"/>
    <w:rsid w:val="006E0BF7"/>
    <w:rsid w:val="006E37C2"/>
    <w:rsid w:val="006E5CFD"/>
    <w:rsid w:val="006F24B0"/>
    <w:rsid w:val="0070293D"/>
    <w:rsid w:val="007069F2"/>
    <w:rsid w:val="00706D8D"/>
    <w:rsid w:val="00712451"/>
    <w:rsid w:val="00717CEA"/>
    <w:rsid w:val="00721EF5"/>
    <w:rsid w:val="007251DA"/>
    <w:rsid w:val="0073221B"/>
    <w:rsid w:val="00732F08"/>
    <w:rsid w:val="0074190C"/>
    <w:rsid w:val="00744A76"/>
    <w:rsid w:val="00746779"/>
    <w:rsid w:val="0075734D"/>
    <w:rsid w:val="007575D5"/>
    <w:rsid w:val="0076135F"/>
    <w:rsid w:val="00762576"/>
    <w:rsid w:val="00763285"/>
    <w:rsid w:val="00776F5A"/>
    <w:rsid w:val="00782050"/>
    <w:rsid w:val="00783438"/>
    <w:rsid w:val="007850BC"/>
    <w:rsid w:val="0079025D"/>
    <w:rsid w:val="00791060"/>
    <w:rsid w:val="0079182E"/>
    <w:rsid w:val="007951A4"/>
    <w:rsid w:val="0079615F"/>
    <w:rsid w:val="007A1A88"/>
    <w:rsid w:val="007A507E"/>
    <w:rsid w:val="007A7C06"/>
    <w:rsid w:val="007B00DD"/>
    <w:rsid w:val="007B5626"/>
    <w:rsid w:val="007D4BB8"/>
    <w:rsid w:val="007D6707"/>
    <w:rsid w:val="007D78EC"/>
    <w:rsid w:val="0080570B"/>
    <w:rsid w:val="00811D8F"/>
    <w:rsid w:val="00811E01"/>
    <w:rsid w:val="00813191"/>
    <w:rsid w:val="00813822"/>
    <w:rsid w:val="00813F98"/>
    <w:rsid w:val="00813FB6"/>
    <w:rsid w:val="008148E1"/>
    <w:rsid w:val="00817FA8"/>
    <w:rsid w:val="00825538"/>
    <w:rsid w:val="008319BF"/>
    <w:rsid w:val="0083697A"/>
    <w:rsid w:val="0084338C"/>
    <w:rsid w:val="00847585"/>
    <w:rsid w:val="0085248E"/>
    <w:rsid w:val="00856F92"/>
    <w:rsid w:val="00863F76"/>
    <w:rsid w:val="00871C2D"/>
    <w:rsid w:val="00874437"/>
    <w:rsid w:val="00874E7E"/>
    <w:rsid w:val="008852D1"/>
    <w:rsid w:val="0089415C"/>
    <w:rsid w:val="008945CE"/>
    <w:rsid w:val="008A07DF"/>
    <w:rsid w:val="008A0C35"/>
    <w:rsid w:val="008A2C90"/>
    <w:rsid w:val="008A2D15"/>
    <w:rsid w:val="008A4964"/>
    <w:rsid w:val="008B49BC"/>
    <w:rsid w:val="008B6FB3"/>
    <w:rsid w:val="008B7B8E"/>
    <w:rsid w:val="008C1496"/>
    <w:rsid w:val="008D0E09"/>
    <w:rsid w:val="008E2804"/>
    <w:rsid w:val="008E3218"/>
    <w:rsid w:val="008E4B78"/>
    <w:rsid w:val="008F1B1E"/>
    <w:rsid w:val="009010CC"/>
    <w:rsid w:val="00903E72"/>
    <w:rsid w:val="00932C9E"/>
    <w:rsid w:val="009356A0"/>
    <w:rsid w:val="0094351E"/>
    <w:rsid w:val="009436CB"/>
    <w:rsid w:val="0094589F"/>
    <w:rsid w:val="00953CB6"/>
    <w:rsid w:val="009541DB"/>
    <w:rsid w:val="00955643"/>
    <w:rsid w:val="009560BD"/>
    <w:rsid w:val="009616BE"/>
    <w:rsid w:val="009621BD"/>
    <w:rsid w:val="00965714"/>
    <w:rsid w:val="00966B4A"/>
    <w:rsid w:val="00974576"/>
    <w:rsid w:val="00974923"/>
    <w:rsid w:val="00974EA1"/>
    <w:rsid w:val="0097616C"/>
    <w:rsid w:val="0097693B"/>
    <w:rsid w:val="00982FE6"/>
    <w:rsid w:val="00986E7C"/>
    <w:rsid w:val="009904E4"/>
    <w:rsid w:val="00993355"/>
    <w:rsid w:val="00995504"/>
    <w:rsid w:val="009A04D2"/>
    <w:rsid w:val="009A4A6D"/>
    <w:rsid w:val="009A6A00"/>
    <w:rsid w:val="009A76F6"/>
    <w:rsid w:val="009B046A"/>
    <w:rsid w:val="009B13AE"/>
    <w:rsid w:val="009B2023"/>
    <w:rsid w:val="009C0BA8"/>
    <w:rsid w:val="009C3BAC"/>
    <w:rsid w:val="009C4445"/>
    <w:rsid w:val="009C46BF"/>
    <w:rsid w:val="009D745A"/>
    <w:rsid w:val="009D7ABC"/>
    <w:rsid w:val="009E389F"/>
    <w:rsid w:val="009E470A"/>
    <w:rsid w:val="00A05819"/>
    <w:rsid w:val="00A12738"/>
    <w:rsid w:val="00A12A76"/>
    <w:rsid w:val="00A13265"/>
    <w:rsid w:val="00A13650"/>
    <w:rsid w:val="00A213C7"/>
    <w:rsid w:val="00A224B2"/>
    <w:rsid w:val="00A25ADA"/>
    <w:rsid w:val="00A26CDA"/>
    <w:rsid w:val="00A31603"/>
    <w:rsid w:val="00A31749"/>
    <w:rsid w:val="00A31AF7"/>
    <w:rsid w:val="00A32F78"/>
    <w:rsid w:val="00A4013D"/>
    <w:rsid w:val="00A46F42"/>
    <w:rsid w:val="00A505D4"/>
    <w:rsid w:val="00A51033"/>
    <w:rsid w:val="00A541D7"/>
    <w:rsid w:val="00A57FD8"/>
    <w:rsid w:val="00A62439"/>
    <w:rsid w:val="00A643D6"/>
    <w:rsid w:val="00A71136"/>
    <w:rsid w:val="00A7366D"/>
    <w:rsid w:val="00A830B1"/>
    <w:rsid w:val="00A84172"/>
    <w:rsid w:val="00A8450C"/>
    <w:rsid w:val="00A84F04"/>
    <w:rsid w:val="00A858A8"/>
    <w:rsid w:val="00A87B59"/>
    <w:rsid w:val="00A93AD6"/>
    <w:rsid w:val="00A94629"/>
    <w:rsid w:val="00A95543"/>
    <w:rsid w:val="00A962E5"/>
    <w:rsid w:val="00A97978"/>
    <w:rsid w:val="00AA1C78"/>
    <w:rsid w:val="00AA474C"/>
    <w:rsid w:val="00AB4C6A"/>
    <w:rsid w:val="00AB69E7"/>
    <w:rsid w:val="00AC0128"/>
    <w:rsid w:val="00AC2A77"/>
    <w:rsid w:val="00AC35DC"/>
    <w:rsid w:val="00AC4BEC"/>
    <w:rsid w:val="00AD4A56"/>
    <w:rsid w:val="00AD7DAF"/>
    <w:rsid w:val="00AD7E5F"/>
    <w:rsid w:val="00AF1234"/>
    <w:rsid w:val="00B01AA1"/>
    <w:rsid w:val="00B0284A"/>
    <w:rsid w:val="00B03BD9"/>
    <w:rsid w:val="00B11354"/>
    <w:rsid w:val="00B114EC"/>
    <w:rsid w:val="00B23BDB"/>
    <w:rsid w:val="00B30C81"/>
    <w:rsid w:val="00B37D7F"/>
    <w:rsid w:val="00B455E1"/>
    <w:rsid w:val="00B46203"/>
    <w:rsid w:val="00B4793B"/>
    <w:rsid w:val="00B51137"/>
    <w:rsid w:val="00B57833"/>
    <w:rsid w:val="00B61BDD"/>
    <w:rsid w:val="00B65CCB"/>
    <w:rsid w:val="00B74948"/>
    <w:rsid w:val="00B74A86"/>
    <w:rsid w:val="00B75530"/>
    <w:rsid w:val="00B81470"/>
    <w:rsid w:val="00B81CE1"/>
    <w:rsid w:val="00B827F4"/>
    <w:rsid w:val="00B82950"/>
    <w:rsid w:val="00B8475E"/>
    <w:rsid w:val="00B84ACA"/>
    <w:rsid w:val="00B86F3A"/>
    <w:rsid w:val="00B9741A"/>
    <w:rsid w:val="00BA57FD"/>
    <w:rsid w:val="00BA6765"/>
    <w:rsid w:val="00BA6862"/>
    <w:rsid w:val="00BA6E4B"/>
    <w:rsid w:val="00BA6F85"/>
    <w:rsid w:val="00BB0582"/>
    <w:rsid w:val="00BB5B1F"/>
    <w:rsid w:val="00BC2641"/>
    <w:rsid w:val="00BE100F"/>
    <w:rsid w:val="00BE2DCC"/>
    <w:rsid w:val="00BF2F25"/>
    <w:rsid w:val="00BF534C"/>
    <w:rsid w:val="00BF6F00"/>
    <w:rsid w:val="00BF70E5"/>
    <w:rsid w:val="00BF7253"/>
    <w:rsid w:val="00C01A2B"/>
    <w:rsid w:val="00C01DB1"/>
    <w:rsid w:val="00C02876"/>
    <w:rsid w:val="00C04FA3"/>
    <w:rsid w:val="00C113B6"/>
    <w:rsid w:val="00C15633"/>
    <w:rsid w:val="00C15799"/>
    <w:rsid w:val="00C21C51"/>
    <w:rsid w:val="00C22E09"/>
    <w:rsid w:val="00C357AD"/>
    <w:rsid w:val="00C4585B"/>
    <w:rsid w:val="00C47F79"/>
    <w:rsid w:val="00C50224"/>
    <w:rsid w:val="00C5168D"/>
    <w:rsid w:val="00C5730E"/>
    <w:rsid w:val="00C6069C"/>
    <w:rsid w:val="00C60775"/>
    <w:rsid w:val="00C61AAC"/>
    <w:rsid w:val="00C721A4"/>
    <w:rsid w:val="00C74612"/>
    <w:rsid w:val="00C80021"/>
    <w:rsid w:val="00C854F2"/>
    <w:rsid w:val="00C85F76"/>
    <w:rsid w:val="00C8638C"/>
    <w:rsid w:val="00C91556"/>
    <w:rsid w:val="00C922AB"/>
    <w:rsid w:val="00C933F3"/>
    <w:rsid w:val="00C94FE7"/>
    <w:rsid w:val="00CA00E0"/>
    <w:rsid w:val="00CB121F"/>
    <w:rsid w:val="00CB1A73"/>
    <w:rsid w:val="00CB21CB"/>
    <w:rsid w:val="00CB4451"/>
    <w:rsid w:val="00CB470B"/>
    <w:rsid w:val="00CB4ACB"/>
    <w:rsid w:val="00CC1B4F"/>
    <w:rsid w:val="00CC5332"/>
    <w:rsid w:val="00CC7CC1"/>
    <w:rsid w:val="00CD5431"/>
    <w:rsid w:val="00CD6AB2"/>
    <w:rsid w:val="00CE08DC"/>
    <w:rsid w:val="00CE39E0"/>
    <w:rsid w:val="00CF0C10"/>
    <w:rsid w:val="00CF2491"/>
    <w:rsid w:val="00CF34D2"/>
    <w:rsid w:val="00CF7DF4"/>
    <w:rsid w:val="00D038AC"/>
    <w:rsid w:val="00D07928"/>
    <w:rsid w:val="00D1252E"/>
    <w:rsid w:val="00D12D02"/>
    <w:rsid w:val="00D13B41"/>
    <w:rsid w:val="00D15CED"/>
    <w:rsid w:val="00D32DC7"/>
    <w:rsid w:val="00D35397"/>
    <w:rsid w:val="00D36655"/>
    <w:rsid w:val="00D37FE3"/>
    <w:rsid w:val="00D417DE"/>
    <w:rsid w:val="00D50113"/>
    <w:rsid w:val="00D50DE7"/>
    <w:rsid w:val="00D53A7B"/>
    <w:rsid w:val="00D53D44"/>
    <w:rsid w:val="00D544AF"/>
    <w:rsid w:val="00D54FF0"/>
    <w:rsid w:val="00D57772"/>
    <w:rsid w:val="00D709F3"/>
    <w:rsid w:val="00D714D9"/>
    <w:rsid w:val="00D7291E"/>
    <w:rsid w:val="00D75546"/>
    <w:rsid w:val="00D75A4D"/>
    <w:rsid w:val="00D8201F"/>
    <w:rsid w:val="00D8478B"/>
    <w:rsid w:val="00D86151"/>
    <w:rsid w:val="00D86A8D"/>
    <w:rsid w:val="00D93D55"/>
    <w:rsid w:val="00DA2674"/>
    <w:rsid w:val="00DA2CEB"/>
    <w:rsid w:val="00DA674D"/>
    <w:rsid w:val="00DA7595"/>
    <w:rsid w:val="00DB0A68"/>
    <w:rsid w:val="00DB0FF9"/>
    <w:rsid w:val="00DB406C"/>
    <w:rsid w:val="00DB6E57"/>
    <w:rsid w:val="00DC0B8F"/>
    <w:rsid w:val="00DC1D9E"/>
    <w:rsid w:val="00DC26BB"/>
    <w:rsid w:val="00DC43A3"/>
    <w:rsid w:val="00DC56C9"/>
    <w:rsid w:val="00DC621E"/>
    <w:rsid w:val="00DC7E50"/>
    <w:rsid w:val="00DD1B7A"/>
    <w:rsid w:val="00DD5A18"/>
    <w:rsid w:val="00DD5F49"/>
    <w:rsid w:val="00DD7C09"/>
    <w:rsid w:val="00DE0244"/>
    <w:rsid w:val="00DE5112"/>
    <w:rsid w:val="00DF382F"/>
    <w:rsid w:val="00DF4308"/>
    <w:rsid w:val="00E00BC9"/>
    <w:rsid w:val="00E0124F"/>
    <w:rsid w:val="00E016D0"/>
    <w:rsid w:val="00E100DD"/>
    <w:rsid w:val="00E10C65"/>
    <w:rsid w:val="00E12754"/>
    <w:rsid w:val="00E1317F"/>
    <w:rsid w:val="00E13EB4"/>
    <w:rsid w:val="00E3015C"/>
    <w:rsid w:val="00E3042F"/>
    <w:rsid w:val="00E3231E"/>
    <w:rsid w:val="00E33BE1"/>
    <w:rsid w:val="00E37AAF"/>
    <w:rsid w:val="00E43389"/>
    <w:rsid w:val="00E44E5A"/>
    <w:rsid w:val="00E44F37"/>
    <w:rsid w:val="00E51632"/>
    <w:rsid w:val="00E518A3"/>
    <w:rsid w:val="00E55FCF"/>
    <w:rsid w:val="00E565FD"/>
    <w:rsid w:val="00E6174B"/>
    <w:rsid w:val="00E63D60"/>
    <w:rsid w:val="00E67214"/>
    <w:rsid w:val="00E674D3"/>
    <w:rsid w:val="00E70FD0"/>
    <w:rsid w:val="00E74910"/>
    <w:rsid w:val="00E76507"/>
    <w:rsid w:val="00E85E7E"/>
    <w:rsid w:val="00E8614D"/>
    <w:rsid w:val="00E95ECC"/>
    <w:rsid w:val="00E9600F"/>
    <w:rsid w:val="00E972D7"/>
    <w:rsid w:val="00EA226F"/>
    <w:rsid w:val="00EA6738"/>
    <w:rsid w:val="00EB027F"/>
    <w:rsid w:val="00EB06BD"/>
    <w:rsid w:val="00EB1555"/>
    <w:rsid w:val="00EB5C49"/>
    <w:rsid w:val="00EC6B8C"/>
    <w:rsid w:val="00ED3386"/>
    <w:rsid w:val="00ED40A7"/>
    <w:rsid w:val="00ED542F"/>
    <w:rsid w:val="00ED6815"/>
    <w:rsid w:val="00EE577E"/>
    <w:rsid w:val="00EF0DD0"/>
    <w:rsid w:val="00EF3787"/>
    <w:rsid w:val="00EF5F6F"/>
    <w:rsid w:val="00EF7BC1"/>
    <w:rsid w:val="00F03405"/>
    <w:rsid w:val="00F03A0F"/>
    <w:rsid w:val="00F05F00"/>
    <w:rsid w:val="00F06439"/>
    <w:rsid w:val="00F1659D"/>
    <w:rsid w:val="00F20CE3"/>
    <w:rsid w:val="00F216BC"/>
    <w:rsid w:val="00F33D59"/>
    <w:rsid w:val="00F40D71"/>
    <w:rsid w:val="00F413CD"/>
    <w:rsid w:val="00F43124"/>
    <w:rsid w:val="00F457FD"/>
    <w:rsid w:val="00F51322"/>
    <w:rsid w:val="00F56FDB"/>
    <w:rsid w:val="00F60C50"/>
    <w:rsid w:val="00F63650"/>
    <w:rsid w:val="00F63900"/>
    <w:rsid w:val="00F6391B"/>
    <w:rsid w:val="00F63B28"/>
    <w:rsid w:val="00F65934"/>
    <w:rsid w:val="00F73CAB"/>
    <w:rsid w:val="00F775E0"/>
    <w:rsid w:val="00F82B3B"/>
    <w:rsid w:val="00F84067"/>
    <w:rsid w:val="00F9500E"/>
    <w:rsid w:val="00F95680"/>
    <w:rsid w:val="00FA0AEB"/>
    <w:rsid w:val="00FB70CE"/>
    <w:rsid w:val="00FC5F15"/>
    <w:rsid w:val="00FD1E40"/>
    <w:rsid w:val="00FD5B26"/>
    <w:rsid w:val="00FF0B32"/>
    <w:rsid w:val="00FF2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AF895A"/>
  <w15:docId w15:val="{97560710-FA41-4446-BF7E-60DCB5B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aliases w:val="título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EA2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493D17"/>
    <w:pPr>
      <w:ind w:left="720"/>
      <w:contextualSpacing/>
    </w:pPr>
  </w:style>
  <w:style w:type="character" w:customStyle="1" w:styleId="ListParagraphChar">
    <w:name w:val="List Paragraph Char"/>
    <w:basedOn w:val="DefaultParagraphFont"/>
    <w:link w:val="ListParagraph"/>
    <w:uiPriority w:val="34"/>
    <w:locked/>
    <w:rsid w:val="00BF7253"/>
    <w:rPr>
      <w:rFonts w:eastAsia="BatangChe"/>
      <w:sz w:val="24"/>
      <w:szCs w:val="24"/>
      <w:lang w:eastAsia="en-US"/>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ALTS FOOTNOTE"/>
    <w:basedOn w:val="Normal"/>
    <w:link w:val="FootnoteTextChar"/>
    <w:rsid w:val="00182D55"/>
    <w:pPr>
      <w:snapToGrid w:val="0"/>
    </w:p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ALTS FOOTNOTE Char"/>
    <w:basedOn w:val="DefaultParagraphFont"/>
    <w:link w:val="FootnoteText"/>
    <w:rsid w:val="00182D55"/>
    <w:rPr>
      <w:rFonts w:eastAsia="BatangChe"/>
      <w:sz w:val="24"/>
      <w:szCs w:val="24"/>
      <w:lang w:eastAsia="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
    <w:basedOn w:val="DefaultParagraphFont"/>
    <w:rsid w:val="00182D55"/>
    <w:rPr>
      <w:vertAlign w:val="superscript"/>
    </w:rPr>
  </w:style>
  <w:style w:type="character" w:styleId="Hyperlink">
    <w:name w:val="Hyperlink"/>
    <w:basedOn w:val="DefaultParagraphFont"/>
    <w:rsid w:val="0037636D"/>
    <w:rPr>
      <w:color w:val="0000FF"/>
      <w:u w:val="single"/>
    </w:rPr>
  </w:style>
  <w:style w:type="paragraph" w:styleId="BalloonText">
    <w:name w:val="Balloon Text"/>
    <w:basedOn w:val="Normal"/>
    <w:link w:val="BalloonTextChar"/>
    <w:semiHidden/>
    <w:unhideWhenUsed/>
    <w:rsid w:val="0061666B"/>
    <w:rPr>
      <w:rFonts w:ascii="Lucida Grande" w:hAnsi="Lucida Grande" w:cs="Lucida Grande"/>
      <w:sz w:val="18"/>
      <w:szCs w:val="18"/>
    </w:rPr>
  </w:style>
  <w:style w:type="character" w:customStyle="1" w:styleId="BalloonTextChar">
    <w:name w:val="Balloon Text Char"/>
    <w:basedOn w:val="DefaultParagraphFont"/>
    <w:link w:val="BalloonText"/>
    <w:semiHidden/>
    <w:rsid w:val="0061666B"/>
    <w:rPr>
      <w:rFonts w:ascii="Lucida Grande" w:eastAsia="BatangChe" w:hAnsi="Lucida Grande" w:cs="Lucida Grande"/>
      <w:sz w:val="18"/>
      <w:szCs w:val="18"/>
      <w:lang w:bidi="ar-SA"/>
    </w:rPr>
  </w:style>
  <w:style w:type="character" w:styleId="FollowedHyperlink">
    <w:name w:val="FollowedHyperlink"/>
    <w:basedOn w:val="DefaultParagraphFont"/>
    <w:semiHidden/>
    <w:unhideWhenUsed/>
    <w:rsid w:val="00562A19"/>
    <w:rPr>
      <w:color w:val="800080" w:themeColor="followedHyperlink"/>
      <w:u w:val="single"/>
    </w:rPr>
  </w:style>
  <w:style w:type="character" w:customStyle="1" w:styleId="Heading2Char">
    <w:name w:val="Heading 2 Char"/>
    <w:basedOn w:val="DefaultParagraphFont"/>
    <w:link w:val="Heading2"/>
    <w:semiHidden/>
    <w:rsid w:val="00EA226F"/>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uiPriority w:val="59"/>
    <w:rsid w:val="00B5783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34B0E"/>
  </w:style>
  <w:style w:type="paragraph" w:customStyle="1" w:styleId="yiv0985516310msonormal">
    <w:name w:val="yiv0985516310msonormal"/>
    <w:basedOn w:val="Normal"/>
    <w:rsid w:val="00434B0E"/>
    <w:pPr>
      <w:spacing w:before="100" w:beforeAutospacing="1" w:after="100" w:afterAutospacing="1"/>
    </w:pPr>
    <w:rPr>
      <w:rFonts w:ascii="Times" w:eastAsia="Batang" w:hAnsi="Times"/>
      <w:sz w:val="20"/>
      <w:szCs w:val="20"/>
    </w:rPr>
  </w:style>
  <w:style w:type="paragraph" w:customStyle="1" w:styleId="yiv0985516310msolistparagraph">
    <w:name w:val="yiv0985516310msolistparagraph"/>
    <w:basedOn w:val="Normal"/>
    <w:rsid w:val="00434B0E"/>
    <w:pPr>
      <w:spacing w:before="100" w:beforeAutospacing="1" w:after="100" w:afterAutospacing="1"/>
    </w:pPr>
    <w:rPr>
      <w:rFonts w:ascii="Times" w:eastAsia="Batang" w:hAnsi="Times"/>
      <w:sz w:val="20"/>
      <w:szCs w:val="20"/>
    </w:rPr>
  </w:style>
  <w:style w:type="character" w:customStyle="1" w:styleId="Heading1Char">
    <w:name w:val="Heading 1 Char"/>
    <w:aliases w:val="título 1 Char"/>
    <w:link w:val="Heading1"/>
    <w:rsid w:val="000355CC"/>
    <w:rPr>
      <w:rFonts w:eastAsia="BatangChe"/>
      <w:b/>
      <w:bCs/>
      <w:sz w:val="24"/>
      <w:szCs w:val="24"/>
      <w:u w:val="single"/>
      <w:lang w:bidi="ar-SA"/>
    </w:rPr>
  </w:style>
  <w:style w:type="paragraph" w:styleId="NormalWeb">
    <w:name w:val="Normal (Web)"/>
    <w:basedOn w:val="Normal"/>
    <w:uiPriority w:val="99"/>
    <w:unhideWhenUsed/>
    <w:rsid w:val="00674745"/>
    <w:pPr>
      <w:spacing w:before="100" w:beforeAutospacing="1" w:after="100" w:afterAutospacing="1"/>
    </w:pPr>
    <w:rPr>
      <w:rFonts w:eastAsia="Times New Roman"/>
      <w:lang w:val="en-AU" w:eastAsia="en-AU"/>
    </w:rPr>
  </w:style>
  <w:style w:type="paragraph" w:customStyle="1" w:styleId="enumlev1">
    <w:name w:val="enumlev1"/>
    <w:basedOn w:val="Normal"/>
    <w:link w:val="enumlev1Char"/>
    <w:qFormat/>
    <w:rsid w:val="001009F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1009FE"/>
    <w:rPr>
      <w:rFonts w:eastAsia="Times New Roman"/>
      <w:sz w:val="24"/>
      <w:lang w:val="en-GB" w:bidi="ar-SA"/>
    </w:rPr>
  </w:style>
  <w:style w:type="paragraph" w:customStyle="1" w:styleId="ListParagraph1">
    <w:name w:val="List Paragraph1"/>
    <w:basedOn w:val="Normal"/>
    <w:uiPriority w:val="34"/>
    <w:qFormat/>
    <w:rsid w:val="00246984"/>
    <w:pPr>
      <w:spacing w:after="160" w:line="259" w:lineRule="auto"/>
      <w:ind w:firstLineChars="200" w:firstLine="420"/>
    </w:pPr>
  </w:style>
  <w:style w:type="character" w:styleId="LineNumber">
    <w:name w:val="line number"/>
    <w:basedOn w:val="DefaultParagraphFont"/>
    <w:semiHidden/>
    <w:unhideWhenUsed/>
    <w:rsid w:val="00240387"/>
  </w:style>
  <w:style w:type="character" w:styleId="CommentReference">
    <w:name w:val="annotation reference"/>
    <w:basedOn w:val="DefaultParagraphFont"/>
    <w:semiHidden/>
    <w:unhideWhenUsed/>
    <w:rsid w:val="00C922AB"/>
    <w:rPr>
      <w:sz w:val="16"/>
      <w:szCs w:val="16"/>
    </w:rPr>
  </w:style>
  <w:style w:type="paragraph" w:styleId="CommentText">
    <w:name w:val="annotation text"/>
    <w:basedOn w:val="Normal"/>
    <w:link w:val="CommentTextChar"/>
    <w:semiHidden/>
    <w:unhideWhenUsed/>
    <w:rsid w:val="00C922AB"/>
    <w:rPr>
      <w:sz w:val="20"/>
      <w:szCs w:val="20"/>
    </w:rPr>
  </w:style>
  <w:style w:type="character" w:customStyle="1" w:styleId="CommentTextChar">
    <w:name w:val="Comment Text Char"/>
    <w:basedOn w:val="DefaultParagraphFont"/>
    <w:link w:val="CommentText"/>
    <w:semiHidden/>
    <w:rsid w:val="00C922AB"/>
    <w:rPr>
      <w:rFonts w:eastAsia="BatangChe"/>
      <w:lang w:bidi="ar-SA"/>
    </w:rPr>
  </w:style>
  <w:style w:type="paragraph" w:styleId="CommentSubject">
    <w:name w:val="annotation subject"/>
    <w:basedOn w:val="CommentText"/>
    <w:next w:val="CommentText"/>
    <w:link w:val="CommentSubjectChar"/>
    <w:semiHidden/>
    <w:unhideWhenUsed/>
    <w:rsid w:val="00C922AB"/>
    <w:rPr>
      <w:b/>
      <w:bCs/>
    </w:rPr>
  </w:style>
  <w:style w:type="character" w:customStyle="1" w:styleId="CommentSubjectChar">
    <w:name w:val="Comment Subject Char"/>
    <w:basedOn w:val="CommentTextChar"/>
    <w:link w:val="CommentSubject"/>
    <w:semiHidden/>
    <w:rsid w:val="00C922AB"/>
    <w:rPr>
      <w:rFonts w:eastAsia="BatangChe"/>
      <w:b/>
      <w:bCs/>
      <w:lang w:bidi="ar-SA"/>
    </w:rPr>
  </w:style>
  <w:style w:type="paragraph" w:styleId="Revision">
    <w:name w:val="Revision"/>
    <w:hidden/>
    <w:uiPriority w:val="99"/>
    <w:semiHidden/>
    <w:rsid w:val="001C17C2"/>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4855">
      <w:bodyDiv w:val="1"/>
      <w:marLeft w:val="0"/>
      <w:marRight w:val="0"/>
      <w:marTop w:val="0"/>
      <w:marBottom w:val="0"/>
      <w:divBdr>
        <w:top w:val="none" w:sz="0" w:space="0" w:color="auto"/>
        <w:left w:val="none" w:sz="0" w:space="0" w:color="auto"/>
        <w:bottom w:val="none" w:sz="0" w:space="0" w:color="auto"/>
        <w:right w:val="none" w:sz="0" w:space="0" w:color="auto"/>
      </w:divBdr>
    </w:div>
    <w:div w:id="238834244">
      <w:bodyDiv w:val="1"/>
      <w:marLeft w:val="0"/>
      <w:marRight w:val="0"/>
      <w:marTop w:val="0"/>
      <w:marBottom w:val="0"/>
      <w:divBdr>
        <w:top w:val="none" w:sz="0" w:space="0" w:color="auto"/>
        <w:left w:val="none" w:sz="0" w:space="0" w:color="auto"/>
        <w:bottom w:val="none" w:sz="0" w:space="0" w:color="auto"/>
        <w:right w:val="none" w:sz="0" w:space="0" w:color="auto"/>
      </w:divBdr>
    </w:div>
    <w:div w:id="296109634">
      <w:bodyDiv w:val="1"/>
      <w:marLeft w:val="0"/>
      <w:marRight w:val="0"/>
      <w:marTop w:val="0"/>
      <w:marBottom w:val="0"/>
      <w:divBdr>
        <w:top w:val="none" w:sz="0" w:space="0" w:color="auto"/>
        <w:left w:val="none" w:sz="0" w:space="0" w:color="auto"/>
        <w:bottom w:val="none" w:sz="0" w:space="0" w:color="auto"/>
        <w:right w:val="none" w:sz="0" w:space="0" w:color="auto"/>
      </w:divBdr>
    </w:div>
    <w:div w:id="325014716">
      <w:bodyDiv w:val="1"/>
      <w:marLeft w:val="0"/>
      <w:marRight w:val="0"/>
      <w:marTop w:val="0"/>
      <w:marBottom w:val="0"/>
      <w:divBdr>
        <w:top w:val="none" w:sz="0" w:space="0" w:color="auto"/>
        <w:left w:val="none" w:sz="0" w:space="0" w:color="auto"/>
        <w:bottom w:val="none" w:sz="0" w:space="0" w:color="auto"/>
        <w:right w:val="none" w:sz="0" w:space="0" w:color="auto"/>
      </w:divBdr>
    </w:div>
    <w:div w:id="443379291">
      <w:bodyDiv w:val="1"/>
      <w:marLeft w:val="0"/>
      <w:marRight w:val="0"/>
      <w:marTop w:val="0"/>
      <w:marBottom w:val="0"/>
      <w:divBdr>
        <w:top w:val="none" w:sz="0" w:space="0" w:color="auto"/>
        <w:left w:val="none" w:sz="0" w:space="0" w:color="auto"/>
        <w:bottom w:val="none" w:sz="0" w:space="0" w:color="auto"/>
        <w:right w:val="none" w:sz="0" w:space="0" w:color="auto"/>
      </w:divBdr>
    </w:div>
    <w:div w:id="485826037">
      <w:bodyDiv w:val="1"/>
      <w:marLeft w:val="0"/>
      <w:marRight w:val="0"/>
      <w:marTop w:val="0"/>
      <w:marBottom w:val="0"/>
      <w:divBdr>
        <w:top w:val="none" w:sz="0" w:space="0" w:color="auto"/>
        <w:left w:val="none" w:sz="0" w:space="0" w:color="auto"/>
        <w:bottom w:val="none" w:sz="0" w:space="0" w:color="auto"/>
        <w:right w:val="none" w:sz="0" w:space="0" w:color="auto"/>
      </w:divBdr>
    </w:div>
    <w:div w:id="680008458">
      <w:bodyDiv w:val="1"/>
      <w:marLeft w:val="0"/>
      <w:marRight w:val="0"/>
      <w:marTop w:val="0"/>
      <w:marBottom w:val="0"/>
      <w:divBdr>
        <w:top w:val="none" w:sz="0" w:space="0" w:color="auto"/>
        <w:left w:val="none" w:sz="0" w:space="0" w:color="auto"/>
        <w:bottom w:val="none" w:sz="0" w:space="0" w:color="auto"/>
        <w:right w:val="none" w:sz="0" w:space="0" w:color="auto"/>
      </w:divBdr>
    </w:div>
    <w:div w:id="729620496">
      <w:bodyDiv w:val="1"/>
      <w:marLeft w:val="0"/>
      <w:marRight w:val="0"/>
      <w:marTop w:val="0"/>
      <w:marBottom w:val="0"/>
      <w:divBdr>
        <w:top w:val="none" w:sz="0" w:space="0" w:color="auto"/>
        <w:left w:val="none" w:sz="0" w:space="0" w:color="auto"/>
        <w:bottom w:val="none" w:sz="0" w:space="0" w:color="auto"/>
        <w:right w:val="none" w:sz="0" w:space="0" w:color="auto"/>
      </w:divBdr>
    </w:div>
    <w:div w:id="851340636">
      <w:bodyDiv w:val="1"/>
      <w:marLeft w:val="0"/>
      <w:marRight w:val="0"/>
      <w:marTop w:val="0"/>
      <w:marBottom w:val="0"/>
      <w:divBdr>
        <w:top w:val="none" w:sz="0" w:space="0" w:color="auto"/>
        <w:left w:val="none" w:sz="0" w:space="0" w:color="auto"/>
        <w:bottom w:val="none" w:sz="0" w:space="0" w:color="auto"/>
        <w:right w:val="none" w:sz="0" w:space="0" w:color="auto"/>
      </w:divBdr>
    </w:div>
    <w:div w:id="884757966">
      <w:bodyDiv w:val="1"/>
      <w:marLeft w:val="0"/>
      <w:marRight w:val="0"/>
      <w:marTop w:val="0"/>
      <w:marBottom w:val="0"/>
      <w:divBdr>
        <w:top w:val="none" w:sz="0" w:space="0" w:color="auto"/>
        <w:left w:val="none" w:sz="0" w:space="0" w:color="auto"/>
        <w:bottom w:val="none" w:sz="0" w:space="0" w:color="auto"/>
        <w:right w:val="none" w:sz="0" w:space="0" w:color="auto"/>
      </w:divBdr>
    </w:div>
    <w:div w:id="890463727">
      <w:bodyDiv w:val="1"/>
      <w:marLeft w:val="0"/>
      <w:marRight w:val="0"/>
      <w:marTop w:val="0"/>
      <w:marBottom w:val="0"/>
      <w:divBdr>
        <w:top w:val="none" w:sz="0" w:space="0" w:color="auto"/>
        <w:left w:val="none" w:sz="0" w:space="0" w:color="auto"/>
        <w:bottom w:val="none" w:sz="0" w:space="0" w:color="auto"/>
        <w:right w:val="none" w:sz="0" w:space="0" w:color="auto"/>
      </w:divBdr>
    </w:div>
    <w:div w:id="890650966">
      <w:bodyDiv w:val="1"/>
      <w:marLeft w:val="0"/>
      <w:marRight w:val="0"/>
      <w:marTop w:val="0"/>
      <w:marBottom w:val="0"/>
      <w:divBdr>
        <w:top w:val="none" w:sz="0" w:space="0" w:color="auto"/>
        <w:left w:val="none" w:sz="0" w:space="0" w:color="auto"/>
        <w:bottom w:val="none" w:sz="0" w:space="0" w:color="auto"/>
        <w:right w:val="none" w:sz="0" w:space="0" w:color="auto"/>
      </w:divBdr>
    </w:div>
    <w:div w:id="1092509978">
      <w:bodyDiv w:val="1"/>
      <w:marLeft w:val="0"/>
      <w:marRight w:val="0"/>
      <w:marTop w:val="0"/>
      <w:marBottom w:val="0"/>
      <w:divBdr>
        <w:top w:val="none" w:sz="0" w:space="0" w:color="auto"/>
        <w:left w:val="none" w:sz="0" w:space="0" w:color="auto"/>
        <w:bottom w:val="none" w:sz="0" w:space="0" w:color="auto"/>
        <w:right w:val="none" w:sz="0" w:space="0" w:color="auto"/>
      </w:divBdr>
    </w:div>
    <w:div w:id="1097483077">
      <w:bodyDiv w:val="1"/>
      <w:marLeft w:val="0"/>
      <w:marRight w:val="0"/>
      <w:marTop w:val="0"/>
      <w:marBottom w:val="0"/>
      <w:divBdr>
        <w:top w:val="none" w:sz="0" w:space="0" w:color="auto"/>
        <w:left w:val="none" w:sz="0" w:space="0" w:color="auto"/>
        <w:bottom w:val="none" w:sz="0" w:space="0" w:color="auto"/>
        <w:right w:val="none" w:sz="0" w:space="0" w:color="auto"/>
      </w:divBdr>
    </w:div>
    <w:div w:id="1108429291">
      <w:bodyDiv w:val="1"/>
      <w:marLeft w:val="0"/>
      <w:marRight w:val="0"/>
      <w:marTop w:val="0"/>
      <w:marBottom w:val="0"/>
      <w:divBdr>
        <w:top w:val="none" w:sz="0" w:space="0" w:color="auto"/>
        <w:left w:val="none" w:sz="0" w:space="0" w:color="auto"/>
        <w:bottom w:val="none" w:sz="0" w:space="0" w:color="auto"/>
        <w:right w:val="none" w:sz="0" w:space="0" w:color="auto"/>
      </w:divBdr>
    </w:div>
    <w:div w:id="1153521552">
      <w:bodyDiv w:val="1"/>
      <w:marLeft w:val="0"/>
      <w:marRight w:val="0"/>
      <w:marTop w:val="0"/>
      <w:marBottom w:val="0"/>
      <w:divBdr>
        <w:top w:val="none" w:sz="0" w:space="0" w:color="auto"/>
        <w:left w:val="none" w:sz="0" w:space="0" w:color="auto"/>
        <w:bottom w:val="none" w:sz="0" w:space="0" w:color="auto"/>
        <w:right w:val="none" w:sz="0" w:space="0" w:color="auto"/>
      </w:divBdr>
    </w:div>
    <w:div w:id="1154688580">
      <w:bodyDiv w:val="1"/>
      <w:marLeft w:val="0"/>
      <w:marRight w:val="0"/>
      <w:marTop w:val="0"/>
      <w:marBottom w:val="0"/>
      <w:divBdr>
        <w:top w:val="none" w:sz="0" w:space="0" w:color="auto"/>
        <w:left w:val="none" w:sz="0" w:space="0" w:color="auto"/>
        <w:bottom w:val="none" w:sz="0" w:space="0" w:color="auto"/>
        <w:right w:val="none" w:sz="0" w:space="0" w:color="auto"/>
      </w:divBdr>
    </w:div>
    <w:div w:id="1225946237">
      <w:bodyDiv w:val="1"/>
      <w:marLeft w:val="0"/>
      <w:marRight w:val="0"/>
      <w:marTop w:val="0"/>
      <w:marBottom w:val="0"/>
      <w:divBdr>
        <w:top w:val="none" w:sz="0" w:space="0" w:color="auto"/>
        <w:left w:val="none" w:sz="0" w:space="0" w:color="auto"/>
        <w:bottom w:val="none" w:sz="0" w:space="0" w:color="auto"/>
        <w:right w:val="none" w:sz="0" w:space="0" w:color="auto"/>
      </w:divBdr>
    </w:div>
    <w:div w:id="1239941873">
      <w:bodyDiv w:val="1"/>
      <w:marLeft w:val="0"/>
      <w:marRight w:val="0"/>
      <w:marTop w:val="0"/>
      <w:marBottom w:val="0"/>
      <w:divBdr>
        <w:top w:val="none" w:sz="0" w:space="0" w:color="auto"/>
        <w:left w:val="none" w:sz="0" w:space="0" w:color="auto"/>
        <w:bottom w:val="none" w:sz="0" w:space="0" w:color="auto"/>
        <w:right w:val="none" w:sz="0" w:space="0" w:color="auto"/>
      </w:divBdr>
    </w:div>
    <w:div w:id="1287546914">
      <w:bodyDiv w:val="1"/>
      <w:marLeft w:val="0"/>
      <w:marRight w:val="0"/>
      <w:marTop w:val="0"/>
      <w:marBottom w:val="0"/>
      <w:divBdr>
        <w:top w:val="none" w:sz="0" w:space="0" w:color="auto"/>
        <w:left w:val="none" w:sz="0" w:space="0" w:color="auto"/>
        <w:bottom w:val="none" w:sz="0" w:space="0" w:color="auto"/>
        <w:right w:val="none" w:sz="0" w:space="0" w:color="auto"/>
      </w:divBdr>
    </w:div>
    <w:div w:id="1336113068">
      <w:bodyDiv w:val="1"/>
      <w:marLeft w:val="0"/>
      <w:marRight w:val="0"/>
      <w:marTop w:val="0"/>
      <w:marBottom w:val="0"/>
      <w:divBdr>
        <w:top w:val="none" w:sz="0" w:space="0" w:color="auto"/>
        <w:left w:val="none" w:sz="0" w:space="0" w:color="auto"/>
        <w:bottom w:val="none" w:sz="0" w:space="0" w:color="auto"/>
        <w:right w:val="none" w:sz="0" w:space="0" w:color="auto"/>
      </w:divBdr>
    </w:div>
    <w:div w:id="1375885289">
      <w:bodyDiv w:val="1"/>
      <w:marLeft w:val="0"/>
      <w:marRight w:val="0"/>
      <w:marTop w:val="0"/>
      <w:marBottom w:val="0"/>
      <w:divBdr>
        <w:top w:val="none" w:sz="0" w:space="0" w:color="auto"/>
        <w:left w:val="none" w:sz="0" w:space="0" w:color="auto"/>
        <w:bottom w:val="none" w:sz="0" w:space="0" w:color="auto"/>
        <w:right w:val="none" w:sz="0" w:space="0" w:color="auto"/>
      </w:divBdr>
    </w:div>
    <w:div w:id="1385523799">
      <w:bodyDiv w:val="1"/>
      <w:marLeft w:val="0"/>
      <w:marRight w:val="0"/>
      <w:marTop w:val="0"/>
      <w:marBottom w:val="0"/>
      <w:divBdr>
        <w:top w:val="none" w:sz="0" w:space="0" w:color="auto"/>
        <w:left w:val="none" w:sz="0" w:space="0" w:color="auto"/>
        <w:bottom w:val="none" w:sz="0" w:space="0" w:color="auto"/>
        <w:right w:val="none" w:sz="0" w:space="0" w:color="auto"/>
      </w:divBdr>
    </w:div>
    <w:div w:id="1474908996">
      <w:bodyDiv w:val="1"/>
      <w:marLeft w:val="0"/>
      <w:marRight w:val="0"/>
      <w:marTop w:val="0"/>
      <w:marBottom w:val="0"/>
      <w:divBdr>
        <w:top w:val="none" w:sz="0" w:space="0" w:color="auto"/>
        <w:left w:val="none" w:sz="0" w:space="0" w:color="auto"/>
        <w:bottom w:val="none" w:sz="0" w:space="0" w:color="auto"/>
        <w:right w:val="none" w:sz="0" w:space="0" w:color="auto"/>
      </w:divBdr>
    </w:div>
    <w:div w:id="1565794128">
      <w:bodyDiv w:val="1"/>
      <w:marLeft w:val="0"/>
      <w:marRight w:val="0"/>
      <w:marTop w:val="0"/>
      <w:marBottom w:val="0"/>
      <w:divBdr>
        <w:top w:val="none" w:sz="0" w:space="0" w:color="auto"/>
        <w:left w:val="none" w:sz="0" w:space="0" w:color="auto"/>
        <w:bottom w:val="none" w:sz="0" w:space="0" w:color="auto"/>
        <w:right w:val="none" w:sz="0" w:space="0" w:color="auto"/>
      </w:divBdr>
    </w:div>
    <w:div w:id="1576042130">
      <w:bodyDiv w:val="1"/>
      <w:marLeft w:val="0"/>
      <w:marRight w:val="0"/>
      <w:marTop w:val="0"/>
      <w:marBottom w:val="0"/>
      <w:divBdr>
        <w:top w:val="none" w:sz="0" w:space="0" w:color="auto"/>
        <w:left w:val="none" w:sz="0" w:space="0" w:color="auto"/>
        <w:bottom w:val="none" w:sz="0" w:space="0" w:color="auto"/>
        <w:right w:val="none" w:sz="0" w:space="0" w:color="auto"/>
      </w:divBdr>
    </w:div>
    <w:div w:id="1591891245">
      <w:bodyDiv w:val="1"/>
      <w:marLeft w:val="0"/>
      <w:marRight w:val="0"/>
      <w:marTop w:val="0"/>
      <w:marBottom w:val="0"/>
      <w:divBdr>
        <w:top w:val="none" w:sz="0" w:space="0" w:color="auto"/>
        <w:left w:val="none" w:sz="0" w:space="0" w:color="auto"/>
        <w:bottom w:val="none" w:sz="0" w:space="0" w:color="auto"/>
        <w:right w:val="none" w:sz="0" w:space="0" w:color="auto"/>
      </w:divBdr>
    </w:div>
    <w:div w:id="1826125915">
      <w:bodyDiv w:val="1"/>
      <w:marLeft w:val="0"/>
      <w:marRight w:val="0"/>
      <w:marTop w:val="0"/>
      <w:marBottom w:val="0"/>
      <w:divBdr>
        <w:top w:val="none" w:sz="0" w:space="0" w:color="auto"/>
        <w:left w:val="none" w:sz="0" w:space="0" w:color="auto"/>
        <w:bottom w:val="none" w:sz="0" w:space="0" w:color="auto"/>
        <w:right w:val="none" w:sz="0" w:space="0" w:color="auto"/>
      </w:divBdr>
    </w:div>
    <w:div w:id="1854227346">
      <w:bodyDiv w:val="1"/>
      <w:marLeft w:val="0"/>
      <w:marRight w:val="0"/>
      <w:marTop w:val="0"/>
      <w:marBottom w:val="0"/>
      <w:divBdr>
        <w:top w:val="none" w:sz="0" w:space="0" w:color="auto"/>
        <w:left w:val="none" w:sz="0" w:space="0" w:color="auto"/>
        <w:bottom w:val="none" w:sz="0" w:space="0" w:color="auto"/>
        <w:right w:val="none" w:sz="0" w:space="0" w:color="auto"/>
      </w:divBdr>
    </w:div>
    <w:div w:id="1904176584">
      <w:bodyDiv w:val="1"/>
      <w:marLeft w:val="0"/>
      <w:marRight w:val="0"/>
      <w:marTop w:val="0"/>
      <w:marBottom w:val="0"/>
      <w:divBdr>
        <w:top w:val="none" w:sz="0" w:space="0" w:color="auto"/>
        <w:left w:val="none" w:sz="0" w:space="0" w:color="auto"/>
        <w:bottom w:val="none" w:sz="0" w:space="0" w:color="auto"/>
        <w:right w:val="none" w:sz="0" w:space="0" w:color="auto"/>
      </w:divBdr>
    </w:div>
    <w:div w:id="1925795550">
      <w:bodyDiv w:val="1"/>
      <w:marLeft w:val="0"/>
      <w:marRight w:val="0"/>
      <w:marTop w:val="0"/>
      <w:marBottom w:val="0"/>
      <w:divBdr>
        <w:top w:val="none" w:sz="0" w:space="0" w:color="auto"/>
        <w:left w:val="none" w:sz="0" w:space="0" w:color="auto"/>
        <w:bottom w:val="none" w:sz="0" w:space="0" w:color="auto"/>
        <w:right w:val="none" w:sz="0" w:space="0" w:color="auto"/>
      </w:divBdr>
    </w:div>
    <w:div w:id="1946186485">
      <w:bodyDiv w:val="1"/>
      <w:marLeft w:val="0"/>
      <w:marRight w:val="0"/>
      <w:marTop w:val="0"/>
      <w:marBottom w:val="0"/>
      <w:divBdr>
        <w:top w:val="none" w:sz="0" w:space="0" w:color="auto"/>
        <w:left w:val="none" w:sz="0" w:space="0" w:color="auto"/>
        <w:bottom w:val="none" w:sz="0" w:space="0" w:color="auto"/>
        <w:right w:val="none" w:sz="0" w:space="0" w:color="auto"/>
      </w:divBdr>
    </w:div>
    <w:div w:id="2046175086">
      <w:bodyDiv w:val="1"/>
      <w:marLeft w:val="0"/>
      <w:marRight w:val="0"/>
      <w:marTop w:val="0"/>
      <w:marBottom w:val="0"/>
      <w:divBdr>
        <w:top w:val="none" w:sz="0" w:space="0" w:color="auto"/>
        <w:left w:val="none" w:sz="0" w:space="0" w:color="auto"/>
        <w:bottom w:val="none" w:sz="0" w:space="0" w:color="auto"/>
        <w:right w:val="none" w:sz="0" w:space="0" w:color="auto"/>
      </w:divBdr>
    </w:div>
    <w:div w:id="2123959554">
      <w:bodyDiv w:val="1"/>
      <w:marLeft w:val="0"/>
      <w:marRight w:val="0"/>
      <w:marTop w:val="0"/>
      <w:marBottom w:val="0"/>
      <w:divBdr>
        <w:top w:val="none" w:sz="0" w:space="0" w:color="auto"/>
        <w:left w:val="none" w:sz="0" w:space="0" w:color="auto"/>
        <w:bottom w:val="none" w:sz="0" w:space="0" w:color="auto"/>
        <w:right w:val="none" w:sz="0" w:space="0" w:color="auto"/>
      </w:divBdr>
      <w:divsChild>
        <w:div w:id="1695964340">
          <w:marLeft w:val="893"/>
          <w:marRight w:val="0"/>
          <w:marTop w:val="80"/>
          <w:marBottom w:val="0"/>
          <w:divBdr>
            <w:top w:val="none" w:sz="0" w:space="0" w:color="auto"/>
            <w:left w:val="none" w:sz="0" w:space="0" w:color="auto"/>
            <w:bottom w:val="none" w:sz="0" w:space="0" w:color="auto"/>
            <w:right w:val="none" w:sz="0" w:space="0" w:color="auto"/>
          </w:divBdr>
        </w:div>
      </w:divsChild>
    </w:div>
    <w:div w:id="2144611734">
      <w:bodyDiv w:val="1"/>
      <w:marLeft w:val="0"/>
      <w:marRight w:val="0"/>
      <w:marTop w:val="0"/>
      <w:marBottom w:val="0"/>
      <w:divBdr>
        <w:top w:val="none" w:sz="0" w:space="0" w:color="auto"/>
        <w:left w:val="none" w:sz="0" w:space="0" w:color="auto"/>
        <w:bottom w:val="none" w:sz="0" w:space="0" w:color="auto"/>
        <w:right w:val="none" w:sz="0" w:space="0" w:color="auto"/>
      </w:divBdr>
      <w:divsChild>
        <w:div w:id="16078480">
          <w:marLeft w:val="1008"/>
          <w:marRight w:val="0"/>
          <w:marTop w:val="96"/>
          <w:marBottom w:val="0"/>
          <w:divBdr>
            <w:top w:val="none" w:sz="0" w:space="0" w:color="auto"/>
            <w:left w:val="none" w:sz="0" w:space="0" w:color="auto"/>
            <w:bottom w:val="none" w:sz="0" w:space="0" w:color="auto"/>
            <w:right w:val="none" w:sz="0" w:space="0" w:color="auto"/>
          </w:divBdr>
        </w:div>
        <w:div w:id="1174413331">
          <w:marLeft w:val="432"/>
          <w:marRight w:val="0"/>
          <w:marTop w:val="86"/>
          <w:marBottom w:val="0"/>
          <w:divBdr>
            <w:top w:val="none" w:sz="0" w:space="0" w:color="auto"/>
            <w:left w:val="none" w:sz="0" w:space="0" w:color="auto"/>
            <w:bottom w:val="none" w:sz="0" w:space="0" w:color="auto"/>
            <w:right w:val="none" w:sz="0" w:space="0" w:color="auto"/>
          </w:divBdr>
        </w:div>
        <w:div w:id="203175786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5/wp5a/c/R15-WP5A-C-0650!N33!MSW-E.docx" TargetMode="External"/><Relationship Id="rId18" Type="http://schemas.openxmlformats.org/officeDocument/2006/relationships/hyperlink" Target="https://www.apt.int/sites/default/files/2018/03/APG19-3-INP-50_Japan_WP2.docx" TargetMode="External"/><Relationship Id="rId26" Type="http://schemas.openxmlformats.org/officeDocument/2006/relationships/hyperlink" Target="https://www.apt.int/sites/default/files/2018/03/APG19-3-INF-09_IARU_INF.DOCX" TargetMode="External"/><Relationship Id="rId21" Type="http://schemas.openxmlformats.org/officeDocument/2006/relationships/hyperlink" Target="https://www.apt.int/sites/default/files/2018/03/APG19-3-INP-79_Indonesia_WP2.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tu.int/dms_ties/itu-r/md/15/wp1b/c/R15-WP1B-C-0237!N09!MSW-E.docx" TargetMode="External"/><Relationship Id="rId17" Type="http://schemas.openxmlformats.org/officeDocument/2006/relationships/hyperlink" Target="https://www.apt.int/sites/default/files/2018/03/APG19-3-INP-42_Australia_WP2.docx" TargetMode="External"/><Relationship Id="rId25" Type="http://schemas.openxmlformats.org/officeDocument/2006/relationships/hyperlink" Target="https://www.apt.int/sites/default/files/2018/03/APG19-3-INF-06_CEPT_Preparation.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apt.int/sites/default/files/2018/03/APG19-3-INP-35_New_Zealand_WP2_0.docx" TargetMode="External"/><Relationship Id="rId20" Type="http://schemas.openxmlformats.org/officeDocument/2006/relationships/hyperlink" Target="https://www.apt.int/sites/default/files/2018/03/APG19-3-INP-75_Malaysia_WP2.docx" TargetMode="External"/><Relationship Id="rId29" Type="http://schemas.openxmlformats.org/officeDocument/2006/relationships/hyperlink" Target="https://www.apt.int/sites/default/files/2018/03/APG19-3-INF-06_CEPT_Preparation.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tu.int/dms_ties/itu-r/md/15/wp5d/c/R15-WP5D-C-0875!H03!MSW-E.docx" TargetMode="External"/><Relationship Id="rId24" Type="http://schemas.openxmlformats.org/officeDocument/2006/relationships/hyperlink" Target="https://www.apt.int/sites/default/files/2018/03/APG19-3-INP-97Rev.1_BGD_WP2.docx" TargetMode="External"/><Relationship Id="rId32" Type="http://schemas.openxmlformats.org/officeDocument/2006/relationships/hyperlink" Target="https://www.apt.int/sites/default/files/2018/03/APG19-3-INF-09_IARU_INF.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pt.int/sites/default/files/2018/03/APG19-3-INP-29Rev.1_IRN_WP2.docx" TargetMode="External"/><Relationship Id="rId23" Type="http://schemas.openxmlformats.org/officeDocument/2006/relationships/hyperlink" Target="https://www.apt.int/sites/default/files/2018/03/APG19-3-INP-87_China_WP2.docx" TargetMode="External"/><Relationship Id="rId28" Type="http://schemas.openxmlformats.org/officeDocument/2006/relationships/hyperlink" Target="https://www.apt.int/sites/default/files/2018/03/APG19-3-INP-97Rev.1_BGD_WP2.docx" TargetMode="External"/><Relationship Id="rId36" Type="http://schemas.openxmlformats.org/officeDocument/2006/relationships/footer" Target="footer3.xml"/><Relationship Id="rId10" Type="http://schemas.openxmlformats.org/officeDocument/2006/relationships/hyperlink" Target="https://www.itu.int/md/dologin_md.asp?lang=en&amp;id=R15-WP5D-C-0875!H03!MSW-E" TargetMode="External"/><Relationship Id="rId19" Type="http://schemas.openxmlformats.org/officeDocument/2006/relationships/hyperlink" Target="https://www.apt.int/sites/default/files/2018/03/APG19-3-INP-72_Singapore-Thailand_WP2.docx" TargetMode="External"/><Relationship Id="rId31" Type="http://schemas.openxmlformats.org/officeDocument/2006/relationships/hyperlink" Target="file:///D:\APG\APG19-2\OUT-2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pt.int/sites/default/files/2018/03/APG19-3-INP-15_IND_WP2_0.docx" TargetMode="External"/><Relationship Id="rId22" Type="http://schemas.openxmlformats.org/officeDocument/2006/relationships/hyperlink" Target="https://www.apt.int/sites/default/files/2018/03/APG19-3-INP-83_Vietnam_WP2.docx" TargetMode="External"/><Relationship Id="rId27" Type="http://schemas.openxmlformats.org/officeDocument/2006/relationships/hyperlink" Target="https://www.itu.int/dms_ties/itu-r/md/15/wp5d/c/R15-WP5D-C-0875!H03!MSW-E.docx" TargetMode="External"/><Relationship Id="rId30" Type="http://schemas.openxmlformats.org/officeDocument/2006/relationships/hyperlink" Target="file:///D:\APG\APG19-2\OUT-27"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hyperlink" Target="mailto:kyungmee5@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D66DF-B023-40EE-9B86-33B378FB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2524</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16884</CharactersWithSpaces>
  <SharedDoc>false</SharedDoc>
  <HLinks>
    <vt:vector size="6" baseType="variant">
      <vt:variant>
        <vt:i4>4456449</vt:i4>
      </vt:variant>
      <vt:variant>
        <vt:i4>0</vt:i4>
      </vt:variant>
      <vt:variant>
        <vt:i4>0</vt:i4>
      </vt:variant>
      <vt:variant>
        <vt:i4>5</vt:i4>
      </vt:variant>
      <vt:variant>
        <vt:lpwstr>http://www.itu.int/md/R00-CA-CIR-0201/en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4</cp:revision>
  <cp:lastPrinted>2004-07-28T02:14:00Z</cp:lastPrinted>
  <dcterms:created xsi:type="dcterms:W3CDTF">2018-03-16T05:22:00Z</dcterms:created>
  <dcterms:modified xsi:type="dcterms:W3CDTF">2018-03-20T02:29:00Z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2\9.1.8\APG19-3-TEMP-XX_PV_Issue_9.1.8_ver4_clean version (2).docx</vt:lpwstr>
  </property>
</Properties>
</file>