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A3E88" w:rsidRPr="00891D0B" w14:paraId="4B03A116" w14:textId="77777777" w:rsidTr="00214505">
        <w:trPr>
          <w:cantSplit/>
          <w:trHeight w:val="288"/>
        </w:trPr>
        <w:tc>
          <w:tcPr>
            <w:tcW w:w="1399" w:type="dxa"/>
            <w:vMerge w:val="restart"/>
          </w:tcPr>
          <w:p w14:paraId="3E0AAF76" w14:textId="77777777" w:rsidR="006A3E88" w:rsidRPr="00891D0B" w:rsidRDefault="006A3E88"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B5183AA" wp14:editId="5134C37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AFA0873" w14:textId="77777777" w:rsidR="006A3E88" w:rsidRPr="00891D0B" w:rsidRDefault="006A3E88" w:rsidP="00214505">
            <w:pPr>
              <w:spacing w:before="40"/>
              <w:rPr>
                <w:sz w:val="22"/>
                <w:szCs w:val="22"/>
              </w:rPr>
            </w:pPr>
            <w:r w:rsidRPr="00891D0B">
              <w:rPr>
                <w:sz w:val="22"/>
                <w:szCs w:val="22"/>
              </w:rPr>
              <w:t>ASIA-PACIFIC TELECOMMUNITY</w:t>
            </w:r>
          </w:p>
        </w:tc>
        <w:tc>
          <w:tcPr>
            <w:tcW w:w="2160" w:type="dxa"/>
          </w:tcPr>
          <w:p w14:paraId="252301AA" w14:textId="77777777" w:rsidR="006A3E88" w:rsidRPr="00891D0B" w:rsidRDefault="006A3E88" w:rsidP="00214505">
            <w:pPr>
              <w:pStyle w:val="Heading8"/>
              <w:spacing w:before="40"/>
              <w:rPr>
                <w:sz w:val="24"/>
                <w:szCs w:val="24"/>
              </w:rPr>
            </w:pPr>
            <w:r>
              <w:rPr>
                <w:sz w:val="24"/>
                <w:szCs w:val="24"/>
              </w:rPr>
              <w:t>Document No:</w:t>
            </w:r>
          </w:p>
        </w:tc>
      </w:tr>
      <w:tr w:rsidR="006A3E88" w:rsidRPr="00C15799" w14:paraId="24613737" w14:textId="77777777" w:rsidTr="00214505">
        <w:trPr>
          <w:cantSplit/>
          <w:trHeight w:val="504"/>
        </w:trPr>
        <w:tc>
          <w:tcPr>
            <w:tcW w:w="1399" w:type="dxa"/>
            <w:vMerge/>
          </w:tcPr>
          <w:p w14:paraId="6547AA06" w14:textId="77777777" w:rsidR="006A3E88" w:rsidRPr="00891D0B" w:rsidRDefault="006A3E88" w:rsidP="00214505"/>
        </w:tc>
        <w:tc>
          <w:tcPr>
            <w:tcW w:w="5760" w:type="dxa"/>
            <w:vAlign w:val="center"/>
          </w:tcPr>
          <w:p w14:paraId="09528AA4" w14:textId="77777777" w:rsidR="006A3E88" w:rsidRDefault="006A3E88" w:rsidP="00214505">
            <w:pPr>
              <w:spacing w:before="40"/>
              <w:rPr>
                <w:b/>
              </w:rPr>
            </w:pPr>
            <w:r>
              <w:rPr>
                <w:b/>
              </w:rPr>
              <w:t>The 4th Meeting of the APT Conference Preparatory</w:t>
            </w:r>
          </w:p>
          <w:p w14:paraId="3E9D5C9E" w14:textId="77777777" w:rsidR="006A3E88" w:rsidRPr="00891D0B" w:rsidRDefault="006A3E88" w:rsidP="00214505">
            <w:pPr>
              <w:spacing w:line="0" w:lineRule="atLeast"/>
            </w:pPr>
            <w:r>
              <w:rPr>
                <w:b/>
              </w:rPr>
              <w:t>Group for WRC-19 (APG19-4)</w:t>
            </w:r>
          </w:p>
        </w:tc>
        <w:tc>
          <w:tcPr>
            <w:tcW w:w="2160" w:type="dxa"/>
          </w:tcPr>
          <w:p w14:paraId="35F6E53A" w14:textId="7113C0C3" w:rsidR="006A3E88" w:rsidRDefault="006A3E88" w:rsidP="00214505">
            <w:pPr>
              <w:spacing w:before="40"/>
              <w:rPr>
                <w:b/>
                <w:bCs/>
                <w:lang w:val="fr-FR"/>
              </w:rPr>
            </w:pPr>
            <w:r w:rsidRPr="00C96104">
              <w:rPr>
                <w:b/>
                <w:bCs/>
                <w:lang w:val="fr-FR"/>
              </w:rPr>
              <w:t>AP</w:t>
            </w:r>
            <w:r>
              <w:rPr>
                <w:b/>
                <w:bCs/>
                <w:lang w:val="fr-FR"/>
              </w:rPr>
              <w:t>G19-4/</w:t>
            </w:r>
            <w:r>
              <w:rPr>
                <w:b/>
                <w:bCs/>
                <w:lang w:val="fr-FR"/>
              </w:rPr>
              <w:t>OUT</w:t>
            </w:r>
            <w:r>
              <w:rPr>
                <w:b/>
                <w:bCs/>
                <w:lang w:val="fr-FR"/>
              </w:rPr>
              <w:t>-</w:t>
            </w:r>
            <w:r>
              <w:rPr>
                <w:b/>
                <w:bCs/>
                <w:lang w:val="fr-FR"/>
              </w:rPr>
              <w:t>16</w:t>
            </w:r>
          </w:p>
          <w:p w14:paraId="5BC4B504" w14:textId="77777777" w:rsidR="006A3E88" w:rsidRPr="007E1FDD" w:rsidRDefault="006A3E88" w:rsidP="00214505">
            <w:pPr>
              <w:rPr>
                <w:b/>
                <w:bCs/>
                <w:lang w:val="en-GB"/>
              </w:rPr>
            </w:pPr>
          </w:p>
        </w:tc>
      </w:tr>
      <w:tr w:rsidR="006A3E88" w:rsidRPr="00891D0B" w14:paraId="291AFC65" w14:textId="77777777" w:rsidTr="00214505">
        <w:trPr>
          <w:cantSplit/>
          <w:trHeight w:val="288"/>
        </w:trPr>
        <w:tc>
          <w:tcPr>
            <w:tcW w:w="1399" w:type="dxa"/>
            <w:vMerge/>
          </w:tcPr>
          <w:p w14:paraId="40900DE0" w14:textId="77777777" w:rsidR="006A3E88" w:rsidRPr="007E1FDD" w:rsidRDefault="006A3E88" w:rsidP="00214505">
            <w:pPr>
              <w:rPr>
                <w:lang w:val="en-GB"/>
              </w:rPr>
            </w:pPr>
          </w:p>
        </w:tc>
        <w:tc>
          <w:tcPr>
            <w:tcW w:w="5760" w:type="dxa"/>
            <w:vAlign w:val="bottom"/>
          </w:tcPr>
          <w:p w14:paraId="71711C7E" w14:textId="77777777" w:rsidR="006A3E88" w:rsidRPr="00712451" w:rsidRDefault="006A3E88" w:rsidP="00214505">
            <w:pPr>
              <w:spacing w:before="40"/>
              <w:rPr>
                <w:b/>
              </w:rPr>
            </w:pPr>
            <w:r>
              <w:t>7 – 12 January 2019</w:t>
            </w:r>
            <w:r w:rsidRPr="00891D0B">
              <w:t xml:space="preserve">, </w:t>
            </w:r>
            <w:r>
              <w:t>Busan, Republic of Korea</w:t>
            </w:r>
          </w:p>
        </w:tc>
        <w:tc>
          <w:tcPr>
            <w:tcW w:w="2160" w:type="dxa"/>
            <w:vAlign w:val="bottom"/>
          </w:tcPr>
          <w:p w14:paraId="1B5F10FA" w14:textId="014B95BF" w:rsidR="006A3E88" w:rsidRPr="007E1FDD" w:rsidRDefault="006A3E88" w:rsidP="006A3E88">
            <w:pPr>
              <w:spacing w:before="40"/>
              <w:rPr>
                <w:bCs/>
              </w:rPr>
            </w:pPr>
            <w:r>
              <w:rPr>
                <w:bCs/>
              </w:rPr>
              <w:t>12</w:t>
            </w:r>
            <w:r w:rsidRPr="007E1FDD">
              <w:rPr>
                <w:bCs/>
              </w:rPr>
              <w:t xml:space="preserve"> </w:t>
            </w:r>
            <w:r>
              <w:rPr>
                <w:bCs/>
              </w:rPr>
              <w:t>January 2019</w:t>
            </w:r>
          </w:p>
        </w:tc>
      </w:tr>
    </w:tbl>
    <w:p w14:paraId="1C820452" w14:textId="77777777" w:rsidR="00D13D9D" w:rsidRPr="00441526" w:rsidRDefault="00D13D9D" w:rsidP="00DA7595">
      <w:pPr>
        <w:rPr>
          <w:lang w:val="en-NZ" w:eastAsia="ko-KR"/>
        </w:rPr>
      </w:pPr>
    </w:p>
    <w:p w14:paraId="42EC78C2" w14:textId="77777777" w:rsidR="00311E8A" w:rsidRPr="00FD4A42" w:rsidRDefault="00311E8A" w:rsidP="0072518B">
      <w:pPr>
        <w:jc w:val="center"/>
        <w:rPr>
          <w:lang w:val="en-NZ"/>
        </w:rPr>
      </w:pPr>
    </w:p>
    <w:p w14:paraId="04E18272" w14:textId="531FF5D8" w:rsidR="00B64A60" w:rsidRPr="006A3E88" w:rsidRDefault="0026064A" w:rsidP="00B64A60">
      <w:pPr>
        <w:jc w:val="center"/>
        <w:rPr>
          <w:bCs/>
          <w:lang w:eastAsia="zh-CN"/>
        </w:rPr>
      </w:pPr>
      <w:r w:rsidRPr="009B4D8C">
        <w:rPr>
          <w:b/>
          <w:lang w:val="en-NZ" w:eastAsia="ko-KR"/>
        </w:rPr>
        <w:t xml:space="preserve"> </w:t>
      </w:r>
      <w:r w:rsidR="00B8428D" w:rsidRPr="006A3E88">
        <w:rPr>
          <w:lang w:val="en-NZ" w:eastAsia="ko-KR"/>
        </w:rPr>
        <w:t>Working Party 1</w:t>
      </w:r>
    </w:p>
    <w:p w14:paraId="5A560C54" w14:textId="77777777" w:rsidR="00B64A60" w:rsidRPr="00441526" w:rsidRDefault="00B64A60" w:rsidP="00B64A60">
      <w:pPr>
        <w:jc w:val="center"/>
        <w:rPr>
          <w:b/>
          <w:bCs/>
          <w:caps/>
          <w:lang w:val="en-NZ"/>
        </w:rPr>
      </w:pPr>
    </w:p>
    <w:p w14:paraId="3223E635" w14:textId="53ADB5FE" w:rsidR="00B64A60" w:rsidRPr="00441526" w:rsidRDefault="00B64A60" w:rsidP="00B64A60">
      <w:pPr>
        <w:jc w:val="center"/>
        <w:rPr>
          <w:b/>
          <w:bCs/>
          <w:caps/>
          <w:lang w:val="en-NZ"/>
        </w:rPr>
      </w:pPr>
      <w:r w:rsidRPr="00441526">
        <w:rPr>
          <w:b/>
          <w:bCs/>
          <w:caps/>
          <w:lang w:val="en-NZ"/>
        </w:rPr>
        <w:t>PRELIMINARY VIEWs on WRC-19 agenda item 1.</w:t>
      </w:r>
      <w:r w:rsidR="00B72A0E">
        <w:rPr>
          <w:b/>
          <w:bCs/>
          <w:caps/>
          <w:lang w:val="en-NZ"/>
        </w:rPr>
        <w:t>12</w:t>
      </w:r>
    </w:p>
    <w:p w14:paraId="2643441D" w14:textId="77777777" w:rsidR="00B64A60" w:rsidRDefault="00B64A60" w:rsidP="006A3E88">
      <w:pPr>
        <w:rPr>
          <w:lang w:val="en-NZ"/>
        </w:rPr>
      </w:pPr>
    </w:p>
    <w:p w14:paraId="3D33E1FC" w14:textId="77777777" w:rsidR="006A3E88" w:rsidRPr="00441526" w:rsidRDefault="006A3E88" w:rsidP="006A3E88">
      <w:pPr>
        <w:rPr>
          <w:lang w:val="en-NZ"/>
        </w:rPr>
      </w:pPr>
    </w:p>
    <w:p w14:paraId="7D98E399" w14:textId="77777777" w:rsidR="00B64A60" w:rsidRPr="00441526" w:rsidRDefault="00B64A60" w:rsidP="006A3E88">
      <w:pPr>
        <w:jc w:val="both"/>
        <w:rPr>
          <w:lang w:val="en-NZ"/>
        </w:rPr>
      </w:pPr>
      <w:r w:rsidRPr="00441526">
        <w:rPr>
          <w:b/>
          <w:lang w:val="en-NZ"/>
        </w:rPr>
        <w:t>Agenda Item 1.</w:t>
      </w:r>
      <w:r w:rsidR="00B72A0E">
        <w:rPr>
          <w:b/>
          <w:lang w:val="en-NZ"/>
        </w:rPr>
        <w:t>12</w:t>
      </w:r>
      <w:r w:rsidRPr="00441526">
        <w:rPr>
          <w:b/>
          <w:lang w:val="en-NZ"/>
        </w:rPr>
        <w:t xml:space="preserve">: </w:t>
      </w:r>
    </w:p>
    <w:p w14:paraId="6D606754" w14:textId="77777777" w:rsidR="00B72A0E" w:rsidRDefault="00B72A0E" w:rsidP="00B72A0E">
      <w:pPr>
        <w:jc w:val="both"/>
        <w:rPr>
          <w:i/>
          <w:lang w:val="en-NZ"/>
        </w:rPr>
      </w:pPr>
      <w:r w:rsidRPr="00FD1A60">
        <w:rPr>
          <w:i/>
          <w:lang w:val="en-NZ"/>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2715FD">
        <w:rPr>
          <w:b/>
          <w:bCs/>
          <w:i/>
          <w:lang w:val="en-NZ"/>
        </w:rPr>
        <w:t>237 (WRC-15)</w:t>
      </w:r>
      <w:r w:rsidRPr="00FD1A60">
        <w:rPr>
          <w:i/>
          <w:lang w:val="en-NZ"/>
        </w:rPr>
        <w:t>;</w:t>
      </w:r>
    </w:p>
    <w:p w14:paraId="2669005F" w14:textId="77777777" w:rsidR="00B64A60" w:rsidRPr="00441526" w:rsidRDefault="00B64A60" w:rsidP="00B64A60">
      <w:pPr>
        <w:jc w:val="both"/>
        <w:rPr>
          <w:lang w:val="en-NZ"/>
        </w:rPr>
      </w:pPr>
    </w:p>
    <w:p w14:paraId="254003EC" w14:textId="77777777" w:rsidR="00B64A60"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bookmarkStart w:id="0" w:name="_GoBack"/>
      <w:bookmarkEnd w:id="0"/>
    </w:p>
    <w:p w14:paraId="336B6FD7" w14:textId="7AFDD7F1" w:rsidR="00603710" w:rsidRPr="00A10C79" w:rsidRDefault="00603710" w:rsidP="00603710">
      <w:pPr>
        <w:jc w:val="both"/>
        <w:rPr>
          <w:rFonts w:eastAsiaTheme="minorEastAsia"/>
          <w:lang w:eastAsia="ja-JP"/>
        </w:rPr>
      </w:pPr>
      <w:r w:rsidRPr="00326CA2">
        <w:rPr>
          <w:rFonts w:eastAsia="SimSun"/>
          <w:lang w:eastAsia="zh-CN"/>
        </w:rPr>
        <w:t xml:space="preserve">As the responsible group of WRC-19 </w:t>
      </w:r>
      <w:r w:rsidR="00C7023C">
        <w:rPr>
          <w:rFonts w:eastAsia="SimSun"/>
          <w:lang w:eastAsia="zh-CN"/>
        </w:rPr>
        <w:t>a</w:t>
      </w:r>
      <w:r w:rsidRPr="00326CA2">
        <w:rPr>
          <w:rFonts w:eastAsia="SimSun"/>
          <w:lang w:eastAsia="zh-CN"/>
        </w:rPr>
        <w:t>genda item 1.12 in ITU-R, Working Party 5A (WP</w:t>
      </w:r>
      <w:r w:rsidR="00E74A3A">
        <w:rPr>
          <w:rFonts w:eastAsia="SimSun"/>
          <w:lang w:eastAsia="zh-CN"/>
        </w:rPr>
        <w:t xml:space="preserve"> </w:t>
      </w:r>
      <w:r w:rsidRPr="00326CA2">
        <w:rPr>
          <w:rFonts w:eastAsia="SimSun"/>
          <w:lang w:eastAsia="zh-CN"/>
        </w:rPr>
        <w:t xml:space="preserve">5A) </w:t>
      </w:r>
      <w:r w:rsidRPr="00326CA2">
        <w:rPr>
          <w:rFonts w:eastAsia="SimSun"/>
        </w:rPr>
        <w:t xml:space="preserve">had </w:t>
      </w:r>
      <w:r>
        <w:rPr>
          <w:rFonts w:eastAsia="SimSun"/>
        </w:rPr>
        <w:t>two</w:t>
      </w:r>
      <w:r w:rsidRPr="00326CA2">
        <w:rPr>
          <w:rFonts w:eastAsia="SimSun"/>
        </w:rPr>
        <w:t xml:space="preserve"> meeting</w:t>
      </w:r>
      <w:r>
        <w:rPr>
          <w:rFonts w:eastAsia="SimSun"/>
        </w:rPr>
        <w:t>s</w:t>
      </w:r>
      <w:r w:rsidRPr="00326CA2">
        <w:rPr>
          <w:rFonts w:eastAsia="SimSun"/>
        </w:rPr>
        <w:t xml:space="preserve"> since APG</w:t>
      </w:r>
      <w:r w:rsidR="00C7023C">
        <w:rPr>
          <w:rFonts w:eastAsia="SimSun"/>
        </w:rPr>
        <w:t xml:space="preserve"> </w:t>
      </w:r>
      <w:r w:rsidRPr="00326CA2">
        <w:rPr>
          <w:rFonts w:eastAsia="SimSun"/>
        </w:rPr>
        <w:t>19-</w:t>
      </w:r>
      <w:r>
        <w:rPr>
          <w:rFonts w:eastAsia="SimSun"/>
        </w:rPr>
        <w:t>3</w:t>
      </w:r>
      <w:r w:rsidRPr="00326CA2">
        <w:rPr>
          <w:rFonts w:eastAsia="SimSun"/>
        </w:rPr>
        <w:t xml:space="preserve"> meeting. </w:t>
      </w:r>
      <w:r w:rsidRPr="00326CA2">
        <w:rPr>
          <w:rFonts w:eastAsia="SimSun"/>
          <w:lang w:eastAsia="zh-CN"/>
        </w:rPr>
        <w:t>WP</w:t>
      </w:r>
      <w:r w:rsidR="00C7023C">
        <w:rPr>
          <w:rFonts w:eastAsia="SimSun"/>
          <w:lang w:eastAsia="zh-CN"/>
        </w:rPr>
        <w:t xml:space="preserve"> </w:t>
      </w:r>
      <w:r w:rsidRPr="00326CA2">
        <w:rPr>
          <w:rFonts w:eastAsia="SimSun"/>
          <w:lang w:eastAsia="zh-CN"/>
        </w:rPr>
        <w:t xml:space="preserve">5A developed </w:t>
      </w:r>
      <w:r>
        <w:rPr>
          <w:rFonts w:eastAsia="SimSun"/>
          <w:lang w:eastAsia="zh-CN"/>
        </w:rPr>
        <w:t>the</w:t>
      </w:r>
      <w:r w:rsidRPr="00326CA2">
        <w:rPr>
          <w:rFonts w:eastAsia="SimSun"/>
          <w:lang w:eastAsia="zh-CN"/>
        </w:rPr>
        <w:t xml:space="preserve"> </w:t>
      </w:r>
      <w:r w:rsidRPr="00326CA2">
        <w:rPr>
          <w:rFonts w:eastAsia="Times New Roman"/>
          <w:bCs/>
          <w:lang w:eastAsia="zh-CN"/>
        </w:rPr>
        <w:t xml:space="preserve">draft CPM </w:t>
      </w:r>
      <w:r w:rsidR="00C7023C">
        <w:rPr>
          <w:rFonts w:eastAsia="Times New Roman"/>
          <w:bCs/>
          <w:lang w:eastAsia="zh-CN"/>
        </w:rPr>
        <w:t>text</w:t>
      </w:r>
      <w:r w:rsidRPr="00326CA2">
        <w:rPr>
          <w:rFonts w:eastAsia="Times New Roman"/>
          <w:bCs/>
          <w:lang w:eastAsia="zh-CN"/>
        </w:rPr>
        <w:t xml:space="preserve"> for this agenda item</w:t>
      </w:r>
      <w:r w:rsidRPr="00326CA2">
        <w:rPr>
          <w:rFonts w:eastAsia="SimSun"/>
          <w:lang w:eastAsia="zh-CN"/>
        </w:rPr>
        <w:t xml:space="preserve">. </w:t>
      </w:r>
      <w:r w:rsidRPr="00326CA2">
        <w:t>WP 5A</w:t>
      </w:r>
      <w:r>
        <w:t xml:space="preserve"> </w:t>
      </w:r>
      <w:r w:rsidRPr="00A10C79">
        <w:rPr>
          <w:rFonts w:eastAsiaTheme="minorEastAsia"/>
          <w:lang w:eastAsia="ja-JP"/>
        </w:rPr>
        <w:t>further</w:t>
      </w:r>
      <w:r>
        <w:t xml:space="preserve"> developed</w:t>
      </w:r>
      <w:r>
        <w:rPr>
          <w:rFonts w:eastAsia="Times New Roman"/>
          <w:lang w:bidi="en-US"/>
        </w:rPr>
        <w:t xml:space="preserve"> </w:t>
      </w:r>
      <w:r w:rsidRPr="00326CA2">
        <w:t>a draft new Recommendation ITU-R M.[ITS_FRQ] dealing with harmonized frequency bands</w:t>
      </w:r>
      <w:r>
        <w:t>.</w:t>
      </w:r>
      <w:r w:rsidRPr="00326CA2">
        <w:t xml:space="preserve"> </w:t>
      </w:r>
      <w:r>
        <w:t>It</w:t>
      </w:r>
      <w:r w:rsidRPr="00A10C79">
        <w:t xml:space="preserve"> was agreed by ITU-R </w:t>
      </w:r>
      <w:r>
        <w:t>Study Group 5 (</w:t>
      </w:r>
      <w:r w:rsidRPr="00A10C79">
        <w:t>SG</w:t>
      </w:r>
      <w:r w:rsidR="00C7023C">
        <w:t xml:space="preserve"> </w:t>
      </w:r>
      <w:r w:rsidRPr="00A10C79">
        <w:t>5</w:t>
      </w:r>
      <w:r>
        <w:t>)</w:t>
      </w:r>
      <w:r w:rsidRPr="00A10C79">
        <w:t xml:space="preserve"> for approval using the procedure of simultaneous adoption and approval (PSAA).</w:t>
      </w:r>
      <w:r>
        <w:t xml:space="preserve"> </w:t>
      </w:r>
      <w:r w:rsidRPr="00326CA2">
        <w:t xml:space="preserve">WP 5A </w:t>
      </w:r>
      <w:r>
        <w:t>also</w:t>
      </w:r>
      <w:r w:rsidRPr="00326CA2">
        <w:t xml:space="preserve"> developed a draft new Report ITU-R M.[ITS USAGE] covering overall ITS usage</w:t>
      </w:r>
      <w:r w:rsidRPr="00326CA2">
        <w:rPr>
          <w:rFonts w:eastAsia="Times New Roman"/>
          <w:lang w:bidi="en-US"/>
        </w:rPr>
        <w:t xml:space="preserve"> in various countries</w:t>
      </w:r>
      <w:r w:rsidRPr="00327202">
        <w:t xml:space="preserve"> </w:t>
      </w:r>
      <w:r w:rsidRPr="00A10C79">
        <w:t xml:space="preserve">and </w:t>
      </w:r>
      <w:r>
        <w:t xml:space="preserve">a draft </w:t>
      </w:r>
      <w:r w:rsidRPr="00A10C79">
        <w:rPr>
          <w:rFonts w:eastAsiaTheme="minorEastAsia"/>
          <w:lang w:eastAsia="ja-JP"/>
        </w:rPr>
        <w:t>new Report ITU-R M.[ITS_ARR]</w:t>
      </w:r>
      <w:r>
        <w:rPr>
          <w:lang w:val="en-NZ"/>
        </w:rPr>
        <w:t xml:space="preserve"> </w:t>
      </w:r>
      <w:r w:rsidRPr="00A10C79">
        <w:rPr>
          <w:rFonts w:eastAsia="Malgun Gothic"/>
          <w:color w:val="000000" w:themeColor="text1"/>
          <w:lang w:eastAsia="ko-KR"/>
        </w:rPr>
        <w:t>describ</w:t>
      </w:r>
      <w:r>
        <w:rPr>
          <w:rFonts w:eastAsia="Malgun Gothic"/>
          <w:color w:val="000000" w:themeColor="text1"/>
          <w:lang w:eastAsia="ko-KR"/>
        </w:rPr>
        <w:t>ing</w:t>
      </w:r>
      <w:r w:rsidRPr="00A10C79">
        <w:rPr>
          <w:rFonts w:eastAsia="Malgun Gothic"/>
          <w:color w:val="000000" w:themeColor="text1"/>
          <w:lang w:eastAsia="ko-KR"/>
        </w:rPr>
        <w:t xml:space="preserve"> </w:t>
      </w:r>
      <w:r>
        <w:rPr>
          <w:rFonts w:eastAsia="Malgun Gothic"/>
          <w:color w:val="000000" w:themeColor="text1"/>
          <w:lang w:eastAsia="ko-KR"/>
        </w:rPr>
        <w:t>e</w:t>
      </w:r>
      <w:r w:rsidRPr="00A10C79">
        <w:rPr>
          <w:lang w:eastAsia="zh-CN"/>
        </w:rPr>
        <w:t xml:space="preserve">xamples of </w:t>
      </w:r>
      <w:r>
        <w:rPr>
          <w:lang w:eastAsia="zh-CN"/>
        </w:rPr>
        <w:t>a</w:t>
      </w:r>
      <w:r w:rsidRPr="00A10C79">
        <w:rPr>
          <w:lang w:eastAsia="zh-CN"/>
        </w:rPr>
        <w:t>rrangements</w:t>
      </w:r>
      <w:r w:rsidRPr="00A10C79">
        <w:rPr>
          <w:rFonts w:eastAsia="Malgun Gothic"/>
          <w:color w:val="000000" w:themeColor="text1"/>
          <w:lang w:eastAsia="ko-KR"/>
        </w:rPr>
        <w:t xml:space="preserve"> </w:t>
      </w:r>
      <w:r w:rsidRPr="001E12D8">
        <w:rPr>
          <w:rFonts w:eastAsia="Malgun Gothic"/>
          <w:color w:val="000000" w:themeColor="text1"/>
          <w:lang w:eastAsia="ko-KR"/>
        </w:rPr>
        <w:t>for ITS deployments</w:t>
      </w:r>
      <w:r w:rsidRPr="00A10C79">
        <w:rPr>
          <w:rFonts w:eastAsia="Malgun Gothic"/>
          <w:color w:val="000000" w:themeColor="text1"/>
          <w:lang w:eastAsia="ko-KR"/>
        </w:rPr>
        <w:t>.</w:t>
      </w:r>
      <w:r w:rsidRPr="00327202">
        <w:rPr>
          <w:rFonts w:eastAsia="Malgun Gothic"/>
          <w:color w:val="000000" w:themeColor="text1"/>
          <w:lang w:eastAsia="ko-KR"/>
        </w:rPr>
        <w:t xml:space="preserve"> </w:t>
      </w:r>
      <w:r>
        <w:rPr>
          <w:rFonts w:eastAsia="Malgun Gothic"/>
          <w:color w:val="000000" w:themeColor="text1"/>
          <w:lang w:eastAsia="ko-KR"/>
        </w:rPr>
        <w:t xml:space="preserve">These </w:t>
      </w:r>
      <w:r>
        <w:t xml:space="preserve">draft </w:t>
      </w:r>
      <w:r w:rsidRPr="00A10C79">
        <w:rPr>
          <w:rFonts w:eastAsiaTheme="minorEastAsia"/>
          <w:lang w:eastAsia="ja-JP"/>
        </w:rPr>
        <w:t xml:space="preserve">new </w:t>
      </w:r>
      <w:r>
        <w:rPr>
          <w:rFonts w:eastAsiaTheme="minorEastAsia"/>
          <w:lang w:eastAsia="ja-JP"/>
        </w:rPr>
        <w:t>r</w:t>
      </w:r>
      <w:r w:rsidRPr="00A10C79">
        <w:rPr>
          <w:rFonts w:eastAsiaTheme="minorEastAsia"/>
          <w:lang w:eastAsia="ja-JP"/>
        </w:rPr>
        <w:t>eport</w:t>
      </w:r>
      <w:r>
        <w:rPr>
          <w:rFonts w:eastAsiaTheme="minorEastAsia"/>
          <w:lang w:eastAsia="ja-JP"/>
        </w:rPr>
        <w:t>s</w:t>
      </w:r>
      <w:r w:rsidRPr="00A10C79">
        <w:t xml:space="preserve"> </w:t>
      </w:r>
      <w:r>
        <w:t xml:space="preserve">were approved </w:t>
      </w:r>
      <w:r w:rsidRPr="00A10C79">
        <w:t xml:space="preserve">by SG5. </w:t>
      </w:r>
      <w:r w:rsidRPr="00A10C79">
        <w:rPr>
          <w:rFonts w:eastAsiaTheme="minorEastAsia"/>
          <w:lang w:eastAsia="ja-JP"/>
        </w:rPr>
        <w:t xml:space="preserve">In AWG, APT Report </w:t>
      </w:r>
      <w:r>
        <w:rPr>
          <w:rFonts w:eastAsiaTheme="minorEastAsia"/>
          <w:lang w:eastAsia="ja-JP"/>
        </w:rPr>
        <w:t>on “</w:t>
      </w:r>
      <w:r w:rsidRPr="00E413E9">
        <w:rPr>
          <w:rFonts w:eastAsiaTheme="minorEastAsia"/>
          <w:lang w:eastAsia="ja-JP"/>
        </w:rPr>
        <w:t>Usage of Intelligent Transportation Systems in APT Countries</w:t>
      </w:r>
      <w:r>
        <w:rPr>
          <w:rFonts w:eastAsiaTheme="minorEastAsia"/>
          <w:lang w:eastAsia="ja-JP"/>
        </w:rPr>
        <w:t>” (</w:t>
      </w:r>
      <w:r w:rsidRPr="00E413E9">
        <w:rPr>
          <w:rFonts w:eastAsiaTheme="minorEastAsia"/>
          <w:lang w:eastAsia="ja-JP"/>
        </w:rPr>
        <w:t>APT/AWG/REP-18 (Rev.2)</w:t>
      </w:r>
      <w:r>
        <w:rPr>
          <w:rFonts w:eastAsiaTheme="minorEastAsia"/>
          <w:lang w:eastAsia="ja-JP"/>
        </w:rPr>
        <w:t>)</w:t>
      </w:r>
      <w:r w:rsidRPr="00A10C79">
        <w:rPr>
          <w:rFonts w:eastAsiaTheme="minorEastAsia"/>
          <w:lang w:eastAsia="ja-JP"/>
        </w:rPr>
        <w:t xml:space="preserve"> was published. </w:t>
      </w:r>
    </w:p>
    <w:p w14:paraId="6A19164D" w14:textId="77777777" w:rsidR="00527E98" w:rsidRDefault="00603710" w:rsidP="00000002">
      <w:pPr>
        <w:spacing w:before="120"/>
        <w:jc w:val="both"/>
        <w:rPr>
          <w:lang w:val="en-NZ"/>
        </w:rPr>
      </w:pPr>
      <w:r w:rsidRPr="00527E98">
        <w:rPr>
          <w:lang w:val="en-NZ"/>
        </w:rPr>
        <w:t>Relevant ITU-R Reports/Recommendations, APT Reports/Recommendations and ongoing studies are as follows:</w:t>
      </w:r>
      <w:r w:rsidR="000C0878" w:rsidRPr="00000002">
        <w:rPr>
          <w:lang w:val="en-NZ"/>
        </w:rPr>
        <w:t xml:space="preserve"> </w:t>
      </w:r>
    </w:p>
    <w:p w14:paraId="7CFA61A3" w14:textId="5F797E0F" w:rsidR="00182E38" w:rsidRPr="00000002" w:rsidRDefault="00182E38" w:rsidP="00000002">
      <w:pPr>
        <w:pStyle w:val="ListParagraph"/>
        <w:numPr>
          <w:ilvl w:val="0"/>
          <w:numId w:val="37"/>
        </w:numPr>
        <w:ind w:hanging="720"/>
        <w:jc w:val="both"/>
        <w:rPr>
          <w:rFonts w:eastAsia="Malgun Gothic"/>
          <w:color w:val="000000" w:themeColor="text1"/>
          <w:lang w:eastAsia="ko-KR"/>
        </w:rPr>
      </w:pPr>
      <w:r w:rsidRPr="00000002">
        <w:rPr>
          <w:rFonts w:eastAsia="Malgun Gothic"/>
          <w:color w:val="000000" w:themeColor="text1"/>
          <w:lang w:eastAsia="ko-KR"/>
        </w:rPr>
        <w:t>Recommendation ITU-R M.1452-2, “Millimetre wave radiocommunication systems for ITS applications”, 2012.</w:t>
      </w:r>
    </w:p>
    <w:p w14:paraId="2C809C42" w14:textId="77777777" w:rsidR="00182E38" w:rsidRPr="00B224EB"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Recommendation ITU-R M.1453-2, “Intelligent Transport Systems – Dedicated Short Range Communications at 5.8 GHz”, 2005.</w:t>
      </w:r>
    </w:p>
    <w:p w14:paraId="5CF754FC" w14:textId="77777777" w:rsidR="00182E38" w:rsidRPr="00B224EB"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Draft revision of Recommendation ITU-R M.1890-0, “Operational radiocommunication objectives and requirements for advanced Intelligent Transport Systems”</w:t>
      </w:r>
    </w:p>
    <w:p w14:paraId="44ADF15E" w14:textId="77777777" w:rsidR="00182E38" w:rsidRPr="00FB1D29" w:rsidRDefault="00182E38" w:rsidP="00527E98">
      <w:pPr>
        <w:pStyle w:val="ListParagraph"/>
        <w:numPr>
          <w:ilvl w:val="0"/>
          <w:numId w:val="37"/>
        </w:numPr>
        <w:ind w:hanging="720"/>
        <w:jc w:val="both"/>
        <w:rPr>
          <w:rFonts w:eastAsia="Malgun Gothic"/>
          <w:color w:val="000000" w:themeColor="text1"/>
          <w:lang w:eastAsia="ko-KR"/>
        </w:rPr>
      </w:pPr>
      <w:r w:rsidRPr="00FB1D29">
        <w:rPr>
          <w:rFonts w:eastAsia="Malgun Gothic"/>
          <w:color w:val="000000" w:themeColor="text1"/>
          <w:lang w:eastAsia="ko-KR"/>
        </w:rPr>
        <w:t>Preliminary draft revision of Recommendation ITU-R M.2084-0, “Radio interface standards of vehicle-to-vehicle and vehicle-to-infrastructure communications for intelligent transport systems applications” (</w:t>
      </w:r>
      <w:hyperlink r:id="rId9" w:history="1">
        <w:r w:rsidRPr="00FB1D29">
          <w:rPr>
            <w:rStyle w:val="Hyperlink"/>
            <w:rFonts w:eastAsia="Malgun Gothic"/>
            <w:lang w:eastAsia="ko-KR"/>
          </w:rPr>
          <w:t>Document 5A/976 Annex 22</w:t>
        </w:r>
      </w:hyperlink>
      <w:r w:rsidRPr="00FB1D29">
        <w:rPr>
          <w:rFonts w:eastAsia="Malgun Gothic"/>
          <w:color w:val="000000" w:themeColor="text1"/>
          <w:lang w:eastAsia="ko-KR"/>
        </w:rPr>
        <w:t>)</w:t>
      </w:r>
    </w:p>
    <w:p w14:paraId="230282B8" w14:textId="77777777" w:rsidR="00182E38"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 xml:space="preserve">Draft new Recommendation ITU-R M.[ITS_FRQ], “Harmonization of frequency bands for Intelligent Transport Systems in the mobile service” </w:t>
      </w:r>
    </w:p>
    <w:p w14:paraId="325D9201" w14:textId="77777777" w:rsidR="00182E38" w:rsidRPr="00B224EB"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Report ITU-R M.2228, “Advanced Intelligent Transport Systems (ITS) radiocommunications”, 2012.</w:t>
      </w:r>
    </w:p>
    <w:p w14:paraId="0430BD0F" w14:textId="27E1E7F9" w:rsidR="00182E38" w:rsidRDefault="00182E38" w:rsidP="00527E9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Report ITU-R M</w:t>
      </w:r>
      <w:r w:rsidRPr="003531A5">
        <w:rPr>
          <w:rFonts w:eastAsia="Malgun Gothic"/>
          <w:color w:val="000000" w:themeColor="text1"/>
          <w:lang w:eastAsia="ko-KR"/>
        </w:rPr>
        <w:t>.2441</w:t>
      </w:r>
      <w:r w:rsidRPr="00B224EB">
        <w:rPr>
          <w:rFonts w:eastAsia="Malgun Gothic"/>
          <w:color w:val="000000" w:themeColor="text1"/>
          <w:lang w:eastAsia="ko-KR"/>
        </w:rPr>
        <w:t>, “Emerging usage of the terrestrial component of International Mobile Telecommunication (IMT)”</w:t>
      </w:r>
    </w:p>
    <w:p w14:paraId="5CD19ABA" w14:textId="208D0AF5" w:rsidR="00182E38" w:rsidRPr="00B224EB" w:rsidRDefault="00182E38" w:rsidP="00527E98">
      <w:pPr>
        <w:pStyle w:val="ListParagraph"/>
        <w:numPr>
          <w:ilvl w:val="0"/>
          <w:numId w:val="37"/>
        </w:numPr>
        <w:ind w:hanging="720"/>
        <w:jc w:val="both"/>
        <w:rPr>
          <w:rFonts w:eastAsia="Malgun Gothic"/>
          <w:color w:val="000000" w:themeColor="text1"/>
          <w:lang w:eastAsia="ko-KR"/>
        </w:rPr>
      </w:pPr>
      <w:r>
        <w:rPr>
          <w:rFonts w:eastAsia="Malgun Gothic"/>
          <w:color w:val="000000" w:themeColor="text1"/>
          <w:lang w:eastAsia="ko-KR"/>
        </w:rPr>
        <w:t>R</w:t>
      </w:r>
      <w:r w:rsidRPr="00E74A3A">
        <w:rPr>
          <w:rFonts w:eastAsia="Malgun Gothic"/>
          <w:color w:val="000000" w:themeColor="text1"/>
          <w:lang w:eastAsia="ko-KR"/>
        </w:rPr>
        <w:t>eport ITU-R M.</w:t>
      </w:r>
      <w:r w:rsidRPr="003531A5">
        <w:rPr>
          <w:rFonts w:eastAsia="Malgun Gothic"/>
          <w:color w:val="000000" w:themeColor="text1"/>
          <w:lang w:eastAsia="ko-KR"/>
        </w:rPr>
        <w:t>2444,</w:t>
      </w:r>
      <w:r w:rsidRPr="00E74A3A">
        <w:rPr>
          <w:rFonts w:eastAsia="Malgun Gothic"/>
          <w:color w:val="000000" w:themeColor="text1"/>
          <w:lang w:eastAsia="ko-KR"/>
        </w:rPr>
        <w:t xml:space="preserve"> "Examples of Arrangements for Intelligent Transport Systems deployments under the mobile service"</w:t>
      </w:r>
    </w:p>
    <w:p w14:paraId="7029A6D6" w14:textId="77777777" w:rsidR="00182E38" w:rsidRPr="00B224EB"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Report ITU-R M.</w:t>
      </w:r>
      <w:r w:rsidRPr="00527E98">
        <w:rPr>
          <w:rFonts w:eastAsia="Malgun Gothic"/>
          <w:color w:val="000000" w:themeColor="text1"/>
          <w:lang w:eastAsia="ko-KR"/>
        </w:rPr>
        <w:t>2445,</w:t>
      </w:r>
      <w:r w:rsidRPr="00B224EB">
        <w:rPr>
          <w:rFonts w:eastAsia="Malgun Gothic"/>
          <w:color w:val="000000" w:themeColor="text1"/>
          <w:lang w:eastAsia="ko-KR"/>
        </w:rPr>
        <w:t xml:space="preserve"> “Intelligent transport systems (ITS) usage</w:t>
      </w:r>
      <w:r w:rsidRPr="0080518E">
        <w:rPr>
          <w:rFonts w:eastAsia="Malgun Gothic"/>
          <w:color w:val="000000" w:themeColor="text1"/>
          <w:lang w:eastAsia="ko-KR"/>
        </w:rPr>
        <w:t>”</w:t>
      </w:r>
    </w:p>
    <w:p w14:paraId="08F254B5" w14:textId="77777777" w:rsidR="00182E38" w:rsidRPr="00B224EB" w:rsidRDefault="00182E38" w:rsidP="00182E38">
      <w:pPr>
        <w:pStyle w:val="ListParagraph"/>
        <w:numPr>
          <w:ilvl w:val="0"/>
          <w:numId w:val="37"/>
        </w:numPr>
        <w:ind w:hanging="720"/>
        <w:jc w:val="both"/>
        <w:rPr>
          <w:rFonts w:eastAsia="Malgun Gothic"/>
          <w:color w:val="000000" w:themeColor="text1"/>
          <w:lang w:eastAsia="ko-KR"/>
        </w:rPr>
      </w:pPr>
      <w:r w:rsidRPr="00B224EB">
        <w:rPr>
          <w:rFonts w:eastAsia="Malgun Gothic"/>
          <w:color w:val="000000" w:themeColor="text1"/>
          <w:lang w:eastAsia="ko-KR"/>
        </w:rPr>
        <w:t xml:space="preserve">APT Report on “Usage of Intelligent Transportation Systems in APT Countries” (APT/AWG/REP-18 (Rev.2)) </w:t>
      </w:r>
    </w:p>
    <w:p w14:paraId="0F39AF6E" w14:textId="6FEE8E1A" w:rsidR="00603710" w:rsidRDefault="00182E38" w:rsidP="00603710">
      <w:pPr>
        <w:spacing w:before="120" w:after="120"/>
        <w:rPr>
          <w:lang w:val="en-GB"/>
        </w:rPr>
      </w:pPr>
      <w:r w:rsidDel="00613658">
        <w:rPr>
          <w:rFonts w:eastAsia="Malgun Gothic"/>
          <w:color w:val="000000" w:themeColor="text1"/>
          <w:lang w:eastAsia="ko-KR"/>
        </w:rPr>
        <w:lastRenderedPageBreak/>
        <w:t xml:space="preserve"> </w:t>
      </w:r>
      <w:r w:rsidR="00603710" w:rsidRPr="00A10C79">
        <w:rPr>
          <w:rFonts w:eastAsia="Malgun Gothic"/>
          <w:color w:val="000000" w:themeColor="text1"/>
          <w:lang w:eastAsia="ko-KR"/>
        </w:rPr>
        <w:t xml:space="preserve">In </w:t>
      </w:r>
      <w:r w:rsidR="00603710">
        <w:rPr>
          <w:rFonts w:eastAsia="Malgun Gothic"/>
          <w:color w:val="000000" w:themeColor="text1"/>
          <w:lang w:eastAsia="ko-KR"/>
        </w:rPr>
        <w:t xml:space="preserve">the </w:t>
      </w:r>
      <w:r w:rsidR="00C7023C">
        <w:rPr>
          <w:rFonts w:eastAsia="Malgun Gothic"/>
          <w:color w:val="000000" w:themeColor="text1"/>
          <w:lang w:eastAsia="ko-KR"/>
        </w:rPr>
        <w:t>D</w:t>
      </w:r>
      <w:r w:rsidR="00603710" w:rsidRPr="00A10C79">
        <w:rPr>
          <w:rFonts w:eastAsia="Malgun Gothic"/>
          <w:color w:val="000000" w:themeColor="text1"/>
          <w:lang w:eastAsia="ko-KR"/>
        </w:rPr>
        <w:t xml:space="preserve">raft CPM </w:t>
      </w:r>
      <w:r w:rsidR="00C7023C">
        <w:rPr>
          <w:rFonts w:eastAsia="Malgun Gothic"/>
          <w:color w:val="000000" w:themeColor="text1"/>
          <w:lang w:eastAsia="ko-KR"/>
        </w:rPr>
        <w:t>R</w:t>
      </w:r>
      <w:r w:rsidR="00603710" w:rsidRPr="00A10C79">
        <w:rPr>
          <w:rFonts w:eastAsia="Malgun Gothic"/>
          <w:color w:val="000000" w:themeColor="text1"/>
          <w:lang w:eastAsia="ko-KR"/>
        </w:rPr>
        <w:t>eport, t</w:t>
      </w:r>
      <w:r w:rsidR="00603710" w:rsidRPr="00A10C79">
        <w:rPr>
          <w:iCs/>
          <w:lang w:eastAsia="zh-CN"/>
        </w:rPr>
        <w:t>hree methods have been proposed to satisfy this agenda item:</w:t>
      </w:r>
    </w:p>
    <w:p w14:paraId="330BB780" w14:textId="77777777" w:rsidR="00603710" w:rsidRPr="00B224EB" w:rsidRDefault="00603710" w:rsidP="00A32D6B">
      <w:pPr>
        <w:pStyle w:val="ListParagraph"/>
        <w:numPr>
          <w:ilvl w:val="0"/>
          <w:numId w:val="37"/>
        </w:numPr>
        <w:spacing w:after="120"/>
        <w:ind w:left="480" w:hangingChars="200" w:hanging="480"/>
        <w:rPr>
          <w:rFonts w:eastAsia="Malgun Gothic"/>
          <w:color w:val="000000" w:themeColor="text1"/>
          <w:lang w:eastAsia="ko-KR"/>
        </w:rPr>
      </w:pPr>
      <w:r w:rsidRPr="00B224EB">
        <w:rPr>
          <w:rFonts w:eastAsia="Malgun Gothic"/>
          <w:color w:val="000000" w:themeColor="text1"/>
          <w:lang w:eastAsia="ko-KR"/>
        </w:rPr>
        <w:t>Method A – No change to the Radio Regulations</w:t>
      </w:r>
    </w:p>
    <w:p w14:paraId="638B673D" w14:textId="77777777" w:rsidR="00603710" w:rsidRPr="00B224EB" w:rsidRDefault="00603710" w:rsidP="00A32D6B">
      <w:pPr>
        <w:pStyle w:val="ListParagraph"/>
        <w:numPr>
          <w:ilvl w:val="0"/>
          <w:numId w:val="37"/>
        </w:numPr>
        <w:spacing w:after="120"/>
        <w:ind w:left="480" w:hangingChars="200" w:hanging="480"/>
        <w:rPr>
          <w:rFonts w:eastAsia="Malgun Gothic"/>
          <w:color w:val="000000" w:themeColor="text1"/>
          <w:lang w:eastAsia="ko-KR"/>
        </w:rPr>
      </w:pPr>
      <w:r w:rsidRPr="00B224EB">
        <w:rPr>
          <w:rFonts w:eastAsia="Malgun Gothic"/>
          <w:color w:val="000000" w:themeColor="text1"/>
          <w:lang w:eastAsia="ko-KR"/>
        </w:rPr>
        <w:t>Method B – Add a new WRC Resolution</w:t>
      </w:r>
    </w:p>
    <w:p w14:paraId="760482C6" w14:textId="77777777" w:rsidR="00603710" w:rsidRPr="00B224EB" w:rsidRDefault="00603710" w:rsidP="00A32D6B">
      <w:pPr>
        <w:pStyle w:val="ListParagraph"/>
        <w:numPr>
          <w:ilvl w:val="0"/>
          <w:numId w:val="37"/>
        </w:numPr>
        <w:spacing w:after="120"/>
        <w:ind w:left="480" w:hangingChars="200" w:hanging="480"/>
        <w:jc w:val="both"/>
        <w:rPr>
          <w:rFonts w:eastAsia="Malgun Gothic"/>
          <w:color w:val="000000" w:themeColor="text1"/>
          <w:lang w:eastAsia="ko-KR"/>
        </w:rPr>
      </w:pPr>
      <w:r w:rsidRPr="00B224EB">
        <w:rPr>
          <w:rFonts w:eastAsia="Malgun Gothic"/>
          <w:color w:val="000000" w:themeColor="text1"/>
          <w:lang w:eastAsia="ko-KR"/>
        </w:rPr>
        <w:t>Method C – Add a new WRC Resolution and non-mandatory reference to ITU-R Recommendation</w:t>
      </w:r>
    </w:p>
    <w:p w14:paraId="2619CA30" w14:textId="7B124CA2" w:rsidR="00603710" w:rsidRDefault="00603710" w:rsidP="00603710">
      <w:r w:rsidRPr="00326CA2">
        <w:t>All methods above request to s</w:t>
      </w:r>
      <w:r w:rsidRPr="00326CA2">
        <w:rPr>
          <w:lang w:eastAsia="zh-CN"/>
        </w:rPr>
        <w:t xml:space="preserve">uppress Resolution </w:t>
      </w:r>
      <w:r w:rsidRPr="00326CA2">
        <w:rPr>
          <w:b/>
          <w:bCs/>
          <w:lang w:eastAsia="zh-CN"/>
        </w:rPr>
        <w:t>237 (WRC-15).</w:t>
      </w:r>
    </w:p>
    <w:p w14:paraId="4AC69AFA" w14:textId="77777777" w:rsidR="00B64A60" w:rsidRPr="00441526" w:rsidRDefault="008D2C73" w:rsidP="00466C10">
      <w:pPr>
        <w:ind w:left="348"/>
        <w:rPr>
          <w:lang w:val="en-NZ"/>
        </w:rPr>
      </w:pPr>
      <w:r w:rsidDel="008D2C73">
        <w:rPr>
          <w:lang w:val="en-NZ"/>
        </w:rPr>
        <w:t xml:space="preserve"> </w:t>
      </w:r>
    </w:p>
    <w:p w14:paraId="4034498E"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30F6932B" w14:textId="42061E3E" w:rsidR="00B219BF" w:rsidRPr="00A32D6B" w:rsidRDefault="00DA38C9" w:rsidP="00A32D6B">
      <w:pPr>
        <w:pStyle w:val="ListParagraph"/>
        <w:numPr>
          <w:ilvl w:val="0"/>
          <w:numId w:val="37"/>
        </w:numPr>
        <w:spacing w:after="120"/>
        <w:ind w:left="480" w:hangingChars="200" w:hanging="480"/>
        <w:rPr>
          <w:rFonts w:eastAsia="Malgun Gothic"/>
          <w:color w:val="000000" w:themeColor="text1"/>
          <w:lang w:eastAsia="ko-KR"/>
        </w:rPr>
      </w:pPr>
      <w:r w:rsidRPr="00A32D6B">
        <w:rPr>
          <w:rFonts w:eastAsia="Malgun Gothic"/>
          <w:color w:val="000000" w:themeColor="text1"/>
          <w:lang w:eastAsia="ko-KR"/>
        </w:rPr>
        <w:t>Input Documents</w:t>
      </w:r>
      <w:r w:rsidR="00B72A0E" w:rsidRPr="00A32D6B">
        <w:rPr>
          <w:rFonts w:eastAsia="Malgun Gothic"/>
          <w:color w:val="000000" w:themeColor="text1"/>
          <w:lang w:eastAsia="ko-KR"/>
        </w:rPr>
        <w:t>:</w:t>
      </w:r>
      <w:r w:rsidRPr="00A32D6B">
        <w:rPr>
          <w:rFonts w:eastAsia="Malgun Gothic"/>
          <w:color w:val="000000" w:themeColor="text1"/>
          <w:lang w:eastAsia="ko-KR"/>
        </w:rPr>
        <w:t xml:space="preserve"> APG19-</w:t>
      </w:r>
      <w:r w:rsidR="00F07E59" w:rsidRPr="00A32D6B">
        <w:rPr>
          <w:rFonts w:eastAsia="Malgun Gothic"/>
          <w:color w:val="000000" w:themeColor="text1"/>
          <w:lang w:eastAsia="ko-KR"/>
        </w:rPr>
        <w:t>4</w:t>
      </w:r>
      <w:r w:rsidRPr="00A32D6B">
        <w:rPr>
          <w:rFonts w:eastAsia="Malgun Gothic"/>
          <w:color w:val="000000" w:themeColor="text1"/>
          <w:lang w:eastAsia="ko-KR"/>
        </w:rPr>
        <w:t>/INP-</w:t>
      </w:r>
      <w:r w:rsidR="00F07E59" w:rsidRPr="00A32D6B">
        <w:rPr>
          <w:rFonts w:eastAsia="Malgun Gothic"/>
          <w:color w:val="000000" w:themeColor="text1"/>
          <w:lang w:eastAsia="ko-KR"/>
        </w:rPr>
        <w:t xml:space="preserve">06 </w:t>
      </w:r>
      <w:r w:rsidRPr="00A32D6B">
        <w:rPr>
          <w:rFonts w:eastAsia="Malgun Gothic"/>
          <w:color w:val="000000" w:themeColor="text1"/>
          <w:lang w:eastAsia="ko-KR"/>
        </w:rPr>
        <w:t>(AWG)</w:t>
      </w:r>
      <w:r w:rsidR="00895F24" w:rsidRPr="00A32D6B">
        <w:rPr>
          <w:rFonts w:eastAsia="Malgun Gothic"/>
          <w:color w:val="000000" w:themeColor="text1"/>
          <w:lang w:eastAsia="ko-KR"/>
        </w:rPr>
        <w:t>,</w:t>
      </w:r>
      <w:r w:rsidRPr="00A32D6B">
        <w:rPr>
          <w:rFonts w:eastAsia="Malgun Gothic"/>
          <w:color w:val="000000" w:themeColor="text1"/>
          <w:lang w:eastAsia="ko-KR"/>
        </w:rPr>
        <w:t xml:space="preserve"> INP-</w:t>
      </w:r>
      <w:r w:rsidR="00F07E59" w:rsidRPr="00A32D6B">
        <w:rPr>
          <w:rFonts w:eastAsia="Malgun Gothic"/>
          <w:color w:val="000000" w:themeColor="text1"/>
          <w:lang w:eastAsia="ko-KR"/>
        </w:rPr>
        <w:t xml:space="preserve">15 </w:t>
      </w:r>
      <w:r w:rsidRPr="00A32D6B">
        <w:rPr>
          <w:rFonts w:eastAsia="Malgun Gothic"/>
          <w:color w:val="000000" w:themeColor="text1"/>
          <w:lang w:eastAsia="ko-KR"/>
        </w:rPr>
        <w:t>(</w:t>
      </w:r>
      <w:r w:rsidR="00F07E59" w:rsidRPr="00A32D6B">
        <w:rPr>
          <w:rFonts w:eastAsia="Malgun Gothic"/>
          <w:color w:val="000000" w:themeColor="text1"/>
          <w:lang w:eastAsia="ko-KR"/>
        </w:rPr>
        <w:t>AUS</w:t>
      </w:r>
      <w:r w:rsidRPr="00A32D6B">
        <w:rPr>
          <w:rFonts w:eastAsia="Malgun Gothic"/>
          <w:color w:val="000000" w:themeColor="text1"/>
          <w:lang w:eastAsia="ko-KR"/>
        </w:rPr>
        <w:t>),</w:t>
      </w:r>
      <w:r w:rsidR="00A32D6B" w:rsidRPr="00A32D6B">
        <w:rPr>
          <w:rFonts w:eastAsia="Malgun Gothic"/>
          <w:color w:val="000000" w:themeColor="text1"/>
          <w:lang w:eastAsia="ko-KR"/>
        </w:rPr>
        <w:t xml:space="preserve"> </w:t>
      </w:r>
      <w:r w:rsidRPr="00A32D6B">
        <w:rPr>
          <w:rFonts w:eastAsia="Malgun Gothic"/>
          <w:color w:val="000000" w:themeColor="text1"/>
          <w:lang w:eastAsia="ko-KR"/>
        </w:rPr>
        <w:t>INP-</w:t>
      </w:r>
      <w:r w:rsidR="00F07E59" w:rsidRPr="00A32D6B">
        <w:rPr>
          <w:rFonts w:eastAsia="Malgun Gothic"/>
          <w:color w:val="000000" w:themeColor="text1"/>
          <w:lang w:eastAsia="ko-KR"/>
        </w:rPr>
        <w:t xml:space="preserve">22 </w:t>
      </w:r>
      <w:r w:rsidRPr="00A32D6B">
        <w:rPr>
          <w:rFonts w:eastAsia="Malgun Gothic"/>
          <w:color w:val="000000" w:themeColor="text1"/>
          <w:lang w:eastAsia="ko-KR"/>
        </w:rPr>
        <w:t>(NZL), INP-</w:t>
      </w:r>
      <w:r w:rsidR="00F07E59" w:rsidRPr="00A32D6B">
        <w:rPr>
          <w:rFonts w:eastAsia="Malgun Gothic"/>
          <w:color w:val="000000" w:themeColor="text1"/>
          <w:lang w:eastAsia="ko-KR"/>
        </w:rPr>
        <w:t xml:space="preserve">29 </w:t>
      </w:r>
      <w:r w:rsidRPr="00A32D6B">
        <w:rPr>
          <w:rFonts w:eastAsia="Malgun Gothic"/>
          <w:color w:val="000000" w:themeColor="text1"/>
          <w:lang w:eastAsia="ko-KR"/>
        </w:rPr>
        <w:t>(</w:t>
      </w:r>
      <w:r w:rsidR="00F07E59" w:rsidRPr="00A32D6B">
        <w:rPr>
          <w:rFonts w:eastAsia="Malgun Gothic"/>
          <w:color w:val="000000" w:themeColor="text1"/>
          <w:lang w:eastAsia="ko-KR"/>
        </w:rPr>
        <w:t>TH</w:t>
      </w:r>
      <w:r w:rsidRPr="00A32D6B">
        <w:rPr>
          <w:rFonts w:eastAsia="Malgun Gothic"/>
          <w:color w:val="000000" w:themeColor="text1"/>
          <w:lang w:eastAsia="ko-KR"/>
        </w:rPr>
        <w:t>A), INP-</w:t>
      </w:r>
      <w:r w:rsidR="00F07E59" w:rsidRPr="00A32D6B">
        <w:rPr>
          <w:rFonts w:eastAsia="Malgun Gothic"/>
          <w:color w:val="000000" w:themeColor="text1"/>
          <w:lang w:eastAsia="ko-KR"/>
        </w:rPr>
        <w:t xml:space="preserve">59 </w:t>
      </w:r>
      <w:r w:rsidRPr="00A32D6B">
        <w:rPr>
          <w:rFonts w:eastAsia="Malgun Gothic"/>
          <w:color w:val="000000" w:themeColor="text1"/>
          <w:lang w:eastAsia="ko-KR"/>
        </w:rPr>
        <w:t>(J), INP-</w:t>
      </w:r>
      <w:r w:rsidR="00F07E59" w:rsidRPr="00A32D6B">
        <w:rPr>
          <w:rFonts w:eastAsia="Malgun Gothic"/>
          <w:color w:val="000000" w:themeColor="text1"/>
          <w:lang w:eastAsia="ko-KR"/>
        </w:rPr>
        <w:t xml:space="preserve">73 </w:t>
      </w:r>
      <w:r w:rsidRPr="00A32D6B">
        <w:rPr>
          <w:rFonts w:eastAsia="Malgun Gothic"/>
          <w:color w:val="000000" w:themeColor="text1"/>
          <w:lang w:eastAsia="ko-KR"/>
        </w:rPr>
        <w:t>(</w:t>
      </w:r>
      <w:r w:rsidR="00F07E59" w:rsidRPr="00A32D6B">
        <w:rPr>
          <w:rFonts w:eastAsia="Malgun Gothic"/>
          <w:color w:val="000000" w:themeColor="text1"/>
          <w:lang w:eastAsia="ko-KR"/>
        </w:rPr>
        <w:t>KOR</w:t>
      </w:r>
      <w:r w:rsidRPr="00A32D6B">
        <w:rPr>
          <w:rFonts w:eastAsia="Malgun Gothic"/>
          <w:color w:val="000000" w:themeColor="text1"/>
          <w:lang w:eastAsia="ko-KR"/>
        </w:rPr>
        <w:t>), INP-</w:t>
      </w:r>
      <w:r w:rsidR="00F07E59" w:rsidRPr="00A32D6B">
        <w:rPr>
          <w:rFonts w:eastAsia="Malgun Gothic"/>
          <w:color w:val="000000" w:themeColor="text1"/>
          <w:lang w:eastAsia="ko-KR"/>
        </w:rPr>
        <w:t xml:space="preserve">100 </w:t>
      </w:r>
      <w:r w:rsidRPr="00A32D6B">
        <w:rPr>
          <w:rFonts w:eastAsia="Malgun Gothic"/>
          <w:color w:val="000000" w:themeColor="text1"/>
          <w:lang w:eastAsia="ko-KR"/>
        </w:rPr>
        <w:t>(</w:t>
      </w:r>
      <w:r w:rsidR="00F07E59" w:rsidRPr="00A32D6B">
        <w:rPr>
          <w:rFonts w:eastAsia="Malgun Gothic"/>
          <w:color w:val="000000" w:themeColor="text1"/>
          <w:lang w:eastAsia="ko-KR"/>
        </w:rPr>
        <w:t>CHN</w:t>
      </w:r>
      <w:r w:rsidRPr="00A32D6B">
        <w:rPr>
          <w:rFonts w:eastAsia="Malgun Gothic"/>
          <w:color w:val="000000" w:themeColor="text1"/>
          <w:lang w:eastAsia="ko-KR"/>
        </w:rPr>
        <w:t>), INP-</w:t>
      </w:r>
      <w:r w:rsidR="00F07E59" w:rsidRPr="00A32D6B">
        <w:rPr>
          <w:rFonts w:eastAsia="Malgun Gothic"/>
          <w:color w:val="000000" w:themeColor="text1"/>
          <w:lang w:eastAsia="ko-KR"/>
        </w:rPr>
        <w:t xml:space="preserve">117 </w:t>
      </w:r>
      <w:r w:rsidRPr="00A32D6B">
        <w:rPr>
          <w:rFonts w:eastAsia="Malgun Gothic"/>
          <w:color w:val="000000" w:themeColor="text1"/>
          <w:lang w:eastAsia="ko-KR"/>
        </w:rPr>
        <w:t>(</w:t>
      </w:r>
      <w:r w:rsidR="00F07E59" w:rsidRPr="00A32D6B">
        <w:rPr>
          <w:rFonts w:eastAsia="Malgun Gothic"/>
          <w:color w:val="000000" w:themeColor="text1"/>
          <w:lang w:eastAsia="ko-KR"/>
        </w:rPr>
        <w:t>IND</w:t>
      </w:r>
      <w:r w:rsidRPr="00A32D6B">
        <w:rPr>
          <w:rFonts w:eastAsia="Malgun Gothic"/>
          <w:color w:val="000000" w:themeColor="text1"/>
          <w:lang w:eastAsia="ko-KR"/>
        </w:rPr>
        <w:t>)</w:t>
      </w:r>
    </w:p>
    <w:p w14:paraId="77FE638D" w14:textId="185AF0A7" w:rsidR="00B56099" w:rsidRPr="00A32D6B" w:rsidRDefault="00B64A60" w:rsidP="00A062EF">
      <w:pPr>
        <w:pStyle w:val="ListParagraph"/>
        <w:numPr>
          <w:ilvl w:val="0"/>
          <w:numId w:val="37"/>
        </w:numPr>
        <w:spacing w:after="120"/>
        <w:ind w:left="480" w:hangingChars="200" w:hanging="480"/>
        <w:rPr>
          <w:b/>
          <w:lang w:eastAsia="ko-KR"/>
        </w:rPr>
      </w:pPr>
      <w:r w:rsidRPr="00A32D6B">
        <w:rPr>
          <w:rFonts w:eastAsia="Malgun Gothic"/>
          <w:color w:val="000000" w:themeColor="text1"/>
          <w:lang w:eastAsia="ko-KR"/>
        </w:rPr>
        <w:t>Information Documents</w:t>
      </w:r>
      <w:r w:rsidR="00B72A0E" w:rsidRPr="00A32D6B">
        <w:rPr>
          <w:rFonts w:eastAsia="Malgun Gothic"/>
          <w:color w:val="000000" w:themeColor="text1"/>
          <w:lang w:eastAsia="ko-KR"/>
        </w:rPr>
        <w:t>:</w:t>
      </w:r>
      <w:r w:rsidRPr="00A32D6B">
        <w:rPr>
          <w:rFonts w:eastAsia="Malgun Gothic"/>
          <w:color w:val="000000" w:themeColor="text1"/>
          <w:lang w:eastAsia="ko-KR"/>
        </w:rPr>
        <w:t xml:space="preserve"> </w:t>
      </w:r>
      <w:r w:rsidR="00F07E59" w:rsidRPr="00A32D6B">
        <w:rPr>
          <w:rFonts w:eastAsia="Malgun Gothic"/>
          <w:color w:val="000000" w:themeColor="text1"/>
          <w:lang w:eastAsia="ko-KR"/>
        </w:rPr>
        <w:t>APG19-4</w:t>
      </w:r>
      <w:r w:rsidR="00B72A0E" w:rsidRPr="00A32D6B">
        <w:rPr>
          <w:rFonts w:eastAsia="Malgun Gothic"/>
          <w:color w:val="000000" w:themeColor="text1"/>
          <w:lang w:eastAsia="ko-KR"/>
        </w:rPr>
        <w:t>/INF-</w:t>
      </w:r>
      <w:r w:rsidR="00EB1132" w:rsidRPr="00A32D6B">
        <w:rPr>
          <w:rFonts w:eastAsia="Malgun Gothic"/>
          <w:color w:val="000000" w:themeColor="text1"/>
          <w:lang w:eastAsia="ko-KR"/>
        </w:rPr>
        <w:t xml:space="preserve">02 </w:t>
      </w:r>
      <w:r w:rsidR="00B72A0E" w:rsidRPr="00A32D6B">
        <w:rPr>
          <w:rFonts w:eastAsia="Malgun Gothic"/>
          <w:color w:val="000000" w:themeColor="text1"/>
          <w:lang w:eastAsia="ko-KR"/>
        </w:rPr>
        <w:t>(</w:t>
      </w:r>
      <w:r w:rsidR="00EB1132" w:rsidRPr="00A32D6B">
        <w:rPr>
          <w:rFonts w:eastAsia="Malgun Gothic"/>
          <w:color w:val="000000" w:themeColor="text1"/>
          <w:lang w:eastAsia="ko-KR"/>
        </w:rPr>
        <w:t>WMO</w:t>
      </w:r>
      <w:r w:rsidR="00B72A0E" w:rsidRPr="00A32D6B">
        <w:rPr>
          <w:rFonts w:eastAsia="Malgun Gothic"/>
          <w:color w:val="000000" w:themeColor="text1"/>
          <w:lang w:eastAsia="ko-KR"/>
        </w:rPr>
        <w:t>), INF-</w:t>
      </w:r>
      <w:r w:rsidR="00EB1132" w:rsidRPr="00A32D6B">
        <w:rPr>
          <w:rFonts w:eastAsia="Malgun Gothic"/>
          <w:color w:val="000000" w:themeColor="text1"/>
          <w:lang w:eastAsia="ko-KR"/>
        </w:rPr>
        <w:t>03</w:t>
      </w:r>
      <w:r w:rsidR="00D55195" w:rsidRPr="00A32D6B">
        <w:rPr>
          <w:rFonts w:eastAsia="Malgun Gothic"/>
          <w:color w:val="000000" w:themeColor="text1"/>
          <w:lang w:eastAsia="ko-KR"/>
        </w:rPr>
        <w:t xml:space="preserve"> </w:t>
      </w:r>
      <w:r w:rsidR="00B72A0E" w:rsidRPr="00A32D6B">
        <w:rPr>
          <w:rFonts w:eastAsia="Malgun Gothic"/>
          <w:color w:val="000000" w:themeColor="text1"/>
          <w:lang w:eastAsia="ko-KR"/>
        </w:rPr>
        <w:t>(</w:t>
      </w:r>
      <w:r w:rsidR="00EB1132" w:rsidRPr="00A32D6B">
        <w:rPr>
          <w:rFonts w:eastAsia="Malgun Gothic"/>
          <w:color w:val="000000" w:themeColor="text1"/>
          <w:lang w:eastAsia="ko-KR"/>
        </w:rPr>
        <w:t>IARU</w:t>
      </w:r>
      <w:r w:rsidR="00B72A0E" w:rsidRPr="00A32D6B">
        <w:rPr>
          <w:rFonts w:eastAsia="Malgun Gothic"/>
          <w:color w:val="000000" w:themeColor="text1"/>
          <w:lang w:eastAsia="ko-KR"/>
        </w:rPr>
        <w:t>)</w:t>
      </w:r>
      <w:r w:rsidR="00892424" w:rsidRPr="00A32D6B">
        <w:rPr>
          <w:rFonts w:eastAsia="Malgun Gothic"/>
          <w:color w:val="000000" w:themeColor="text1"/>
          <w:lang w:eastAsia="ko-KR"/>
        </w:rPr>
        <w:t>, INF-</w:t>
      </w:r>
      <w:r w:rsidR="00EB1132" w:rsidRPr="00A32D6B">
        <w:rPr>
          <w:rFonts w:eastAsia="Malgun Gothic"/>
          <w:color w:val="000000" w:themeColor="text1"/>
          <w:lang w:eastAsia="ko-KR"/>
        </w:rPr>
        <w:t xml:space="preserve">04 </w:t>
      </w:r>
      <w:r w:rsidR="00892424" w:rsidRPr="00A32D6B">
        <w:rPr>
          <w:rFonts w:eastAsia="Malgun Gothic"/>
          <w:color w:val="000000" w:themeColor="text1"/>
          <w:lang w:eastAsia="ko-KR"/>
        </w:rPr>
        <w:t>(</w:t>
      </w:r>
      <w:r w:rsidR="00EB1132" w:rsidRPr="00A32D6B">
        <w:rPr>
          <w:rFonts w:eastAsia="Malgun Gothic"/>
          <w:color w:val="000000" w:themeColor="text1"/>
          <w:lang w:eastAsia="ko-KR"/>
        </w:rPr>
        <w:t>ICAO</w:t>
      </w:r>
      <w:r w:rsidR="00892424" w:rsidRPr="00A32D6B">
        <w:rPr>
          <w:rFonts w:eastAsia="Malgun Gothic"/>
          <w:color w:val="000000" w:themeColor="text1"/>
          <w:lang w:eastAsia="ko-KR"/>
        </w:rPr>
        <w:t>)</w:t>
      </w:r>
      <w:r w:rsidR="00EB1132" w:rsidRPr="00A32D6B">
        <w:rPr>
          <w:rFonts w:eastAsia="Malgun Gothic"/>
          <w:color w:val="000000" w:themeColor="text1"/>
          <w:lang w:eastAsia="ko-KR"/>
        </w:rPr>
        <w:t>, INF-22 (CITEL), INF-23 (CEPT)</w:t>
      </w:r>
      <w:r w:rsidR="00F06EE9" w:rsidRPr="00A32D6B">
        <w:rPr>
          <w:rFonts w:eastAsia="Malgun Gothic"/>
          <w:color w:val="000000" w:themeColor="text1"/>
          <w:lang w:eastAsia="ko-KR"/>
        </w:rPr>
        <w:t>, INF-24 (RCC)</w:t>
      </w:r>
      <w:r w:rsidR="00A32D6B" w:rsidRPr="00A32D6B">
        <w:rPr>
          <w:rFonts w:eastAsia="Malgun Gothic" w:hint="eastAsia"/>
          <w:color w:val="000000" w:themeColor="text1"/>
          <w:lang w:eastAsia="ko-KR"/>
        </w:rPr>
        <w:t>,</w:t>
      </w:r>
      <w:r w:rsidR="00A32D6B" w:rsidRPr="00A32D6B">
        <w:rPr>
          <w:rFonts w:eastAsia="Malgun Gothic"/>
          <w:color w:val="000000" w:themeColor="text1"/>
          <w:lang w:eastAsia="ko-KR"/>
        </w:rPr>
        <w:t xml:space="preserve"> APG19-4/INP-09R1 (Chairman, APG-19)</w:t>
      </w:r>
    </w:p>
    <w:p w14:paraId="753E1F9D" w14:textId="77777777" w:rsidR="00B64A60" w:rsidRPr="00441526"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6B4FD2ED" w14:textId="77777777" w:rsidR="00402B1B" w:rsidRDefault="004A2F96" w:rsidP="00466C10">
      <w:pPr>
        <w:spacing w:after="120"/>
        <w:rPr>
          <w:rFonts w:eastAsiaTheme="minorEastAsia"/>
          <w:b/>
          <w:bCs/>
          <w:lang w:val="en-GB"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171F9882" w14:textId="25748F5C" w:rsidR="00402B1B" w:rsidRDefault="00AA4952" w:rsidP="00402B1B">
      <w:pPr>
        <w:rPr>
          <w:b/>
          <w:bCs/>
          <w:lang w:val="fr-FR"/>
        </w:rPr>
      </w:pPr>
      <w:r>
        <w:rPr>
          <w:b/>
          <w:bCs/>
          <w:lang w:eastAsia="ko-KR"/>
        </w:rPr>
        <w:t>3.1.</w:t>
      </w:r>
      <w:r w:rsidR="00B74849">
        <w:rPr>
          <w:b/>
          <w:bCs/>
          <w:lang w:eastAsia="ko-KR"/>
        </w:rPr>
        <w:t>1</w:t>
      </w:r>
      <w:r>
        <w:rPr>
          <w:b/>
          <w:bCs/>
          <w:lang w:eastAsia="ko-KR"/>
        </w:rPr>
        <w:tab/>
      </w:r>
      <w:r w:rsidR="00402B1B" w:rsidRPr="006D6FB8">
        <w:rPr>
          <w:b/>
          <w:bCs/>
          <w:lang w:eastAsia="ko-KR"/>
        </w:rPr>
        <w:t>Australia -</w:t>
      </w:r>
      <w:r w:rsidR="00402B1B" w:rsidRPr="006D6FB8">
        <w:rPr>
          <w:lang w:eastAsia="ko-KR"/>
        </w:rPr>
        <w:t xml:space="preserve"> </w:t>
      </w:r>
      <w:r w:rsidR="00402B1B" w:rsidRPr="006D6FB8">
        <w:rPr>
          <w:b/>
          <w:lang w:val="en-NZ" w:eastAsia="ko-KR"/>
        </w:rPr>
        <w:t xml:space="preserve">Document </w:t>
      </w:r>
      <w:r w:rsidR="00F07E59">
        <w:rPr>
          <w:b/>
          <w:lang w:val="en-NZ" w:eastAsia="ko-KR"/>
        </w:rPr>
        <w:t>APG19-4</w:t>
      </w:r>
      <w:r w:rsidR="00402B1B" w:rsidRPr="006D6FB8">
        <w:rPr>
          <w:b/>
          <w:lang w:val="en-NZ" w:eastAsia="ko-KR"/>
        </w:rPr>
        <w:t>/</w:t>
      </w:r>
      <w:r w:rsidR="00402B1B" w:rsidRPr="006D6FB8">
        <w:rPr>
          <w:b/>
          <w:bCs/>
          <w:lang w:val="fr-FR"/>
        </w:rPr>
        <w:t>INP-</w:t>
      </w:r>
      <w:r w:rsidR="00B74849">
        <w:rPr>
          <w:b/>
          <w:bCs/>
          <w:lang w:val="fr-FR"/>
        </w:rPr>
        <w:t>15</w:t>
      </w:r>
    </w:p>
    <w:p w14:paraId="27C0F38C" w14:textId="183F70AA" w:rsidR="00B74849" w:rsidRPr="00C65F29" w:rsidRDefault="00B74849" w:rsidP="00C7023C">
      <w:pPr>
        <w:spacing w:afterLines="50" w:after="120"/>
        <w:jc w:val="both"/>
        <w:rPr>
          <w:lang w:val="en-AU"/>
        </w:rPr>
      </w:pPr>
      <w:r w:rsidRPr="00C65F29">
        <w:rPr>
          <w:lang w:val="en-AU"/>
        </w:rPr>
        <w:t>Australia supports harmonisation of frequency bands in existing mobile service allocations for the implementation of evolving ITS. In January 2018, Australia published its decision to make the band 5 855-5 925 MHz available on a non-exclusive nationwide basis for ITS.</w:t>
      </w:r>
    </w:p>
    <w:p w14:paraId="70F52909" w14:textId="638D3685" w:rsidR="00B74849" w:rsidRPr="00C65F29" w:rsidRDefault="00B74849" w:rsidP="00C7023C">
      <w:pPr>
        <w:spacing w:afterLines="50" w:after="120"/>
        <w:jc w:val="both"/>
        <w:rPr>
          <w:lang w:val="en-AU"/>
        </w:rPr>
      </w:pPr>
      <w:r w:rsidRPr="00C65F29">
        <w:rPr>
          <w:lang w:val="en-AU"/>
        </w:rPr>
        <w:t xml:space="preserve">Consistent with Method A of the Draft CPM Report, Australia supports no change to the Radio Regulations to satisfy this agenda item, and no new WRC Resolution. Spectrum harmonisation is best achieved by development of ITU-R Recommendations, supported by relevant new and/or revised ITU-R Reports.  </w:t>
      </w:r>
    </w:p>
    <w:p w14:paraId="50D9489D" w14:textId="67A3A4B9" w:rsidR="00E01130" w:rsidRDefault="00B74849" w:rsidP="00C7023C">
      <w:pPr>
        <w:spacing w:afterLines="50" w:after="120"/>
        <w:jc w:val="both"/>
        <w:rPr>
          <w:lang w:val="en-AU"/>
        </w:rPr>
      </w:pPr>
      <w:r w:rsidRPr="00C65F29">
        <w:rPr>
          <w:lang w:val="en-AU"/>
        </w:rPr>
        <w:t xml:space="preserve">Australia is also of the view that selection of preferred ITS technology is solely a matter for national administrations, and is beyond the scope of </w:t>
      </w:r>
      <w:r w:rsidRPr="00774E42">
        <w:rPr>
          <w:lang w:val="en-AU"/>
        </w:rPr>
        <w:t>Resolution</w:t>
      </w:r>
      <w:r w:rsidRPr="00C65F29">
        <w:rPr>
          <w:b/>
          <w:lang w:val="en-AU"/>
        </w:rPr>
        <w:t xml:space="preserve"> 237 (WRC-15)</w:t>
      </w:r>
      <w:r w:rsidRPr="00C65F29">
        <w:rPr>
          <w:lang w:val="en-AU"/>
        </w:rPr>
        <w:t>, and should not be addressed in any Resolution or ITU-R Recommendation.</w:t>
      </w:r>
    </w:p>
    <w:p w14:paraId="25D5152B" w14:textId="77777777" w:rsidR="00E01130" w:rsidRDefault="00E01130" w:rsidP="00E01130">
      <w:pPr>
        <w:rPr>
          <w:b/>
          <w:bCs/>
          <w:lang w:val="en-NZ"/>
        </w:rPr>
      </w:pPr>
      <w:r>
        <w:rPr>
          <w:b/>
          <w:bCs/>
          <w:lang w:val="en-NZ" w:eastAsia="ko-KR"/>
        </w:rPr>
        <w:t>3.1.2</w:t>
      </w:r>
      <w:r>
        <w:rPr>
          <w:b/>
          <w:bCs/>
          <w:lang w:val="en-NZ" w:eastAsia="ko-KR"/>
        </w:rPr>
        <w:tab/>
      </w:r>
      <w:r w:rsidRPr="006D6FB8">
        <w:rPr>
          <w:b/>
          <w:bCs/>
          <w:lang w:val="en-NZ" w:eastAsia="ko-KR"/>
        </w:rPr>
        <w:t>New Zealand -</w:t>
      </w:r>
      <w:r w:rsidRPr="006D6FB8">
        <w:rPr>
          <w:lang w:val="en-NZ" w:eastAsia="ko-KR"/>
        </w:rPr>
        <w:t xml:space="preserve"> </w:t>
      </w:r>
      <w:r w:rsidRPr="006D6FB8">
        <w:rPr>
          <w:b/>
          <w:lang w:val="en-NZ" w:eastAsia="ko-KR"/>
        </w:rPr>
        <w:t xml:space="preserve">Document </w:t>
      </w:r>
      <w:r>
        <w:rPr>
          <w:b/>
          <w:lang w:val="en-NZ" w:eastAsia="ko-KR"/>
        </w:rPr>
        <w:t>APG19-4</w:t>
      </w:r>
      <w:r w:rsidRPr="006D6FB8">
        <w:rPr>
          <w:b/>
          <w:lang w:val="en-NZ" w:eastAsia="ko-KR"/>
        </w:rPr>
        <w:t>/</w:t>
      </w:r>
      <w:r w:rsidRPr="006D6FB8">
        <w:rPr>
          <w:b/>
          <w:bCs/>
          <w:lang w:val="en-NZ"/>
        </w:rPr>
        <w:t>INP-</w:t>
      </w:r>
      <w:r>
        <w:rPr>
          <w:b/>
          <w:bCs/>
          <w:lang w:val="en-NZ"/>
        </w:rPr>
        <w:t>22</w:t>
      </w:r>
      <w:r w:rsidRPr="006D6FB8">
        <w:rPr>
          <w:b/>
          <w:bCs/>
          <w:lang w:val="en-NZ"/>
        </w:rPr>
        <w:t xml:space="preserve"> </w:t>
      </w:r>
    </w:p>
    <w:p w14:paraId="7A99E617" w14:textId="77777777" w:rsidR="00E01130" w:rsidRDefault="00E01130" w:rsidP="00C7023C">
      <w:pPr>
        <w:spacing w:afterLines="50" w:after="120"/>
        <w:jc w:val="both"/>
        <w:rPr>
          <w:lang w:val="en-NZ"/>
        </w:rPr>
      </w:pPr>
      <w:r w:rsidRPr="00AE1279">
        <w:rPr>
          <w:lang w:val="en-NZ"/>
        </w:rPr>
        <w:t xml:space="preserve">New Zealand is of the view that the new generation of co-operative ITS should operate within those frequency bands that are already being adopted for ITS use on a regional (or sub-regional) basis within existing mobile service allocations, or an immediately adjacent frequency band that is also appropriate for such use. For this reason, New Zealand supports the use of the frequency band 5 850-5 925 MHz, or parts thereof, when deploying ITS applications. </w:t>
      </w:r>
    </w:p>
    <w:p w14:paraId="303F5040" w14:textId="6A3B354F" w:rsidR="003E3F43" w:rsidRDefault="00E01130" w:rsidP="00D23020">
      <w:pPr>
        <w:spacing w:afterLines="50" w:after="120"/>
        <w:jc w:val="both"/>
        <w:rPr>
          <w:b/>
          <w:lang w:val="en-NZ" w:eastAsia="ko-KR"/>
        </w:rPr>
      </w:pPr>
      <w:r w:rsidRPr="00AE1279">
        <w:rPr>
          <w:lang w:val="en-NZ"/>
        </w:rPr>
        <w:t xml:space="preserve">New Zealand is also of the view that </w:t>
      </w:r>
      <w:r w:rsidR="00C7023C">
        <w:rPr>
          <w:lang w:val="en-NZ"/>
        </w:rPr>
        <w:t>a</w:t>
      </w:r>
      <w:r w:rsidRPr="00AE1279">
        <w:rPr>
          <w:lang w:val="en-NZ"/>
        </w:rPr>
        <w:t>genda item 1.12 can be satisfied through non-mandatory ITU-R Recommendation and/or Report without any changes to the Radio Regulations. Therefore, New Zealand supports Method A as outlined in the draft CPM text for WRC-19 Agenda item 1.12</w:t>
      </w:r>
      <w:r>
        <w:rPr>
          <w:lang w:val="en-NZ"/>
        </w:rPr>
        <w:t>.</w:t>
      </w:r>
    </w:p>
    <w:p w14:paraId="125F1182" w14:textId="79C907DB" w:rsidR="00512B45" w:rsidRPr="006D6FB8" w:rsidRDefault="00512B45" w:rsidP="00512B45">
      <w:pPr>
        <w:rPr>
          <w:b/>
          <w:bCs/>
        </w:rPr>
      </w:pPr>
      <w:r>
        <w:rPr>
          <w:b/>
          <w:lang w:val="en-NZ" w:eastAsia="ko-KR"/>
        </w:rPr>
        <w:t>3.1.3</w:t>
      </w:r>
      <w:r>
        <w:rPr>
          <w:b/>
          <w:lang w:val="en-NZ" w:eastAsia="ko-KR"/>
        </w:rPr>
        <w:tab/>
        <w:t xml:space="preserve">Thailand </w:t>
      </w:r>
      <w:r w:rsidRPr="006D6FB8">
        <w:rPr>
          <w:b/>
          <w:lang w:val="en-NZ" w:eastAsia="ko-KR"/>
        </w:rPr>
        <w:t xml:space="preserve">- Document </w:t>
      </w:r>
      <w:r>
        <w:rPr>
          <w:b/>
          <w:lang w:val="en-NZ" w:eastAsia="ko-KR"/>
        </w:rPr>
        <w:t>APG19-4</w:t>
      </w:r>
      <w:r w:rsidRPr="006D6FB8">
        <w:rPr>
          <w:b/>
          <w:lang w:val="en-NZ" w:eastAsia="ko-KR"/>
        </w:rPr>
        <w:t>/</w:t>
      </w:r>
      <w:r w:rsidRPr="006D6FB8">
        <w:rPr>
          <w:b/>
          <w:bCs/>
        </w:rPr>
        <w:t>INP-</w:t>
      </w:r>
      <w:r>
        <w:rPr>
          <w:b/>
          <w:bCs/>
        </w:rPr>
        <w:t>2</w:t>
      </w:r>
      <w:r w:rsidRPr="006D6FB8">
        <w:rPr>
          <w:b/>
          <w:bCs/>
        </w:rPr>
        <w:t xml:space="preserve">9 </w:t>
      </w:r>
    </w:p>
    <w:p w14:paraId="642F65D1" w14:textId="136309FD" w:rsidR="00512B45" w:rsidRPr="008F6202" w:rsidRDefault="00512B45" w:rsidP="00512B45">
      <w:pPr>
        <w:spacing w:before="120"/>
        <w:jc w:val="thaiDistribute"/>
        <w:rPr>
          <w:bCs/>
        </w:rPr>
      </w:pPr>
      <w:r w:rsidRPr="008F6202">
        <w:rPr>
          <w:bCs/>
        </w:rPr>
        <w:t>Thailand supports possible harmonization of frequency bands in existing mobile-service allocations for the implementation of evolving ITS.</w:t>
      </w:r>
    </w:p>
    <w:p w14:paraId="0961E89B" w14:textId="77777777" w:rsidR="00512B45" w:rsidRPr="008F6202" w:rsidRDefault="00512B45" w:rsidP="00512B45">
      <w:pPr>
        <w:spacing w:before="120"/>
        <w:jc w:val="thaiDistribute"/>
        <w:rPr>
          <w:bCs/>
        </w:rPr>
      </w:pPr>
      <w:r w:rsidRPr="008F6202">
        <w:rPr>
          <w:bCs/>
        </w:rPr>
        <w:t>Thailand is also of the view that:</w:t>
      </w:r>
    </w:p>
    <w:p w14:paraId="0C254872" w14:textId="77777777" w:rsidR="00512B45" w:rsidRPr="008F6202" w:rsidRDefault="00512B45" w:rsidP="00512B45">
      <w:pPr>
        <w:spacing w:before="120"/>
        <w:ind w:left="1134" w:hanging="1134"/>
        <w:jc w:val="thaiDistribute"/>
        <w:rPr>
          <w:bCs/>
        </w:rPr>
      </w:pPr>
      <w:r w:rsidRPr="008A4083">
        <w:rPr>
          <w:iCs/>
          <w:lang w:eastAsia="zh-CN"/>
        </w:rPr>
        <w:t>–</w:t>
      </w:r>
      <w:r w:rsidRPr="008F6202">
        <w:rPr>
          <w:bCs/>
        </w:rPr>
        <w:t xml:space="preserve"> </w:t>
      </w:r>
      <w:r>
        <w:rPr>
          <w:bCs/>
        </w:rPr>
        <w:tab/>
      </w:r>
      <w:r w:rsidRPr="008F6202">
        <w:rPr>
          <w:bCs/>
        </w:rPr>
        <w:t>Evolving ITS should not be restricted to, nor exclude, any particular evolving ITS technology.</w:t>
      </w:r>
    </w:p>
    <w:p w14:paraId="0D58F17E" w14:textId="77777777" w:rsidR="00512B45" w:rsidRPr="008F6202" w:rsidRDefault="00512B45" w:rsidP="00512B45">
      <w:pPr>
        <w:spacing w:before="120"/>
        <w:ind w:left="1134" w:hanging="1134"/>
        <w:jc w:val="thaiDistribute"/>
        <w:rPr>
          <w:bCs/>
        </w:rPr>
      </w:pPr>
      <w:r w:rsidRPr="008A4083">
        <w:rPr>
          <w:iCs/>
          <w:lang w:eastAsia="zh-CN"/>
        </w:rPr>
        <w:lastRenderedPageBreak/>
        <w:t>–</w:t>
      </w:r>
      <w:r w:rsidRPr="008F6202">
        <w:rPr>
          <w:bCs/>
        </w:rPr>
        <w:t xml:space="preserve"> </w:t>
      </w:r>
      <w:r>
        <w:rPr>
          <w:bCs/>
        </w:rPr>
        <w:tab/>
      </w:r>
      <w:r w:rsidRPr="008F6202">
        <w:rPr>
          <w:bCs/>
        </w:rPr>
        <w:t>The use of frequency bands by ITS should not impose additional constraints on other primary services to which these frequency bands are already allocated and should take appropriate account of the potential interference from other primary Services, including FSS earth station uplinks.</w:t>
      </w:r>
    </w:p>
    <w:p w14:paraId="5E6F398A" w14:textId="57E141B8" w:rsidR="00402B1B" w:rsidRPr="006D6FB8" w:rsidRDefault="00512B45" w:rsidP="00C7023C">
      <w:pPr>
        <w:spacing w:afterLines="50" w:after="120"/>
        <w:jc w:val="thaiDistribute"/>
        <w:rPr>
          <w:lang w:eastAsia="ko-KR"/>
        </w:rPr>
      </w:pPr>
      <w:r w:rsidRPr="008F6202">
        <w:rPr>
          <w:bCs/>
        </w:rPr>
        <w:t xml:space="preserve">Thailand prefers to specify harmonized frequency bands explicitly in an ITU-R recommendation. Thailand currently has no preference over whether the ITU-R recommendation is referenced in a WRC </w:t>
      </w:r>
      <w:r w:rsidR="00774E42">
        <w:rPr>
          <w:bCs/>
        </w:rPr>
        <w:t>R</w:t>
      </w:r>
      <w:r w:rsidRPr="008F6202">
        <w:rPr>
          <w:bCs/>
        </w:rPr>
        <w:t>esolution or not.</w:t>
      </w:r>
    </w:p>
    <w:p w14:paraId="6BFF479C" w14:textId="57D837AE" w:rsidR="00402B1B" w:rsidRDefault="00AA4952" w:rsidP="00402B1B">
      <w:pPr>
        <w:rPr>
          <w:b/>
          <w:bCs/>
          <w:lang w:val="fr-FR"/>
        </w:rPr>
      </w:pPr>
      <w:r>
        <w:rPr>
          <w:rFonts w:eastAsia="MS Mincho"/>
          <w:b/>
          <w:bCs/>
          <w:lang w:eastAsia="ja-JP"/>
        </w:rPr>
        <w:t>3.1.4</w:t>
      </w:r>
      <w:r>
        <w:rPr>
          <w:rFonts w:eastAsia="MS Mincho"/>
          <w:b/>
          <w:bCs/>
          <w:lang w:eastAsia="ja-JP"/>
        </w:rPr>
        <w:tab/>
      </w:r>
      <w:r w:rsidR="00402B1B" w:rsidRPr="006D6FB8">
        <w:rPr>
          <w:rFonts w:eastAsia="MS Mincho"/>
          <w:b/>
          <w:bCs/>
          <w:lang w:eastAsia="ja-JP"/>
        </w:rPr>
        <w:t>Japan -</w:t>
      </w:r>
      <w:r w:rsidR="00402B1B" w:rsidRPr="006D6FB8">
        <w:rPr>
          <w:rFonts w:eastAsia="MS Mincho"/>
          <w:lang w:eastAsia="ja-JP"/>
        </w:rPr>
        <w:t xml:space="preserve"> </w:t>
      </w:r>
      <w:r w:rsidR="00402B1B" w:rsidRPr="006D6FB8">
        <w:rPr>
          <w:b/>
          <w:lang w:val="en-NZ" w:eastAsia="ko-KR"/>
        </w:rPr>
        <w:t xml:space="preserve">Document </w:t>
      </w:r>
      <w:r w:rsidR="00F07E59">
        <w:rPr>
          <w:b/>
          <w:lang w:val="en-NZ" w:eastAsia="ko-KR"/>
        </w:rPr>
        <w:t>APG19-4</w:t>
      </w:r>
      <w:r w:rsidR="00402B1B" w:rsidRPr="006D6FB8">
        <w:rPr>
          <w:b/>
          <w:lang w:val="en-NZ" w:eastAsia="ko-KR"/>
        </w:rPr>
        <w:t>/</w:t>
      </w:r>
      <w:r w:rsidR="00402B1B" w:rsidRPr="006D6FB8">
        <w:rPr>
          <w:b/>
          <w:bCs/>
          <w:lang w:val="fr-FR"/>
        </w:rPr>
        <w:t>INP-</w:t>
      </w:r>
      <w:r w:rsidR="00612E77">
        <w:rPr>
          <w:b/>
          <w:bCs/>
          <w:lang w:val="fr-FR"/>
        </w:rPr>
        <w:t>5</w:t>
      </w:r>
      <w:r w:rsidR="00612E77" w:rsidRPr="006D6FB8">
        <w:rPr>
          <w:b/>
          <w:bCs/>
          <w:lang w:val="fr-FR"/>
        </w:rPr>
        <w:t>9</w:t>
      </w:r>
    </w:p>
    <w:p w14:paraId="538E65B1" w14:textId="0CF4847C" w:rsidR="008668D4" w:rsidRDefault="00612E77" w:rsidP="00C7023C">
      <w:pPr>
        <w:spacing w:afterLines="50" w:after="120"/>
        <w:jc w:val="both"/>
        <w:rPr>
          <w:rFonts w:eastAsiaTheme="minorEastAsia"/>
          <w:lang w:eastAsia="ja-JP"/>
        </w:rPr>
      </w:pPr>
      <w:r w:rsidRPr="00717488">
        <w:rPr>
          <w:rFonts w:eastAsiaTheme="minorEastAsia"/>
          <w:lang w:eastAsia="ja-JP"/>
        </w:rPr>
        <w:t>Japan supports ongoing studies of ITS applications in ITU-R toward possible global or regional harmonized frequency bands, including frequency bands currently using for ITS applications in Japan.</w:t>
      </w:r>
    </w:p>
    <w:p w14:paraId="18E02BE4" w14:textId="2194784F" w:rsidR="008668D4" w:rsidRDefault="008668D4" w:rsidP="008668D4">
      <w:pPr>
        <w:rPr>
          <w:b/>
          <w:bCs/>
        </w:rPr>
      </w:pPr>
      <w:r>
        <w:rPr>
          <w:rFonts w:eastAsiaTheme="minorEastAsia"/>
          <w:b/>
          <w:bCs/>
          <w:lang w:val="en-GB" w:eastAsia="ko-KR"/>
        </w:rPr>
        <w:t>3.1.5</w:t>
      </w:r>
      <w:r>
        <w:rPr>
          <w:rFonts w:eastAsiaTheme="minorEastAsia"/>
          <w:b/>
          <w:bCs/>
          <w:lang w:val="en-GB" w:eastAsia="ko-KR"/>
        </w:rPr>
        <w:tab/>
      </w:r>
      <w:r w:rsidRPr="006D6FB8">
        <w:rPr>
          <w:rFonts w:eastAsiaTheme="minorEastAsia"/>
          <w:b/>
          <w:bCs/>
          <w:lang w:val="en-GB" w:eastAsia="ko-KR"/>
        </w:rPr>
        <w:t xml:space="preserve">Republic of Korea </w:t>
      </w:r>
      <w:r w:rsidRPr="006D6FB8">
        <w:rPr>
          <w:b/>
          <w:bCs/>
          <w:lang w:eastAsia="ko-KR"/>
        </w:rPr>
        <w:t xml:space="preserve">- </w:t>
      </w:r>
      <w:r w:rsidRPr="006D6FB8">
        <w:rPr>
          <w:b/>
          <w:bCs/>
          <w:lang w:val="en-NZ" w:eastAsia="ko-KR"/>
        </w:rPr>
        <w:t>Document</w:t>
      </w:r>
      <w:r w:rsidRPr="006D6FB8">
        <w:rPr>
          <w:b/>
          <w:lang w:val="en-NZ" w:eastAsia="ko-KR"/>
        </w:rPr>
        <w:t xml:space="preserve"> </w:t>
      </w:r>
      <w:r>
        <w:rPr>
          <w:b/>
          <w:lang w:val="en-NZ" w:eastAsia="ko-KR"/>
        </w:rPr>
        <w:t>APG19-4</w:t>
      </w:r>
      <w:r w:rsidRPr="006D6FB8">
        <w:rPr>
          <w:b/>
          <w:lang w:val="en-NZ" w:eastAsia="ko-KR"/>
        </w:rPr>
        <w:t>/</w:t>
      </w:r>
      <w:r w:rsidRPr="006D6FB8">
        <w:rPr>
          <w:b/>
          <w:bCs/>
        </w:rPr>
        <w:t>INP-</w:t>
      </w:r>
      <w:r>
        <w:rPr>
          <w:b/>
          <w:bCs/>
        </w:rPr>
        <w:t>73</w:t>
      </w:r>
    </w:p>
    <w:p w14:paraId="6B009594" w14:textId="1CDCE4E8" w:rsidR="008668D4" w:rsidRDefault="008668D4">
      <w:pPr>
        <w:spacing w:before="120"/>
        <w:jc w:val="both"/>
        <w:rPr>
          <w:iCs/>
          <w:lang w:eastAsia="ko-KR"/>
        </w:rPr>
      </w:pPr>
      <w:r w:rsidRPr="00871976">
        <w:rPr>
          <w:iCs/>
          <w:lang w:eastAsia="ko-KR"/>
        </w:rPr>
        <w:t>Republic of Korea proposes modifications to the APT Preliminary View</w:t>
      </w:r>
      <w:r w:rsidR="00C7023C">
        <w:rPr>
          <w:iCs/>
          <w:lang w:eastAsia="ko-KR"/>
        </w:rPr>
        <w:t>s</w:t>
      </w:r>
      <w:r w:rsidRPr="00871976">
        <w:rPr>
          <w:iCs/>
          <w:lang w:eastAsia="ko-KR"/>
        </w:rPr>
        <w:t xml:space="preserve"> adopted at </w:t>
      </w:r>
      <w:r>
        <w:rPr>
          <w:iCs/>
          <w:lang w:eastAsia="ko-KR"/>
        </w:rPr>
        <w:t xml:space="preserve">the </w:t>
      </w:r>
      <w:r w:rsidRPr="00871976">
        <w:rPr>
          <w:iCs/>
          <w:lang w:eastAsia="ko-KR"/>
        </w:rPr>
        <w:t>APG19-</w:t>
      </w:r>
      <w:r>
        <w:rPr>
          <w:iCs/>
          <w:lang w:eastAsia="ko-KR"/>
        </w:rPr>
        <w:t>3</w:t>
      </w:r>
      <w:r w:rsidRPr="00871976">
        <w:rPr>
          <w:iCs/>
          <w:lang w:eastAsia="ko-KR"/>
        </w:rPr>
        <w:t xml:space="preserve"> meeting</w:t>
      </w:r>
      <w:r>
        <w:rPr>
          <w:iCs/>
          <w:lang w:eastAsia="ko-KR"/>
        </w:rPr>
        <w:t xml:space="preserve"> </w:t>
      </w:r>
      <w:r w:rsidRPr="002678C9">
        <w:rPr>
          <w:iCs/>
          <w:lang w:eastAsia="ko-KR"/>
        </w:rPr>
        <w:t>as stated below</w:t>
      </w:r>
      <w:r w:rsidRPr="00871976">
        <w:rPr>
          <w:iCs/>
          <w:lang w:eastAsia="ko-KR"/>
        </w:rPr>
        <w:t>:</w:t>
      </w:r>
    </w:p>
    <w:p w14:paraId="1077411C" w14:textId="77777777" w:rsidR="008668D4" w:rsidRDefault="008668D4" w:rsidP="002F1B89">
      <w:pPr>
        <w:spacing w:before="120" w:after="120"/>
        <w:jc w:val="both"/>
      </w:pPr>
      <w:r>
        <w:rPr>
          <w:iCs/>
          <w:lang w:eastAsia="ko-KR"/>
        </w:rPr>
        <w:t>“</w:t>
      </w:r>
      <w:r>
        <w:rPr>
          <w:rFonts w:cstheme="minorBidi"/>
          <w:iCs/>
          <w:szCs w:val="30"/>
          <w:lang w:eastAsia="ko-KR" w:bidi="th-TH"/>
        </w:rPr>
        <w:t xml:space="preserve">APT Members support </w:t>
      </w:r>
      <w:r>
        <w:t xml:space="preserve">studies under Resolution </w:t>
      </w:r>
      <w:r>
        <w:rPr>
          <w:b/>
        </w:rPr>
        <w:t>237 (WRC-15)</w:t>
      </w:r>
      <w:r>
        <w:t xml:space="preserve"> toward possible harmonization of frequency bands in existing mobile-service allocations for the implementation of evolving Intelligent Transport Systems (ITS).</w:t>
      </w:r>
    </w:p>
    <w:p w14:paraId="4A0989B1" w14:textId="77777777" w:rsidR="008668D4" w:rsidRDefault="008668D4" w:rsidP="002F1B89">
      <w:pPr>
        <w:spacing w:after="120"/>
        <w:jc w:val="both"/>
        <w:rPr>
          <w:rFonts w:eastAsia="SimSun"/>
          <w:iCs/>
          <w:lang w:eastAsia="zh-CN"/>
        </w:rPr>
      </w:pPr>
      <w:r w:rsidRPr="00BD5CF5">
        <w:rPr>
          <w:rFonts w:eastAsia="SimSun"/>
          <w:iCs/>
          <w:lang w:eastAsia="zh-CN"/>
        </w:rPr>
        <w:t>APT Members are also of the view that:</w:t>
      </w:r>
    </w:p>
    <w:p w14:paraId="6AF41FD1" w14:textId="77777777" w:rsidR="008668D4" w:rsidRPr="004F7317" w:rsidRDefault="008668D4" w:rsidP="002F1B89">
      <w:pPr>
        <w:pStyle w:val="enumlev1"/>
        <w:spacing w:before="0" w:after="120"/>
        <w:jc w:val="both"/>
        <w:rPr>
          <w:iCs/>
          <w:lang w:eastAsia="zh-CN"/>
        </w:rPr>
      </w:pPr>
      <w:r w:rsidRPr="008A4083">
        <w:rPr>
          <w:iCs/>
          <w:lang w:eastAsia="zh-CN"/>
        </w:rPr>
        <w:t>−</w:t>
      </w:r>
      <w:r w:rsidRPr="008A4083">
        <w:rPr>
          <w:iCs/>
          <w:lang w:eastAsia="zh-CN"/>
        </w:rPr>
        <w:tab/>
      </w:r>
      <w:r w:rsidRPr="004F7317">
        <w:rPr>
          <w:iCs/>
          <w:lang w:eastAsia="zh-CN"/>
        </w:rPr>
        <w:t>Evolving ITS should not be restricted to, nor exclude, any particular evolving</w:t>
      </w:r>
      <w:r w:rsidRPr="004F7317" w:rsidDel="00BD4593">
        <w:rPr>
          <w:iCs/>
          <w:lang w:eastAsia="zh-CN"/>
        </w:rPr>
        <w:t xml:space="preserve"> </w:t>
      </w:r>
      <w:r w:rsidRPr="004F7317">
        <w:rPr>
          <w:iCs/>
          <w:lang w:eastAsia="zh-CN"/>
        </w:rPr>
        <w:t xml:space="preserve">ITS technology including LTE based V2X and its evolution technologies. </w:t>
      </w:r>
    </w:p>
    <w:p w14:paraId="327590EF" w14:textId="77777777" w:rsidR="008668D4" w:rsidRPr="004F7317" w:rsidRDefault="008668D4" w:rsidP="002F1B89">
      <w:pPr>
        <w:pStyle w:val="enumlev1"/>
        <w:spacing w:before="0" w:after="120"/>
        <w:jc w:val="both"/>
        <w:rPr>
          <w:iCs/>
          <w:lang w:eastAsia="zh-CN"/>
        </w:rPr>
      </w:pPr>
      <w:r w:rsidRPr="008A4083">
        <w:rPr>
          <w:iCs/>
          <w:lang w:eastAsia="zh-CN"/>
        </w:rPr>
        <w:t>−</w:t>
      </w:r>
      <w:r w:rsidRPr="008A4083">
        <w:rPr>
          <w:iCs/>
          <w:lang w:eastAsia="zh-CN"/>
        </w:rPr>
        <w:tab/>
      </w:r>
      <w:r w:rsidRPr="004F7317">
        <w:rPr>
          <w:iCs/>
          <w:lang w:eastAsia="zh-CN"/>
        </w:rPr>
        <w:t>The use of frequency bands by ITS should not impose additional constraints on other primary services to which these frequency bands are already allocated and should take appropriate account of the potential interference from other primary Services, including FSS earth station uplinks.</w:t>
      </w:r>
    </w:p>
    <w:p w14:paraId="6345EBFA" w14:textId="77777777" w:rsidR="008668D4" w:rsidRPr="004F7317" w:rsidRDefault="008668D4" w:rsidP="002F1B89">
      <w:pPr>
        <w:pStyle w:val="enumlev1"/>
        <w:spacing w:before="0" w:after="120"/>
        <w:jc w:val="both"/>
        <w:rPr>
          <w:iCs/>
          <w:lang w:eastAsia="zh-CN"/>
        </w:rPr>
      </w:pPr>
      <w:r w:rsidRPr="008A4083">
        <w:rPr>
          <w:iCs/>
          <w:lang w:eastAsia="zh-CN"/>
        </w:rPr>
        <w:t>−</w:t>
      </w:r>
      <w:r w:rsidRPr="008A4083">
        <w:rPr>
          <w:iCs/>
          <w:lang w:eastAsia="zh-CN"/>
        </w:rPr>
        <w:tab/>
      </w:r>
      <w:r w:rsidRPr="004F7317">
        <w:rPr>
          <w:iCs/>
          <w:lang w:eastAsia="zh-CN"/>
        </w:rPr>
        <w:t>G</w:t>
      </w:r>
      <w:r w:rsidRPr="004F7317">
        <w:rPr>
          <w:rFonts w:hint="eastAsia"/>
          <w:iCs/>
          <w:lang w:eastAsia="zh-CN"/>
        </w:rPr>
        <w:t>lobal/regional harmonization of frequencies for evolving ITS can be achieved through ITU-R Recommendatio</w:t>
      </w:r>
      <w:r w:rsidRPr="004F7317">
        <w:rPr>
          <w:iCs/>
          <w:lang w:eastAsia="zh-CN"/>
        </w:rPr>
        <w:t>n</w:t>
      </w:r>
      <w:r w:rsidRPr="004F7317">
        <w:rPr>
          <w:rFonts w:hint="eastAsia"/>
          <w:iCs/>
          <w:lang w:eastAsia="zh-CN"/>
        </w:rPr>
        <w:t>s</w:t>
      </w:r>
      <w:r w:rsidRPr="004F7317">
        <w:rPr>
          <w:iCs/>
          <w:lang w:eastAsia="zh-CN"/>
        </w:rPr>
        <w:t xml:space="preserve">/Reports and </w:t>
      </w:r>
      <w:r w:rsidRPr="004F7317">
        <w:rPr>
          <w:rFonts w:hint="eastAsia"/>
          <w:iCs/>
          <w:lang w:eastAsia="zh-CN"/>
        </w:rPr>
        <w:t xml:space="preserve">there is no need to change the Radio Regulations except suppression of Resolution </w:t>
      </w:r>
      <w:r w:rsidRPr="00965777">
        <w:rPr>
          <w:rFonts w:hint="eastAsia"/>
          <w:b/>
          <w:iCs/>
          <w:lang w:eastAsia="zh-CN"/>
        </w:rPr>
        <w:t>237 (WRC-15)</w:t>
      </w:r>
      <w:r>
        <w:rPr>
          <w:iCs/>
          <w:lang w:eastAsia="zh-CN"/>
        </w:rPr>
        <w:t>.</w:t>
      </w:r>
    </w:p>
    <w:p w14:paraId="0C7AB6C8" w14:textId="61BDF8AC" w:rsidR="008668D4" w:rsidRPr="0084268F" w:rsidRDefault="008668D4" w:rsidP="002F1B89">
      <w:pPr>
        <w:pStyle w:val="enumlev1"/>
        <w:spacing w:before="0" w:after="120"/>
        <w:jc w:val="both"/>
        <w:rPr>
          <w:iCs/>
          <w:lang w:eastAsia="zh-CN"/>
        </w:rPr>
      </w:pPr>
      <w:r w:rsidRPr="008A4083">
        <w:rPr>
          <w:iCs/>
          <w:lang w:eastAsia="zh-CN"/>
        </w:rPr>
        <w:t>−</w:t>
      </w:r>
      <w:r w:rsidRPr="008A4083">
        <w:rPr>
          <w:iCs/>
          <w:lang w:eastAsia="zh-CN"/>
        </w:rPr>
        <w:tab/>
      </w:r>
      <w:r w:rsidRPr="004F7317">
        <w:rPr>
          <w:iCs/>
          <w:lang w:eastAsia="zh-CN"/>
        </w:rPr>
        <w:t>The</w:t>
      </w:r>
      <w:r w:rsidRPr="004F7317">
        <w:rPr>
          <w:rFonts w:hint="eastAsia"/>
          <w:iCs/>
          <w:lang w:eastAsia="zh-CN"/>
        </w:rPr>
        <w:t xml:space="preserve"> </w:t>
      </w:r>
      <w:r w:rsidRPr="004F7317">
        <w:rPr>
          <w:iCs/>
          <w:lang w:eastAsia="zh-CN"/>
        </w:rPr>
        <w:t>frequency</w:t>
      </w:r>
      <w:r w:rsidRPr="004F7317">
        <w:rPr>
          <w:rFonts w:hint="eastAsia"/>
          <w:iCs/>
          <w:lang w:eastAsia="zh-CN"/>
        </w:rPr>
        <w:t xml:space="preserve"> bands for </w:t>
      </w:r>
      <w:r w:rsidRPr="004F7317">
        <w:rPr>
          <w:iCs/>
          <w:lang w:eastAsia="zh-CN"/>
        </w:rPr>
        <w:t>global or regional harmonized frequency band</w:t>
      </w:r>
      <w:r w:rsidRPr="004F7317">
        <w:rPr>
          <w:rFonts w:hint="eastAsia"/>
          <w:iCs/>
          <w:lang w:eastAsia="zh-CN"/>
        </w:rPr>
        <w:t xml:space="preserve"> </w:t>
      </w:r>
      <w:r w:rsidRPr="004F7317">
        <w:rPr>
          <w:iCs/>
          <w:lang w:eastAsia="zh-CN"/>
        </w:rPr>
        <w:t xml:space="preserve">for </w:t>
      </w:r>
      <w:r w:rsidRPr="004F7317">
        <w:rPr>
          <w:rFonts w:hint="eastAsia"/>
          <w:iCs/>
          <w:lang w:eastAsia="zh-CN"/>
        </w:rPr>
        <w:t xml:space="preserve">evolving </w:t>
      </w:r>
      <w:r w:rsidRPr="004F7317">
        <w:rPr>
          <w:iCs/>
          <w:lang w:eastAsia="zh-CN"/>
        </w:rPr>
        <w:t>ITS</w:t>
      </w:r>
      <w:r w:rsidRPr="004F7317">
        <w:rPr>
          <w:rFonts w:hint="eastAsia"/>
          <w:iCs/>
          <w:lang w:eastAsia="zh-CN"/>
        </w:rPr>
        <w:t xml:space="preserve"> is </w:t>
      </w:r>
      <w:r w:rsidR="00C7023C" w:rsidRPr="004F7317">
        <w:rPr>
          <w:iCs/>
          <w:lang w:eastAsia="zh-CN"/>
        </w:rPr>
        <w:t>recommended</w:t>
      </w:r>
      <w:r w:rsidRPr="004F7317">
        <w:rPr>
          <w:rFonts w:hint="eastAsia"/>
          <w:iCs/>
          <w:lang w:eastAsia="zh-CN"/>
        </w:rPr>
        <w:t xml:space="preserve"> to use </w:t>
      </w:r>
      <w:r w:rsidRPr="004F7317">
        <w:rPr>
          <w:iCs/>
          <w:lang w:eastAsia="zh-CN"/>
        </w:rPr>
        <w:t>5 85</w:t>
      </w:r>
      <w:r w:rsidRPr="004F7317">
        <w:rPr>
          <w:rFonts w:hint="eastAsia"/>
          <w:iCs/>
          <w:lang w:eastAsia="zh-CN"/>
        </w:rPr>
        <w:t>5</w:t>
      </w:r>
      <w:r w:rsidRPr="004F7317">
        <w:rPr>
          <w:iCs/>
          <w:lang w:eastAsia="zh-CN"/>
        </w:rPr>
        <w:t>-5 925</w:t>
      </w:r>
      <w:r w:rsidRPr="004F7317">
        <w:rPr>
          <w:rFonts w:hint="eastAsia"/>
          <w:iCs/>
          <w:lang w:eastAsia="zh-CN"/>
        </w:rPr>
        <w:t xml:space="preserve"> </w:t>
      </w:r>
      <w:r w:rsidRPr="004F7317">
        <w:rPr>
          <w:iCs/>
          <w:lang w:eastAsia="zh-CN"/>
        </w:rPr>
        <w:t>MHz</w:t>
      </w:r>
      <w:r w:rsidRPr="004F7317">
        <w:rPr>
          <w:rFonts w:hint="eastAsia"/>
          <w:iCs/>
          <w:lang w:eastAsia="zh-CN"/>
        </w:rPr>
        <w:t>.</w:t>
      </w:r>
      <w:r>
        <w:rPr>
          <w:rFonts w:eastAsiaTheme="minorEastAsia"/>
          <w:lang w:eastAsia="ko-KR"/>
        </w:rPr>
        <w:t>”</w:t>
      </w:r>
    </w:p>
    <w:p w14:paraId="48A83170" w14:textId="4FF9C356" w:rsidR="00285B06" w:rsidRPr="006D6FB8" w:rsidRDefault="00285B06" w:rsidP="00285B06">
      <w:pPr>
        <w:rPr>
          <w:b/>
          <w:bCs/>
        </w:rPr>
      </w:pPr>
      <w:r>
        <w:rPr>
          <w:b/>
          <w:lang w:eastAsia="ko-KR"/>
        </w:rPr>
        <w:t>3.1.6</w:t>
      </w:r>
      <w:r>
        <w:rPr>
          <w:b/>
          <w:lang w:eastAsia="ko-KR"/>
        </w:rPr>
        <w:tab/>
      </w:r>
      <w:r w:rsidRPr="006D6FB8">
        <w:rPr>
          <w:b/>
          <w:lang w:val="en-NZ" w:eastAsia="ko-KR"/>
        </w:rPr>
        <w:t xml:space="preserve">People’s Republic of China - Document </w:t>
      </w:r>
      <w:r>
        <w:rPr>
          <w:b/>
          <w:lang w:val="en-NZ" w:eastAsia="ko-KR"/>
        </w:rPr>
        <w:t>APG19-4</w:t>
      </w:r>
      <w:r w:rsidRPr="006D6FB8">
        <w:rPr>
          <w:b/>
          <w:lang w:val="en-NZ" w:eastAsia="ko-KR"/>
        </w:rPr>
        <w:t>/</w:t>
      </w:r>
      <w:r w:rsidRPr="006D6FB8">
        <w:rPr>
          <w:b/>
          <w:bCs/>
        </w:rPr>
        <w:t>INP-</w:t>
      </w:r>
      <w:r>
        <w:rPr>
          <w:b/>
          <w:bCs/>
        </w:rPr>
        <w:t>100</w:t>
      </w:r>
    </w:p>
    <w:p w14:paraId="777D6F26" w14:textId="77777777" w:rsidR="00285B06" w:rsidRDefault="00285B06" w:rsidP="00C7023C">
      <w:pPr>
        <w:spacing w:afterLines="50" w:after="120"/>
        <w:jc w:val="both"/>
        <w:rPr>
          <w:rFonts w:eastAsia="SimSun"/>
          <w:lang w:eastAsia="zh-CN"/>
        </w:rPr>
      </w:pPr>
      <w:r>
        <w:rPr>
          <w:rFonts w:eastAsia="SimSun"/>
          <w:lang w:eastAsia="zh-CN"/>
        </w:rPr>
        <w:t>China's preliminary views are as follows:</w:t>
      </w:r>
    </w:p>
    <w:p w14:paraId="221E005D" w14:textId="634938F2" w:rsidR="00285B06" w:rsidRDefault="00285B06" w:rsidP="00C7023C">
      <w:pPr>
        <w:pStyle w:val="1"/>
        <w:numPr>
          <w:ilvl w:val="0"/>
          <w:numId w:val="35"/>
        </w:numPr>
        <w:spacing w:afterLines="50" w:after="120" w:line="259" w:lineRule="auto"/>
        <w:ind w:left="360"/>
        <w:jc w:val="both"/>
        <w:rPr>
          <w:rFonts w:cs="Times New Roman"/>
          <w:lang w:eastAsia="zh-CN"/>
        </w:rPr>
      </w:pPr>
      <w:r>
        <w:rPr>
          <w:rFonts w:cs="Times New Roman"/>
          <w:lang w:eastAsia="zh-CN"/>
        </w:rPr>
        <w:t xml:space="preserve">China supports the method of adding one new WRC Resolution to satisfy WRC-19 </w:t>
      </w:r>
      <w:r w:rsidR="00C7023C">
        <w:rPr>
          <w:rFonts w:cs="Times New Roman"/>
          <w:lang w:eastAsia="zh-CN"/>
        </w:rPr>
        <w:t>a</w:t>
      </w:r>
      <w:r>
        <w:rPr>
          <w:rFonts w:cs="Times New Roman"/>
          <w:lang w:eastAsia="zh-CN"/>
        </w:rPr>
        <w:t xml:space="preserve">genda item 1.12 for global or regional harmonized frequency bands of evolving Intelligent Transport Systems, and consequently suppress the Resolution </w:t>
      </w:r>
      <w:r w:rsidRPr="00774E42">
        <w:rPr>
          <w:rFonts w:cs="Times New Roman"/>
          <w:b/>
          <w:lang w:eastAsia="zh-CN"/>
        </w:rPr>
        <w:t>237 (WRC-15)</w:t>
      </w:r>
      <w:r>
        <w:rPr>
          <w:rFonts w:cs="Times New Roman"/>
          <w:lang w:eastAsia="zh-CN"/>
        </w:rPr>
        <w:t>.</w:t>
      </w:r>
    </w:p>
    <w:p w14:paraId="7400B77D" w14:textId="77777777" w:rsidR="00285B06" w:rsidRDefault="00285B06" w:rsidP="002F1B89">
      <w:pPr>
        <w:pStyle w:val="1"/>
        <w:numPr>
          <w:ilvl w:val="0"/>
          <w:numId w:val="35"/>
        </w:numPr>
        <w:spacing w:after="160" w:line="259" w:lineRule="auto"/>
        <w:ind w:left="360"/>
        <w:jc w:val="both"/>
      </w:pPr>
      <w:r>
        <w:rPr>
          <w:rFonts w:eastAsia="SimSun" w:cs="Times New Roman"/>
          <w:lang w:eastAsia="zh-CN"/>
        </w:rPr>
        <w:t xml:space="preserve">China supports to consider 5 850-5 925MHz or part of this frequency range as global harmonized frequency band </w:t>
      </w:r>
      <w:bookmarkStart w:id="1" w:name="OLE_LINK15"/>
      <w:bookmarkStart w:id="2" w:name="OLE_LINK16"/>
      <w:bookmarkStart w:id="3" w:name="OLE_LINK17"/>
      <w:bookmarkStart w:id="4" w:name="OLE_LINK18"/>
      <w:r>
        <w:rPr>
          <w:rFonts w:eastAsia="SimSun" w:cs="Times New Roman"/>
          <w:lang w:eastAsia="zh-CN"/>
        </w:rPr>
        <w:t>for evolving Intelligent Transport Systems</w:t>
      </w:r>
      <w:bookmarkEnd w:id="1"/>
      <w:bookmarkEnd w:id="2"/>
      <w:bookmarkEnd w:id="3"/>
      <w:bookmarkEnd w:id="4"/>
      <w:r>
        <w:rPr>
          <w:rFonts w:eastAsia="SimSun" w:cs="Times New Roman"/>
          <w:lang w:eastAsia="zh-CN"/>
        </w:rPr>
        <w:t>.</w:t>
      </w:r>
      <w:r>
        <w:t xml:space="preserve"> </w:t>
      </w:r>
    </w:p>
    <w:p w14:paraId="3D16BA7D" w14:textId="6002295F" w:rsidR="00402B1B" w:rsidRPr="006D6FB8" w:rsidRDefault="00285B06" w:rsidP="00EC77DE">
      <w:pPr>
        <w:pStyle w:val="1"/>
        <w:numPr>
          <w:ilvl w:val="0"/>
          <w:numId w:val="35"/>
        </w:numPr>
        <w:spacing w:after="160" w:line="259" w:lineRule="auto"/>
        <w:ind w:left="360"/>
        <w:jc w:val="both"/>
      </w:pPr>
      <w:r>
        <w:rPr>
          <w:rFonts w:cs="Times New Roman"/>
          <w:lang w:eastAsia="zh-CN"/>
        </w:rPr>
        <w:t>China supports that LTE-V2X and its evolution technologies should be considered within the scope of WRC-19 Agenda Item 1.12 as the evolving ITS technologies, and any harmonized frequency bands for evolving ITS should not be restricted to, nor exclude, any particular evolving ITS</w:t>
      </w:r>
      <w:r>
        <w:rPr>
          <w:rFonts w:cs="Times New Roman"/>
        </w:rPr>
        <w:t xml:space="preserve"> technolog</w:t>
      </w:r>
      <w:r w:rsidRPr="00C7023C">
        <w:rPr>
          <w:rFonts w:eastAsia="SimSun" w:cs="Times New Roman" w:hint="eastAsia"/>
          <w:lang w:eastAsia="zh-CN"/>
        </w:rPr>
        <w:t>ies.</w:t>
      </w:r>
    </w:p>
    <w:p w14:paraId="2BFD33B0" w14:textId="256BD5E9" w:rsidR="00402B1B" w:rsidRPr="006D6FB8" w:rsidRDefault="00AA4952">
      <w:pPr>
        <w:rPr>
          <w:b/>
          <w:bCs/>
        </w:rPr>
      </w:pPr>
      <w:r>
        <w:rPr>
          <w:b/>
          <w:bCs/>
          <w:lang w:eastAsia="ko-KR"/>
        </w:rPr>
        <w:t>3.1.7</w:t>
      </w:r>
      <w:r>
        <w:rPr>
          <w:b/>
          <w:bCs/>
          <w:lang w:eastAsia="ko-KR"/>
        </w:rPr>
        <w:tab/>
      </w:r>
      <w:r w:rsidR="00630D24" w:rsidRPr="00630D24">
        <w:rPr>
          <w:b/>
          <w:bCs/>
          <w:lang w:eastAsia="ko-KR"/>
        </w:rPr>
        <w:t>Republic of India</w:t>
      </w:r>
      <w:r w:rsidR="00402B1B" w:rsidRPr="006D6FB8">
        <w:rPr>
          <w:lang w:eastAsia="ko-KR"/>
        </w:rPr>
        <w:t xml:space="preserve"> - </w:t>
      </w:r>
      <w:r w:rsidR="00402B1B" w:rsidRPr="006D6FB8">
        <w:rPr>
          <w:b/>
          <w:lang w:val="en-NZ" w:eastAsia="ko-KR"/>
        </w:rPr>
        <w:t xml:space="preserve">Document </w:t>
      </w:r>
      <w:r w:rsidR="00F07E59">
        <w:rPr>
          <w:b/>
          <w:lang w:val="en-NZ" w:eastAsia="ko-KR"/>
        </w:rPr>
        <w:t>APG19-4</w:t>
      </w:r>
      <w:r w:rsidR="00402B1B" w:rsidRPr="006D6FB8">
        <w:rPr>
          <w:b/>
          <w:lang w:val="en-NZ" w:eastAsia="ko-KR"/>
        </w:rPr>
        <w:t>/</w:t>
      </w:r>
      <w:r w:rsidR="00402B1B" w:rsidRPr="006D6FB8">
        <w:rPr>
          <w:b/>
          <w:bCs/>
        </w:rPr>
        <w:t>INP-</w:t>
      </w:r>
      <w:r w:rsidR="00630D24">
        <w:rPr>
          <w:b/>
          <w:bCs/>
        </w:rPr>
        <w:t>117</w:t>
      </w:r>
      <w:r w:rsidR="00630D24" w:rsidRPr="006D6FB8">
        <w:rPr>
          <w:b/>
          <w:bCs/>
        </w:rPr>
        <w:t xml:space="preserve"> </w:t>
      </w:r>
    </w:p>
    <w:p w14:paraId="073C1CAD" w14:textId="0D4E794A" w:rsidR="00630D24" w:rsidRPr="0079524C" w:rsidRDefault="00630D24" w:rsidP="002F1B89">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eastAsia="zh-CN"/>
        </w:rPr>
      </w:pPr>
      <w:r w:rsidRPr="0079524C">
        <w:rPr>
          <w:rFonts w:eastAsia="Times New Roman"/>
          <w:szCs w:val="20"/>
          <w:lang w:val="en-GB" w:eastAsia="zh-CN"/>
        </w:rPr>
        <w:t xml:space="preserve">Evolving ITS should not be limited to any particular ITS technology including LTE based V2X and its evolution technologies. The use of frequency bands by ITS should not impose additional constraints on other primary services to which these frequency bands are already allocated and </w:t>
      </w:r>
      <w:r w:rsidRPr="0079524C">
        <w:rPr>
          <w:rFonts w:eastAsia="Times New Roman"/>
          <w:szCs w:val="20"/>
          <w:lang w:val="en-GB" w:eastAsia="zh-CN"/>
        </w:rPr>
        <w:lastRenderedPageBreak/>
        <w:t xml:space="preserve">should take appropriate account of the potential interference from other primary </w:t>
      </w:r>
      <w:r w:rsidR="00C7023C">
        <w:rPr>
          <w:rFonts w:eastAsia="Times New Roman"/>
          <w:szCs w:val="20"/>
          <w:lang w:val="en-GB" w:eastAsia="zh-CN"/>
        </w:rPr>
        <w:t>s</w:t>
      </w:r>
      <w:r w:rsidRPr="0079524C">
        <w:rPr>
          <w:rFonts w:eastAsia="Times New Roman"/>
          <w:szCs w:val="20"/>
          <w:lang w:val="en-GB" w:eastAsia="zh-CN"/>
        </w:rPr>
        <w:t>ervices, including FSS earth station uplinks, in particular while considering the frequency band 5 850-5 925MHz a regional (or sub-regional) basis, could also be used by the new generation of co-operative ITS.</w:t>
      </w:r>
    </w:p>
    <w:p w14:paraId="2824C9ED" w14:textId="77777777" w:rsidR="00630D24" w:rsidRDefault="00630D24" w:rsidP="002F1B89">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Pr>
          <w:rFonts w:eastAsia="Times New Roman"/>
          <w:color w:val="000000"/>
          <w:szCs w:val="20"/>
          <w:lang w:val="en-GB"/>
        </w:rPr>
        <w:t>India has already allocated 5875-5925 MHz for ITS services. India supports M</w:t>
      </w:r>
      <w:r w:rsidRPr="00AF4702">
        <w:rPr>
          <w:rFonts w:eastAsia="Batang"/>
          <w:szCs w:val="20"/>
          <w:lang w:val="en-GB"/>
        </w:rPr>
        <w:t>ethod</w:t>
      </w:r>
      <w:r>
        <w:rPr>
          <w:rFonts w:eastAsia="Batang"/>
          <w:szCs w:val="20"/>
          <w:lang w:val="en-GB"/>
        </w:rPr>
        <w:t xml:space="preserve"> A </w:t>
      </w:r>
      <w:r w:rsidRPr="0079524C">
        <w:rPr>
          <w:rFonts w:eastAsia="Batang"/>
          <w:szCs w:val="20"/>
          <w:lang w:val="en-GB"/>
        </w:rPr>
        <w:t xml:space="preserve">of no change to the Radio Regulations under this agenda item and </w:t>
      </w:r>
      <w:r>
        <w:rPr>
          <w:rFonts w:eastAsia="Batang"/>
          <w:szCs w:val="20"/>
          <w:lang w:val="en-GB"/>
        </w:rPr>
        <w:t xml:space="preserve">further proposes to </w:t>
      </w:r>
      <w:r w:rsidRPr="0079524C">
        <w:rPr>
          <w:rFonts w:eastAsia="Batang"/>
          <w:szCs w:val="20"/>
          <w:lang w:val="en-GB"/>
        </w:rPr>
        <w:t>satisfy this agenda item through ITU-R Recommendations and/or Reports</w:t>
      </w:r>
      <w:r w:rsidRPr="00AF4702">
        <w:rPr>
          <w:rFonts w:eastAsia="Times New Roman"/>
          <w:szCs w:val="20"/>
          <w:lang w:val="en-GB"/>
        </w:rPr>
        <w:t xml:space="preserve">. </w:t>
      </w:r>
    </w:p>
    <w:p w14:paraId="266361F7" w14:textId="77777777" w:rsidR="00630D24" w:rsidRPr="00696163" w:rsidRDefault="00630D24" w:rsidP="002F1B89">
      <w:pPr>
        <w:keepNext/>
        <w:keepLines/>
        <w:tabs>
          <w:tab w:val="left" w:pos="1134"/>
          <w:tab w:val="left" w:pos="1871"/>
          <w:tab w:val="left" w:pos="2268"/>
        </w:tabs>
        <w:overflowPunct w:val="0"/>
        <w:autoSpaceDE w:val="0"/>
        <w:autoSpaceDN w:val="0"/>
        <w:adjustRightInd w:val="0"/>
        <w:spacing w:before="200"/>
        <w:ind w:left="1134" w:hanging="1134"/>
        <w:jc w:val="both"/>
        <w:textAlignment w:val="baseline"/>
        <w:outlineLvl w:val="1"/>
        <w:rPr>
          <w:rFonts w:eastAsia="Times New Roman"/>
          <w:b/>
          <w:szCs w:val="20"/>
          <w:lang w:val="en-GB" w:eastAsia="ja-JP"/>
        </w:rPr>
      </w:pPr>
      <w:r w:rsidRPr="00696163">
        <w:rPr>
          <w:rFonts w:eastAsia="Times New Roman"/>
          <w:b/>
          <w:szCs w:val="20"/>
          <w:lang w:val="en-GB"/>
        </w:rPr>
        <w:t>Method A – No change to the Radio Regulations and suppress Resolution 237 (WRC-15)</w:t>
      </w:r>
    </w:p>
    <w:p w14:paraId="4DB2048A" w14:textId="77777777" w:rsidR="00630D24" w:rsidRPr="00696163" w:rsidRDefault="00630D24" w:rsidP="00C7023C">
      <w:pPr>
        <w:tabs>
          <w:tab w:val="left" w:pos="1134"/>
          <w:tab w:val="left" w:pos="1871"/>
          <w:tab w:val="left" w:pos="2268"/>
        </w:tabs>
        <w:overflowPunct w:val="0"/>
        <w:autoSpaceDE w:val="0"/>
        <w:autoSpaceDN w:val="0"/>
        <w:adjustRightInd w:val="0"/>
        <w:spacing w:afterLines="50" w:after="120"/>
        <w:jc w:val="both"/>
        <w:textAlignment w:val="baseline"/>
        <w:rPr>
          <w:rFonts w:eastAsia="Times New Roman"/>
          <w:szCs w:val="20"/>
          <w:lang w:val="en-GB"/>
        </w:rPr>
      </w:pPr>
      <w:r w:rsidRPr="00696163">
        <w:rPr>
          <w:rFonts w:eastAsia="Times New Roman"/>
          <w:szCs w:val="20"/>
          <w:lang w:val="en-GB"/>
        </w:rPr>
        <w:t>No change to the Radio Regulations other than to s</w:t>
      </w:r>
      <w:r w:rsidRPr="00696163">
        <w:rPr>
          <w:rFonts w:eastAsia="Times New Roman"/>
          <w:szCs w:val="20"/>
          <w:lang w:val="en-GB" w:eastAsia="zh-CN"/>
        </w:rPr>
        <w:t xml:space="preserve">uppress Resolution </w:t>
      </w:r>
      <w:r w:rsidRPr="00696163">
        <w:rPr>
          <w:rFonts w:eastAsia="Times New Roman"/>
          <w:b/>
          <w:bCs/>
          <w:szCs w:val="20"/>
          <w:lang w:val="en-GB" w:eastAsia="zh-CN"/>
        </w:rPr>
        <w:t>237 (WRC</w:t>
      </w:r>
      <w:r w:rsidRPr="00696163">
        <w:rPr>
          <w:rFonts w:eastAsia="Times New Roman"/>
          <w:b/>
          <w:bCs/>
          <w:szCs w:val="20"/>
          <w:lang w:val="en-GB" w:eastAsia="zh-CN"/>
        </w:rPr>
        <w:noBreakHyphen/>
        <w:t>15)</w:t>
      </w:r>
      <w:r w:rsidRPr="00696163">
        <w:rPr>
          <w:rFonts w:eastAsia="Times New Roman"/>
          <w:szCs w:val="20"/>
          <w:lang w:val="en-GB" w:eastAsia="zh-CN"/>
        </w:rPr>
        <w:t>.</w:t>
      </w:r>
    </w:p>
    <w:p w14:paraId="05F24E7D" w14:textId="168FC009" w:rsidR="00C56F99" w:rsidRPr="00441526" w:rsidRDefault="00630D24" w:rsidP="00C7023C">
      <w:pPr>
        <w:tabs>
          <w:tab w:val="left" w:pos="1134"/>
          <w:tab w:val="left" w:pos="1871"/>
          <w:tab w:val="left" w:pos="2268"/>
        </w:tabs>
        <w:overflowPunct w:val="0"/>
        <w:autoSpaceDE w:val="0"/>
        <w:autoSpaceDN w:val="0"/>
        <w:adjustRightInd w:val="0"/>
        <w:spacing w:afterLines="50" w:after="120"/>
        <w:jc w:val="both"/>
        <w:textAlignment w:val="baseline"/>
        <w:rPr>
          <w:lang w:val="en-NZ"/>
        </w:rPr>
      </w:pPr>
      <w:r w:rsidRPr="0092316C">
        <w:rPr>
          <w:rFonts w:eastAsia="Times New Roman"/>
          <w:szCs w:val="20"/>
          <w:lang w:val="en-GB"/>
        </w:rPr>
        <w:t>ITS operate within existing mobile service allocations. Harmonization of frequencies for ITS pertaining to the exchange of information to improve traffic management and to assist driving safety can be achieved through the course of ITU-R Study Group work by applicable ITU</w:t>
      </w:r>
      <w:r w:rsidRPr="0092316C">
        <w:rPr>
          <w:rFonts w:eastAsia="Times New Roman"/>
          <w:szCs w:val="20"/>
          <w:lang w:val="en-GB"/>
        </w:rPr>
        <w:noBreakHyphen/>
        <w:t xml:space="preserve">R Recommendations and/or Reports (e.g., </w:t>
      </w:r>
      <w:r w:rsidRPr="0092316C">
        <w:rPr>
          <w:rFonts w:eastAsia="Times New Roman"/>
          <w:szCs w:val="20"/>
          <w:lang w:val="en-GB" w:eastAsia="ko-KR"/>
        </w:rPr>
        <w:t>Recommendation ITU-R M.[ITS_FRQ]</w:t>
      </w:r>
      <w:r w:rsidRPr="0092316C">
        <w:rPr>
          <w:rFonts w:eastAsia="Times New Roman"/>
          <w:szCs w:val="20"/>
          <w:lang w:val="en-GB"/>
        </w:rPr>
        <w:t>).</w:t>
      </w:r>
    </w:p>
    <w:p w14:paraId="4FC83A6C" w14:textId="77777777"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4B577C76" w14:textId="297A0A2F" w:rsidR="00923AD9" w:rsidRPr="00C7023C" w:rsidRDefault="00923AD9" w:rsidP="00C7023C">
      <w:pPr>
        <w:spacing w:afterLines="50" w:after="120"/>
        <w:jc w:val="both"/>
        <w:rPr>
          <w:rFonts w:eastAsia="Malgun Gothic"/>
          <w:color w:val="000000" w:themeColor="text1"/>
          <w:lang w:eastAsia="ko-KR"/>
        </w:rPr>
      </w:pPr>
      <w:r w:rsidRPr="00C7023C">
        <w:rPr>
          <w:rFonts w:eastAsia="Malgun Gothic"/>
          <w:color w:val="000000" w:themeColor="text1"/>
          <w:lang w:eastAsia="ko-KR"/>
        </w:rPr>
        <w:t xml:space="preserve">It is noted that the draft new Recommendation ITU-R M.[ITS_FRQ] has </w:t>
      </w:r>
      <w:r w:rsidRPr="00C7023C">
        <w:rPr>
          <w:rFonts w:eastAsia="Malgun Gothic"/>
          <w:i/>
          <w:iCs/>
          <w:color w:val="000000" w:themeColor="text1"/>
          <w:lang w:eastAsia="ko-KR"/>
        </w:rPr>
        <w:t>recommends</w:t>
      </w:r>
      <w:r w:rsidRPr="00C7023C">
        <w:rPr>
          <w:rFonts w:eastAsia="Malgun Gothic"/>
          <w:color w:val="000000" w:themeColor="text1"/>
          <w:lang w:eastAsia="ko-KR"/>
        </w:rPr>
        <w:t xml:space="preserve"> </w:t>
      </w:r>
      <w:r w:rsidR="002B5FE5">
        <w:rPr>
          <w:rFonts w:eastAsia="Malgun Gothic"/>
          <w:color w:val="000000" w:themeColor="text1"/>
          <w:lang w:eastAsia="ko-KR"/>
        </w:rPr>
        <w:t xml:space="preserve">part </w:t>
      </w:r>
      <w:r w:rsidRPr="00C7023C">
        <w:rPr>
          <w:rFonts w:eastAsia="Malgun Gothic"/>
          <w:color w:val="000000" w:themeColor="text1"/>
          <w:lang w:eastAsia="ko-KR"/>
        </w:rPr>
        <w:t>dealing with the frequency band 5 850-5 925 MHz, or parts thereof, and examples of ITS frequency bands in current use. The draft new Recommendation ITU-R M.[ITS_FRQ] has been considered in drafting the APT Preliminary View for this agenda item.</w:t>
      </w:r>
    </w:p>
    <w:p w14:paraId="764E9CA5" w14:textId="4A255F35" w:rsidR="00923AD9" w:rsidRPr="00C7023C" w:rsidRDefault="00923AD9" w:rsidP="00C7023C">
      <w:pPr>
        <w:spacing w:afterLines="50" w:after="120"/>
        <w:jc w:val="both"/>
        <w:rPr>
          <w:rFonts w:eastAsia="Malgun Gothic"/>
          <w:color w:val="000000" w:themeColor="text1"/>
          <w:lang w:eastAsia="ko-KR"/>
        </w:rPr>
      </w:pPr>
      <w:r w:rsidRPr="00C7023C">
        <w:rPr>
          <w:rFonts w:eastAsia="Malgun Gothic"/>
          <w:color w:val="000000" w:themeColor="text1"/>
          <w:lang w:eastAsia="ko-KR"/>
        </w:rPr>
        <w:t xml:space="preserve">It is noted that WP 5A studies that are directly related to </w:t>
      </w:r>
      <w:r w:rsidR="002B5FE5">
        <w:rPr>
          <w:rFonts w:eastAsia="Malgun Gothic"/>
          <w:color w:val="000000" w:themeColor="text1"/>
          <w:lang w:eastAsia="ko-KR"/>
        </w:rPr>
        <w:t>a</w:t>
      </w:r>
      <w:r w:rsidRPr="00C7023C">
        <w:rPr>
          <w:rFonts w:eastAsia="Malgun Gothic"/>
          <w:color w:val="000000" w:themeColor="text1"/>
          <w:lang w:eastAsia="ko-KR"/>
        </w:rPr>
        <w:t>genda item 1.12 have been completed. APT Members’ further consideration of APT Preliminary Views in APG</w:t>
      </w:r>
      <w:r w:rsidR="002B5FE5">
        <w:rPr>
          <w:rFonts w:eastAsia="Malgun Gothic"/>
          <w:color w:val="000000" w:themeColor="text1"/>
          <w:lang w:eastAsia="ko-KR"/>
        </w:rPr>
        <w:t xml:space="preserve"> </w:t>
      </w:r>
      <w:r w:rsidRPr="00C7023C">
        <w:rPr>
          <w:rFonts w:eastAsia="Malgun Gothic"/>
          <w:color w:val="000000" w:themeColor="text1"/>
          <w:lang w:eastAsia="ko-KR"/>
        </w:rPr>
        <w:t>19-5 may be affected by the results of CPM19-2.</w:t>
      </w:r>
    </w:p>
    <w:p w14:paraId="40DC67B8" w14:textId="16C25C55" w:rsidR="00923AD9" w:rsidRPr="00C7023C" w:rsidRDefault="00923AD9" w:rsidP="00C7023C">
      <w:pPr>
        <w:spacing w:afterLines="50" w:after="120"/>
        <w:jc w:val="both"/>
        <w:rPr>
          <w:rFonts w:eastAsia="Malgun Gothic"/>
          <w:color w:val="000000" w:themeColor="text1"/>
          <w:lang w:eastAsia="ko-KR"/>
        </w:rPr>
      </w:pPr>
      <w:r w:rsidRPr="00C7023C">
        <w:rPr>
          <w:rFonts w:eastAsia="Malgun Gothic"/>
          <w:color w:val="000000" w:themeColor="text1"/>
          <w:lang w:eastAsia="ko-KR"/>
        </w:rPr>
        <w:t>It is noted that the consideration of Methods to satisfy the agenda item is important for the preparation of APG</w:t>
      </w:r>
      <w:r w:rsidR="002B5FE5">
        <w:rPr>
          <w:rFonts w:eastAsia="Malgun Gothic"/>
          <w:color w:val="000000" w:themeColor="text1"/>
          <w:lang w:eastAsia="ko-KR"/>
        </w:rPr>
        <w:t xml:space="preserve"> </w:t>
      </w:r>
      <w:r w:rsidRPr="00C7023C">
        <w:rPr>
          <w:rFonts w:eastAsia="Malgun Gothic"/>
          <w:color w:val="000000" w:themeColor="text1"/>
          <w:lang w:eastAsia="ko-KR"/>
        </w:rPr>
        <w:t>19-5 meeting and, if consensus can be reached, possible Preliminary APT Common Proposal to WRC-19 can be developed.</w:t>
      </w:r>
    </w:p>
    <w:p w14:paraId="139E453E" w14:textId="4C543040" w:rsidR="003E3F43" w:rsidRDefault="00923AD9" w:rsidP="002B5FE5">
      <w:pPr>
        <w:spacing w:afterLines="50" w:after="120"/>
        <w:jc w:val="both"/>
        <w:rPr>
          <w:i/>
          <w:u w:val="single"/>
          <w:lang w:val="en-NZ"/>
        </w:rPr>
      </w:pPr>
      <w:r w:rsidRPr="00C7023C">
        <w:rPr>
          <w:rFonts w:eastAsia="Malgun Gothic"/>
          <w:color w:val="000000" w:themeColor="text1"/>
          <w:lang w:eastAsia="ko-KR"/>
        </w:rPr>
        <w:t>An issue that may be considered to facilitate APT Members’ further consideration of Methods to satisfy the agenda item in APG</w:t>
      </w:r>
      <w:r w:rsidR="002B5FE5">
        <w:rPr>
          <w:rFonts w:eastAsia="Malgun Gothic"/>
          <w:color w:val="000000" w:themeColor="text1"/>
          <w:lang w:eastAsia="ko-KR"/>
        </w:rPr>
        <w:t xml:space="preserve"> </w:t>
      </w:r>
      <w:r w:rsidRPr="00C7023C">
        <w:rPr>
          <w:rFonts w:eastAsia="Malgun Gothic"/>
          <w:color w:val="000000" w:themeColor="text1"/>
          <w:lang w:eastAsia="ko-KR"/>
        </w:rPr>
        <w:t xml:space="preserve">19-5 is the preferences of APT Members regarding how to provide framework for harmonization for ITS, i.e. by ITU-R </w:t>
      </w:r>
      <w:r w:rsidR="00774E42">
        <w:rPr>
          <w:rFonts w:eastAsia="Malgun Gothic"/>
          <w:color w:val="000000" w:themeColor="text1"/>
          <w:lang w:eastAsia="ko-KR"/>
        </w:rPr>
        <w:t>R</w:t>
      </w:r>
      <w:r w:rsidRPr="00C7023C">
        <w:rPr>
          <w:rFonts w:eastAsia="Malgun Gothic"/>
          <w:color w:val="000000" w:themeColor="text1"/>
          <w:lang w:eastAsia="ko-KR"/>
        </w:rPr>
        <w:t>ecommendations/</w:t>
      </w:r>
      <w:r w:rsidR="00774E42">
        <w:rPr>
          <w:rFonts w:eastAsia="Malgun Gothic"/>
          <w:color w:val="000000" w:themeColor="text1"/>
          <w:lang w:eastAsia="ko-KR"/>
        </w:rPr>
        <w:t>R</w:t>
      </w:r>
      <w:r w:rsidRPr="00C7023C">
        <w:rPr>
          <w:rFonts w:eastAsia="Malgun Gothic"/>
          <w:color w:val="000000" w:themeColor="text1"/>
          <w:lang w:eastAsia="ko-KR"/>
        </w:rPr>
        <w:t xml:space="preserve">eports and/or a WRC </w:t>
      </w:r>
      <w:r w:rsidR="00774E42">
        <w:rPr>
          <w:rFonts w:eastAsia="Malgun Gothic"/>
          <w:color w:val="000000" w:themeColor="text1"/>
          <w:lang w:eastAsia="ko-KR"/>
        </w:rPr>
        <w:t>R</w:t>
      </w:r>
      <w:r w:rsidRPr="00C7023C">
        <w:rPr>
          <w:rFonts w:eastAsia="Malgun Gothic"/>
          <w:color w:val="000000" w:themeColor="text1"/>
          <w:lang w:eastAsia="ko-KR"/>
        </w:rPr>
        <w:t xml:space="preserve">esolution. In case of a new WRC </w:t>
      </w:r>
      <w:r w:rsidR="00774E42">
        <w:rPr>
          <w:rFonts w:eastAsia="Malgun Gothic"/>
          <w:color w:val="000000" w:themeColor="text1"/>
          <w:lang w:eastAsia="ko-KR"/>
        </w:rPr>
        <w:t>R</w:t>
      </w:r>
      <w:r w:rsidRPr="00C7023C">
        <w:rPr>
          <w:rFonts w:eastAsia="Malgun Gothic"/>
          <w:color w:val="000000" w:themeColor="text1"/>
          <w:lang w:eastAsia="ko-KR"/>
        </w:rPr>
        <w:t xml:space="preserve">esolution, whether to provide harmonized frequency bands in the </w:t>
      </w:r>
      <w:r w:rsidR="00774E42">
        <w:rPr>
          <w:rFonts w:eastAsia="Malgun Gothic"/>
          <w:color w:val="000000" w:themeColor="text1"/>
          <w:lang w:eastAsia="ko-KR"/>
        </w:rPr>
        <w:t>R</w:t>
      </w:r>
      <w:r w:rsidRPr="00C7023C">
        <w:rPr>
          <w:rFonts w:eastAsia="Malgun Gothic"/>
          <w:color w:val="000000" w:themeColor="text1"/>
          <w:lang w:eastAsia="ko-KR"/>
        </w:rPr>
        <w:t xml:space="preserve">esolution explicitly, or to provide harmonized frequency bands through non-mandatory reference to ITU-R Recommendation. </w:t>
      </w:r>
    </w:p>
    <w:p w14:paraId="164523F0" w14:textId="7EEE410D"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07266D22" w14:textId="3669687D" w:rsidR="00A45C10" w:rsidRDefault="00E66310" w:rsidP="00527E98">
      <w:pPr>
        <w:spacing w:before="120" w:after="120"/>
        <w:jc w:val="thaiDistribute"/>
      </w:pPr>
      <w:r w:rsidRPr="009A72E9">
        <w:t>APT Members support possible harmonization of frequency bands in existing mobile</w:t>
      </w:r>
      <w:r w:rsidR="00E423A9">
        <w:t xml:space="preserve"> </w:t>
      </w:r>
      <w:r w:rsidRPr="009A72E9">
        <w:t>service allocations for the implementation of evolving ITS</w:t>
      </w:r>
      <w:r w:rsidRPr="00DC7E3A">
        <w:t>.</w:t>
      </w:r>
      <w:r>
        <w:t xml:space="preserve"> </w:t>
      </w:r>
      <w:r w:rsidR="00B448C6">
        <w:rPr>
          <w:lang w:val="en-NZ"/>
        </w:rPr>
        <w:t xml:space="preserve">APT Members </w:t>
      </w:r>
      <w:r w:rsidR="00B448C6" w:rsidRPr="009C0EA0">
        <w:rPr>
          <w:lang w:val="fr-FR"/>
        </w:rPr>
        <w:t xml:space="preserve">support </w:t>
      </w:r>
      <w:r w:rsidR="003C20FB">
        <w:rPr>
          <w:lang w:val="fr-FR"/>
        </w:rPr>
        <w:t xml:space="preserve">the </w:t>
      </w:r>
      <w:r w:rsidR="00B448C6" w:rsidRPr="009C0EA0">
        <w:rPr>
          <w:lang w:val="fr-FR"/>
        </w:rPr>
        <w:t>consider</w:t>
      </w:r>
      <w:r w:rsidR="003C20FB">
        <w:rPr>
          <w:lang w:val="fr-FR"/>
        </w:rPr>
        <w:t>ation of</w:t>
      </w:r>
      <w:r w:rsidR="00B448C6" w:rsidRPr="009C0EA0">
        <w:rPr>
          <w:lang w:val="fr-FR"/>
        </w:rPr>
        <w:t xml:space="preserve"> the frequency band 5 850-5 925</w:t>
      </w:r>
      <w:r w:rsidR="00103124">
        <w:rPr>
          <w:lang w:val="fr-FR"/>
        </w:rPr>
        <w:t xml:space="preserve"> </w:t>
      </w:r>
      <w:r w:rsidR="00B448C6" w:rsidRPr="009C0EA0">
        <w:rPr>
          <w:lang w:val="fr-FR"/>
        </w:rPr>
        <w:t>MHz</w:t>
      </w:r>
      <w:r w:rsidR="00CA36AC">
        <w:rPr>
          <w:lang w:val="fr-FR"/>
        </w:rPr>
        <w:t>,</w:t>
      </w:r>
      <w:r w:rsidR="00B448C6" w:rsidRPr="009C0EA0">
        <w:rPr>
          <w:lang w:val="fr-FR"/>
        </w:rPr>
        <w:t xml:space="preserve"> </w:t>
      </w:r>
      <w:r w:rsidR="00CA36AC" w:rsidRPr="00CA36AC">
        <w:rPr>
          <w:lang w:val="fr-FR"/>
        </w:rPr>
        <w:t>or parts thereof</w:t>
      </w:r>
      <w:r w:rsidR="00CA36AC">
        <w:rPr>
          <w:lang w:val="fr-FR"/>
        </w:rPr>
        <w:t>,</w:t>
      </w:r>
      <w:r w:rsidR="00B448C6" w:rsidRPr="009C0EA0">
        <w:rPr>
          <w:lang w:val="fr-FR"/>
        </w:rPr>
        <w:t xml:space="preserve"> as global harmonized frequency band</w:t>
      </w:r>
      <w:r w:rsidR="00B448C6" w:rsidRPr="009C0EA0">
        <w:rPr>
          <w:lang w:val="fr-FR" w:eastAsia="zh-CN"/>
        </w:rPr>
        <w:t xml:space="preserve"> </w:t>
      </w:r>
      <w:r w:rsidR="00B448C6">
        <w:rPr>
          <w:lang w:eastAsia="zh-CN"/>
        </w:rPr>
        <w:t>for evolving ITS</w:t>
      </w:r>
      <w:r w:rsidR="00B448C6" w:rsidRPr="009C0EA0">
        <w:rPr>
          <w:lang w:val="fr-FR"/>
        </w:rPr>
        <w:t>.</w:t>
      </w:r>
      <w:r w:rsidR="00DB5C73">
        <w:rPr>
          <w:lang w:val="fr-FR"/>
        </w:rPr>
        <w:t xml:space="preserve"> </w:t>
      </w:r>
      <w:r w:rsidR="00DD7FD0">
        <w:t xml:space="preserve">APT Members also support </w:t>
      </w:r>
      <w:r w:rsidR="003C20FB">
        <w:rPr>
          <w:lang w:val="fr-FR"/>
        </w:rPr>
        <w:t xml:space="preserve">the </w:t>
      </w:r>
      <w:r w:rsidR="003C20FB" w:rsidRPr="009C0EA0">
        <w:rPr>
          <w:lang w:val="fr-FR"/>
        </w:rPr>
        <w:t>consider</w:t>
      </w:r>
      <w:r w:rsidR="003C20FB">
        <w:rPr>
          <w:lang w:val="fr-FR"/>
        </w:rPr>
        <w:t>ation of</w:t>
      </w:r>
      <w:r w:rsidR="003C20FB" w:rsidRPr="009C0EA0">
        <w:rPr>
          <w:lang w:val="fr-FR"/>
        </w:rPr>
        <w:t xml:space="preserve"> </w:t>
      </w:r>
      <w:r w:rsidR="00A45C10">
        <w:t>examples of ITS frequency bands in current use, as listed in the Annex</w:t>
      </w:r>
      <w:r w:rsidR="00DD7FD0">
        <w:t xml:space="preserve"> of </w:t>
      </w:r>
      <w:r w:rsidR="00DD7FD0" w:rsidRPr="00527E98">
        <w:t>Recommendation ITU-R M.[ITS_FRQ]</w:t>
      </w:r>
      <w:r w:rsidR="00A45C10">
        <w:t xml:space="preserve"> for regional harmonized ITS frequency bands</w:t>
      </w:r>
      <w:r w:rsidR="006B0B4F">
        <w:t>.</w:t>
      </w:r>
    </w:p>
    <w:p w14:paraId="1FAEBBC1" w14:textId="6E8C19EC" w:rsidR="00D5177B" w:rsidRDefault="00D5177B" w:rsidP="00527E98">
      <w:pPr>
        <w:spacing w:before="120" w:after="120"/>
        <w:jc w:val="thaiDistribute"/>
      </w:pPr>
      <w:r>
        <w:t xml:space="preserve">APT Members support the suppression of </w:t>
      </w:r>
      <w:r w:rsidRPr="00527E98">
        <w:t xml:space="preserve">Resolution </w:t>
      </w:r>
      <w:r w:rsidRPr="00527E98">
        <w:rPr>
          <w:b/>
          <w:bCs/>
        </w:rPr>
        <w:t>237 (WRC-15)</w:t>
      </w:r>
      <w:r>
        <w:t>.</w:t>
      </w:r>
    </w:p>
    <w:p w14:paraId="12B32FAA" w14:textId="37F735A6" w:rsidR="00E66310" w:rsidRPr="009A72E9" w:rsidRDefault="00E66310" w:rsidP="002B5FE5">
      <w:pPr>
        <w:spacing w:afterLines="50" w:after="120"/>
      </w:pPr>
      <w:r w:rsidRPr="009A72E9">
        <w:t>APT Members are also of the view that:</w:t>
      </w:r>
    </w:p>
    <w:p w14:paraId="01634A33" w14:textId="77777777" w:rsidR="00E66310" w:rsidRPr="00527E98" w:rsidRDefault="00E66310" w:rsidP="002B5FE5">
      <w:pPr>
        <w:pStyle w:val="ListParagraph"/>
        <w:numPr>
          <w:ilvl w:val="0"/>
          <w:numId w:val="37"/>
        </w:numPr>
        <w:spacing w:afterLines="50" w:after="120"/>
        <w:ind w:hanging="720"/>
        <w:jc w:val="both"/>
        <w:rPr>
          <w:rFonts w:eastAsia="Malgun Gothic"/>
          <w:color w:val="000000" w:themeColor="text1"/>
          <w:lang w:eastAsia="ko-KR"/>
        </w:rPr>
      </w:pPr>
      <w:r w:rsidRPr="00527E98">
        <w:rPr>
          <w:rFonts w:eastAsia="Malgun Gothic"/>
          <w:color w:val="000000" w:themeColor="text1"/>
          <w:lang w:eastAsia="ko-KR"/>
        </w:rPr>
        <w:t>Evolving ITS should not be restricted to, nor exclude, any particular evolving</w:t>
      </w:r>
      <w:r w:rsidRPr="00527E98" w:rsidDel="00BD4593">
        <w:rPr>
          <w:rFonts w:eastAsia="Malgun Gothic"/>
          <w:color w:val="000000" w:themeColor="text1"/>
          <w:lang w:eastAsia="ko-KR"/>
        </w:rPr>
        <w:t xml:space="preserve"> </w:t>
      </w:r>
      <w:r w:rsidRPr="00527E98">
        <w:rPr>
          <w:rFonts w:eastAsia="Malgun Gothic"/>
          <w:color w:val="000000" w:themeColor="text1"/>
          <w:lang w:eastAsia="ko-KR"/>
        </w:rPr>
        <w:t xml:space="preserve">ITS technology including LTE based V2X and its evolution technologies. </w:t>
      </w:r>
    </w:p>
    <w:p w14:paraId="59222DB7" w14:textId="086BDABA" w:rsidR="00E66310" w:rsidRPr="00527E98" w:rsidRDefault="00E66310" w:rsidP="002B5FE5">
      <w:pPr>
        <w:pStyle w:val="ListParagraph"/>
        <w:numPr>
          <w:ilvl w:val="0"/>
          <w:numId w:val="37"/>
        </w:numPr>
        <w:spacing w:afterLines="50" w:after="120"/>
        <w:ind w:hanging="720"/>
        <w:jc w:val="both"/>
        <w:rPr>
          <w:rFonts w:eastAsia="Malgun Gothic"/>
          <w:color w:val="000000" w:themeColor="text1"/>
          <w:lang w:eastAsia="ko-KR"/>
        </w:rPr>
      </w:pPr>
      <w:r w:rsidRPr="00527E98">
        <w:rPr>
          <w:rFonts w:eastAsia="Malgun Gothic"/>
          <w:color w:val="000000" w:themeColor="text1"/>
          <w:lang w:eastAsia="ko-KR"/>
        </w:rPr>
        <w:t xml:space="preserve">The use of frequency bands by ITS should not impose additional constraints on other primary services to which these frequency bands are already allocated and should take appropriate account of the potential interference from other primary </w:t>
      </w:r>
      <w:r w:rsidR="00CE165F">
        <w:rPr>
          <w:rFonts w:eastAsia="Malgun Gothic"/>
          <w:color w:val="000000" w:themeColor="text1"/>
          <w:lang w:eastAsia="ko-KR"/>
        </w:rPr>
        <w:t>s</w:t>
      </w:r>
      <w:r w:rsidRPr="00527E98">
        <w:rPr>
          <w:rFonts w:eastAsia="Malgun Gothic"/>
          <w:color w:val="000000" w:themeColor="text1"/>
          <w:lang w:eastAsia="ko-KR"/>
        </w:rPr>
        <w:t>ervices, including FSS earth station uplinks.</w:t>
      </w:r>
    </w:p>
    <w:p w14:paraId="59DC37DF" w14:textId="35AC0675" w:rsidR="00B64A60" w:rsidRDefault="00B64A60" w:rsidP="00B64A60">
      <w:pPr>
        <w:spacing w:after="120"/>
        <w:jc w:val="both"/>
        <w:rPr>
          <w:b/>
          <w:lang w:val="en-NZ" w:eastAsia="ko-KR"/>
        </w:rPr>
      </w:pPr>
      <w:r w:rsidRPr="00441526">
        <w:rPr>
          <w:b/>
          <w:lang w:val="en-NZ" w:eastAsia="ko-KR"/>
        </w:rPr>
        <w:lastRenderedPageBreak/>
        <w:t xml:space="preserve">5. </w:t>
      </w:r>
      <w:r w:rsidRPr="00441526">
        <w:rPr>
          <w:b/>
          <w:lang w:val="en-NZ" w:eastAsia="ko-KR"/>
        </w:rPr>
        <w:tab/>
        <w:t>Other Views</w:t>
      </w:r>
    </w:p>
    <w:p w14:paraId="29B2F50B" w14:textId="33A7FB65" w:rsidR="00B40185" w:rsidRPr="00D31461" w:rsidRDefault="00B40185" w:rsidP="002466A7">
      <w:pPr>
        <w:spacing w:afterLines="50" w:after="120"/>
        <w:rPr>
          <w:bCs/>
        </w:rPr>
      </w:pPr>
      <w:r w:rsidRPr="00527E98">
        <w:rPr>
          <w:bCs/>
        </w:rPr>
        <w:t>No consensus was reached regarding the Method to satisfy the agenda item</w:t>
      </w:r>
      <w:r w:rsidR="002466A7">
        <w:rPr>
          <w:rFonts w:asciiTheme="minorEastAsia" w:eastAsiaTheme="minorEastAsia" w:hAnsiTheme="minorEastAsia" w:hint="eastAsia"/>
          <w:bCs/>
          <w:lang w:eastAsia="zh-CN"/>
        </w:rPr>
        <w:t>.</w:t>
      </w:r>
    </w:p>
    <w:p w14:paraId="3274FFFC" w14:textId="649336D2" w:rsidR="00BF6750" w:rsidRPr="002466A7" w:rsidRDefault="00BF6750" w:rsidP="002466A7">
      <w:pPr>
        <w:spacing w:afterLines="50" w:after="120"/>
        <w:jc w:val="both"/>
        <w:rPr>
          <w:rFonts w:eastAsia="Malgun Gothic"/>
          <w:color w:val="000000" w:themeColor="text1"/>
          <w:lang w:eastAsia="ko-KR"/>
        </w:rPr>
      </w:pPr>
      <w:r w:rsidRPr="002466A7">
        <w:rPr>
          <w:rFonts w:eastAsia="Malgun Gothic"/>
          <w:color w:val="000000" w:themeColor="text1"/>
          <w:lang w:eastAsia="ko-KR"/>
        </w:rPr>
        <w:t>Some APT Members support the Method of no changes to the Radio Regulations under this agenda item and satisfy this agenda item through ITU-R Recommendation and/or Report.</w:t>
      </w:r>
    </w:p>
    <w:p w14:paraId="4D8D3DFD" w14:textId="02462294" w:rsidR="00BF6750" w:rsidRPr="002466A7" w:rsidRDefault="00BF6750" w:rsidP="002466A7">
      <w:pPr>
        <w:spacing w:afterLines="50" w:after="120"/>
        <w:jc w:val="both"/>
        <w:rPr>
          <w:rFonts w:eastAsia="Malgun Gothic"/>
          <w:color w:val="000000" w:themeColor="text1"/>
          <w:lang w:eastAsia="ko-KR"/>
        </w:rPr>
      </w:pPr>
      <w:r w:rsidRPr="002466A7">
        <w:rPr>
          <w:rFonts w:eastAsia="Malgun Gothic"/>
          <w:color w:val="000000" w:themeColor="text1"/>
          <w:lang w:eastAsia="ko-KR"/>
        </w:rPr>
        <w:t>Some APT Members support method</w:t>
      </w:r>
      <w:r w:rsidR="00D31461" w:rsidRPr="002466A7">
        <w:rPr>
          <w:rFonts w:eastAsia="Malgun Gothic"/>
          <w:color w:val="000000" w:themeColor="text1"/>
          <w:lang w:eastAsia="ko-KR"/>
        </w:rPr>
        <w:t>s</w:t>
      </w:r>
      <w:r w:rsidRPr="002466A7">
        <w:rPr>
          <w:rFonts w:eastAsia="Malgun Gothic"/>
          <w:color w:val="000000" w:themeColor="text1"/>
          <w:lang w:eastAsia="ko-KR"/>
        </w:rPr>
        <w:t xml:space="preserve"> of adding one new WRC Resolution </w:t>
      </w:r>
      <w:r w:rsidR="00D31461" w:rsidRPr="002466A7">
        <w:rPr>
          <w:rFonts w:eastAsia="Malgun Gothic"/>
          <w:color w:val="000000" w:themeColor="text1"/>
          <w:lang w:eastAsia="ko-KR"/>
        </w:rPr>
        <w:t xml:space="preserve">specifying harmonized frequency bands of evolving ITS or adding one new WRC Resolution providing harmonized frequency bands including through non-mandatory reference to ITU-R recommendation </w:t>
      </w:r>
      <w:r w:rsidRPr="002466A7">
        <w:rPr>
          <w:rFonts w:eastAsia="Malgun Gothic"/>
          <w:color w:val="000000" w:themeColor="text1"/>
          <w:lang w:eastAsia="ko-KR"/>
        </w:rPr>
        <w:t>to satisfy this agenda item</w:t>
      </w:r>
      <w:r w:rsidR="00D31461" w:rsidRPr="002466A7">
        <w:rPr>
          <w:rFonts w:eastAsia="Malgun Gothic"/>
          <w:color w:val="000000" w:themeColor="text1"/>
          <w:lang w:eastAsia="ko-KR"/>
        </w:rPr>
        <w:t>.</w:t>
      </w:r>
    </w:p>
    <w:p w14:paraId="224DDC65" w14:textId="2BF7477F" w:rsidR="0010219D" w:rsidRPr="00527E98" w:rsidRDefault="00BF6750" w:rsidP="002466A7">
      <w:pPr>
        <w:spacing w:afterLines="50" w:after="120"/>
        <w:jc w:val="both"/>
      </w:pPr>
      <w:r w:rsidRPr="002466A7">
        <w:rPr>
          <w:rFonts w:eastAsia="Malgun Gothic"/>
          <w:color w:val="000000" w:themeColor="text1"/>
          <w:lang w:eastAsia="ko-KR"/>
        </w:rPr>
        <w:t>Some APT Members prefer to specify harmonized frequency bands explicitly in an</w:t>
      </w:r>
      <w:r w:rsidR="002466A7">
        <w:rPr>
          <w:rFonts w:eastAsia="Malgun Gothic"/>
          <w:color w:val="000000" w:themeColor="text1"/>
          <w:lang w:eastAsia="ko-KR"/>
        </w:rPr>
        <w:t xml:space="preserve"> </w:t>
      </w:r>
      <w:r w:rsidRPr="002466A7">
        <w:rPr>
          <w:rFonts w:eastAsia="Malgun Gothic"/>
          <w:color w:val="000000" w:themeColor="text1"/>
          <w:lang w:eastAsia="ko-KR"/>
        </w:rPr>
        <w:t xml:space="preserve">ITU-R </w:t>
      </w:r>
      <w:r w:rsidR="002466A7">
        <w:rPr>
          <w:rFonts w:eastAsia="Malgun Gothic"/>
          <w:color w:val="000000" w:themeColor="text1"/>
          <w:lang w:eastAsia="ko-KR"/>
        </w:rPr>
        <w:t>R</w:t>
      </w:r>
      <w:r w:rsidRPr="002466A7">
        <w:rPr>
          <w:rFonts w:eastAsia="Malgun Gothic"/>
          <w:color w:val="000000" w:themeColor="text1"/>
          <w:lang w:eastAsia="ko-KR"/>
        </w:rPr>
        <w:t xml:space="preserve">ecommendation, and currently have no preference over whether the ITU-R </w:t>
      </w:r>
      <w:r w:rsidR="002466A7">
        <w:rPr>
          <w:rFonts w:eastAsia="Malgun Gothic"/>
          <w:color w:val="000000" w:themeColor="text1"/>
          <w:lang w:eastAsia="ko-KR"/>
        </w:rPr>
        <w:t>R</w:t>
      </w:r>
      <w:r w:rsidRPr="002466A7">
        <w:rPr>
          <w:rFonts w:eastAsia="Malgun Gothic"/>
          <w:color w:val="000000" w:themeColor="text1"/>
          <w:lang w:eastAsia="ko-KR"/>
        </w:rPr>
        <w:t xml:space="preserve">ecommendation is referenced in a WRC </w:t>
      </w:r>
      <w:r w:rsidR="00774E42">
        <w:rPr>
          <w:rFonts w:eastAsia="Malgun Gothic"/>
          <w:color w:val="000000" w:themeColor="text1"/>
          <w:lang w:eastAsia="ko-KR"/>
        </w:rPr>
        <w:t>R</w:t>
      </w:r>
      <w:r w:rsidRPr="002466A7">
        <w:rPr>
          <w:rFonts w:eastAsia="Malgun Gothic"/>
          <w:color w:val="000000" w:themeColor="text1"/>
          <w:lang w:eastAsia="ko-KR"/>
        </w:rPr>
        <w:t>esolution or not.</w:t>
      </w:r>
    </w:p>
    <w:p w14:paraId="32FD7827" w14:textId="77777777" w:rsidR="000B35CE" w:rsidRPr="00252484" w:rsidRDefault="000B35CE" w:rsidP="000B35CE">
      <w:pPr>
        <w:spacing w:after="120"/>
        <w:jc w:val="both"/>
        <w:rPr>
          <w:b/>
          <w:lang w:val="en-NZ" w:eastAsia="ko-KR"/>
        </w:rPr>
      </w:pPr>
      <w:r w:rsidRPr="00252484">
        <w:rPr>
          <w:b/>
          <w:lang w:val="en-NZ" w:eastAsia="ko-KR"/>
        </w:rPr>
        <w:t xml:space="preserve">6. </w:t>
      </w:r>
      <w:r w:rsidRPr="00252484">
        <w:rPr>
          <w:b/>
          <w:lang w:val="en-NZ" w:eastAsia="ko-KR"/>
        </w:rPr>
        <w:tab/>
        <w:t>Issues for Consideration at Next APG Meeting</w:t>
      </w:r>
    </w:p>
    <w:p w14:paraId="1BC761ED" w14:textId="560F4CDA" w:rsidR="009923F2" w:rsidRPr="00527E98" w:rsidRDefault="009923F2" w:rsidP="002466A7">
      <w:pPr>
        <w:tabs>
          <w:tab w:val="left" w:pos="1134"/>
          <w:tab w:val="left" w:pos="1871"/>
          <w:tab w:val="left" w:pos="2268"/>
        </w:tabs>
        <w:overflowPunct w:val="0"/>
        <w:autoSpaceDE w:val="0"/>
        <w:autoSpaceDN w:val="0"/>
        <w:adjustRightInd w:val="0"/>
        <w:spacing w:afterLines="50" w:after="120"/>
        <w:jc w:val="both"/>
        <w:textAlignment w:val="baseline"/>
        <w:rPr>
          <w:rFonts w:eastAsia="Times New Roman"/>
          <w:szCs w:val="20"/>
          <w:lang w:val="en-GB"/>
        </w:rPr>
      </w:pPr>
      <w:r w:rsidRPr="00527E98">
        <w:rPr>
          <w:rFonts w:eastAsia="Times New Roman"/>
          <w:szCs w:val="20"/>
          <w:lang w:val="en-GB"/>
        </w:rPr>
        <w:t>APT Members are encouraged to consider Methods to satisfy agenda item</w:t>
      </w:r>
      <w:r w:rsidR="005803FA" w:rsidRPr="00527E98">
        <w:rPr>
          <w:rFonts w:eastAsia="Times New Roman"/>
          <w:szCs w:val="20"/>
          <w:lang w:val="en-GB"/>
        </w:rPr>
        <w:t xml:space="preserve"> 1.12</w:t>
      </w:r>
      <w:r w:rsidR="00581CC1" w:rsidRPr="00527E98">
        <w:rPr>
          <w:rFonts w:eastAsia="Times New Roman"/>
          <w:szCs w:val="20"/>
          <w:lang w:val="en-GB"/>
        </w:rPr>
        <w:t>,</w:t>
      </w:r>
      <w:r w:rsidRPr="00527E98">
        <w:rPr>
          <w:rFonts w:eastAsia="Times New Roman"/>
          <w:szCs w:val="20"/>
          <w:lang w:val="en-GB"/>
        </w:rPr>
        <w:t xml:space="preserve"> </w:t>
      </w:r>
      <w:r w:rsidR="00581CC1" w:rsidRPr="00527E98">
        <w:rPr>
          <w:rFonts w:eastAsia="Times New Roman"/>
          <w:szCs w:val="20"/>
          <w:lang w:val="en-GB"/>
        </w:rPr>
        <w:t>including the outcomes of CPM</w:t>
      </w:r>
      <w:r w:rsidR="00E423A9">
        <w:rPr>
          <w:rFonts w:eastAsia="Times New Roman"/>
          <w:szCs w:val="20"/>
          <w:lang w:val="en-GB"/>
        </w:rPr>
        <w:t xml:space="preserve"> </w:t>
      </w:r>
      <w:r w:rsidR="00581CC1" w:rsidRPr="00527E98">
        <w:rPr>
          <w:rFonts w:eastAsia="Times New Roman"/>
          <w:szCs w:val="20"/>
          <w:lang w:val="en-GB"/>
        </w:rPr>
        <w:t xml:space="preserve">19-2, </w:t>
      </w:r>
      <w:r w:rsidRPr="00527E98">
        <w:rPr>
          <w:rFonts w:eastAsia="Times New Roman"/>
          <w:szCs w:val="20"/>
          <w:lang w:val="en-GB"/>
        </w:rPr>
        <w:t xml:space="preserve">and </w:t>
      </w:r>
      <w:r w:rsidR="00581CC1" w:rsidRPr="00527E98">
        <w:rPr>
          <w:rFonts w:eastAsia="Times New Roman"/>
          <w:szCs w:val="20"/>
          <w:lang w:val="en-GB"/>
        </w:rPr>
        <w:t xml:space="preserve">develop </w:t>
      </w:r>
      <w:r w:rsidRPr="00527E98">
        <w:rPr>
          <w:rFonts w:eastAsia="Times New Roman"/>
          <w:szCs w:val="20"/>
          <w:lang w:val="en-GB"/>
        </w:rPr>
        <w:t>possible Preliminary APT Common Proposal to WRC-19</w:t>
      </w:r>
      <w:r w:rsidR="00581CC1" w:rsidRPr="00527E98">
        <w:rPr>
          <w:rFonts w:eastAsia="Times New Roman"/>
          <w:szCs w:val="20"/>
          <w:lang w:val="en-GB"/>
        </w:rPr>
        <w:t>.</w:t>
      </w:r>
    </w:p>
    <w:p w14:paraId="48F1424C" w14:textId="77777777" w:rsidR="003B4FD1" w:rsidRPr="00441526" w:rsidRDefault="000B35CE" w:rsidP="003B4FD1">
      <w:pPr>
        <w:rPr>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6A892BAF" w14:textId="77777777" w:rsidR="003B4FD1" w:rsidRPr="00441526" w:rsidRDefault="00EF3891" w:rsidP="00466C10">
      <w:pPr>
        <w:spacing w:before="120"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2B5DBCC1" w14:textId="686D84AE" w:rsidR="003B4FD1" w:rsidRPr="00715E5D" w:rsidRDefault="00EF3891" w:rsidP="003B4FD1">
      <w:pPr>
        <w:spacing w:after="120"/>
        <w:jc w:val="both"/>
        <w:rPr>
          <w:b/>
          <w:lang w:val="en-NZ" w:eastAsia="ko-KR"/>
        </w:rPr>
      </w:pPr>
      <w:r w:rsidRPr="00715E5D">
        <w:rPr>
          <w:b/>
          <w:lang w:val="en-NZ" w:eastAsia="ko-KR"/>
        </w:rPr>
        <w:t>7</w:t>
      </w:r>
      <w:r w:rsidR="003B4FD1" w:rsidRPr="00715E5D">
        <w:rPr>
          <w:b/>
          <w:lang w:val="en-NZ" w:eastAsia="ko-KR"/>
        </w:rPr>
        <w:t xml:space="preserve">.1.1 </w:t>
      </w:r>
      <w:r w:rsidR="003B4FD1" w:rsidRPr="00715E5D">
        <w:rPr>
          <w:b/>
          <w:lang w:val="en-NZ" w:eastAsia="ko-KR"/>
        </w:rPr>
        <w:tab/>
        <w:t>ASMG</w:t>
      </w:r>
      <w:r w:rsidR="009D46CE" w:rsidRPr="00715E5D">
        <w:t xml:space="preserve"> - </w:t>
      </w:r>
      <w:r w:rsidR="009D46CE" w:rsidRPr="00715E5D">
        <w:rPr>
          <w:b/>
          <w:lang w:val="en-NZ" w:eastAsia="ko-KR"/>
        </w:rPr>
        <w:t xml:space="preserve">Document </w:t>
      </w:r>
      <w:r w:rsidR="009C1464" w:rsidRPr="00B055C0">
        <w:rPr>
          <w:b/>
          <w:bCs/>
          <w:lang w:val="en-NZ"/>
        </w:rPr>
        <w:t>APG19-4/INP-09(Rev.1)</w:t>
      </w:r>
    </w:p>
    <w:p w14:paraId="7D85F90D" w14:textId="77777777" w:rsidR="00715E5D" w:rsidRPr="00B055C0" w:rsidRDefault="00715E5D" w:rsidP="002466A7">
      <w:pPr>
        <w:spacing w:afterLines="50" w:after="120"/>
        <w:jc w:val="both"/>
      </w:pPr>
      <w:r w:rsidRPr="00B055C0">
        <w:t>Follow-up studies for this agenda item, and request administrations to consider the possibility of identifying appropriate frequency bands for these systems within the current allocations of the mobile service.</w:t>
      </w:r>
    </w:p>
    <w:p w14:paraId="1A30E73D" w14:textId="50FCFA32" w:rsidR="00715E5D" w:rsidRDefault="00715E5D" w:rsidP="002466A7">
      <w:pPr>
        <w:spacing w:afterLines="50" w:after="120"/>
        <w:jc w:val="both"/>
      </w:pPr>
      <w:r w:rsidRPr="00B055C0">
        <w:t>Work on developing a vision for the use of ITS in Arab administrations and study the spectrum needs of these systems.</w:t>
      </w:r>
      <w:r w:rsidRPr="00715E5D">
        <w:t xml:space="preserve"> </w:t>
      </w:r>
    </w:p>
    <w:p w14:paraId="3028F903" w14:textId="586B31C2" w:rsidR="003B4FD1" w:rsidRPr="00441526" w:rsidRDefault="00715E5D" w:rsidP="002466A7">
      <w:pPr>
        <w:spacing w:afterLines="50" w:after="120"/>
        <w:jc w:val="both"/>
        <w:rPr>
          <w:lang w:val="en-NZ"/>
        </w:rPr>
      </w:pPr>
      <w:r w:rsidRPr="00B224EB">
        <w:t>Conduct a questionnaire for Arab administrations about the candidate bands to be used for ITS from the bands contained in draft Recommendation ITU- R.M. [ITS_FRQ]</w:t>
      </w:r>
      <w:r w:rsidR="002466A7">
        <w:t>.</w:t>
      </w:r>
    </w:p>
    <w:p w14:paraId="2EE5C3A7" w14:textId="44FEBCA0" w:rsidR="003B4FD1" w:rsidRPr="00B055C0" w:rsidRDefault="00EF3891" w:rsidP="003B4FD1">
      <w:pPr>
        <w:spacing w:after="120"/>
        <w:jc w:val="both"/>
        <w:rPr>
          <w:b/>
          <w:highlight w:val="yellow"/>
          <w:lang w:val="en-NZ" w:eastAsia="ko-KR"/>
        </w:rPr>
      </w:pPr>
      <w:r w:rsidRPr="002236ED">
        <w:rPr>
          <w:b/>
          <w:lang w:val="en-NZ" w:eastAsia="ko-KR"/>
        </w:rPr>
        <w:t>7</w:t>
      </w:r>
      <w:r w:rsidR="009F547A" w:rsidRPr="002236ED">
        <w:rPr>
          <w:b/>
          <w:lang w:val="en-NZ" w:eastAsia="ko-KR"/>
        </w:rPr>
        <w:t>.1</w:t>
      </w:r>
      <w:r w:rsidR="003B4FD1" w:rsidRPr="002236ED">
        <w:rPr>
          <w:b/>
          <w:lang w:val="en-NZ" w:eastAsia="ko-KR"/>
        </w:rPr>
        <w:t xml:space="preserve">.2 </w:t>
      </w:r>
      <w:r w:rsidR="003B4FD1" w:rsidRPr="002236ED">
        <w:rPr>
          <w:b/>
          <w:lang w:val="en-NZ" w:eastAsia="ko-KR"/>
        </w:rPr>
        <w:tab/>
        <w:t>ATU</w:t>
      </w:r>
      <w:r w:rsidR="009D46CE" w:rsidRPr="002236ED">
        <w:rPr>
          <w:b/>
          <w:lang w:val="en-NZ" w:eastAsia="ko-KR"/>
        </w:rPr>
        <w:t xml:space="preserve"> </w:t>
      </w:r>
      <w:r w:rsidR="009D46CE" w:rsidRPr="002236ED">
        <w:t xml:space="preserve">- </w:t>
      </w:r>
      <w:r w:rsidR="009D46CE" w:rsidRPr="002236ED">
        <w:rPr>
          <w:b/>
          <w:lang w:val="en-NZ" w:eastAsia="ko-KR"/>
        </w:rPr>
        <w:t xml:space="preserve">Document </w:t>
      </w:r>
      <w:r w:rsidR="009C1464" w:rsidRPr="00B055C0">
        <w:rPr>
          <w:b/>
          <w:bCs/>
          <w:lang w:val="en-NZ"/>
        </w:rPr>
        <w:t>APG19-4/INP-09(Rev.1)</w:t>
      </w:r>
    </w:p>
    <w:p w14:paraId="074C0A3B" w14:textId="5074D312" w:rsidR="00D53688" w:rsidRPr="00441526" w:rsidRDefault="002466A7" w:rsidP="002466A7">
      <w:pPr>
        <w:spacing w:afterLines="50" w:after="120"/>
        <w:jc w:val="both"/>
        <w:rPr>
          <w:b/>
          <w:lang w:val="en-NZ"/>
        </w:rPr>
      </w:pPr>
      <w:r w:rsidRPr="002466A7">
        <w:t xml:space="preserve">ATU supports </w:t>
      </w:r>
      <w:r w:rsidR="002236ED" w:rsidRPr="002466A7">
        <w:t>Method C</w:t>
      </w:r>
      <w:r w:rsidR="002236ED">
        <w:rPr>
          <w:b/>
        </w:rPr>
        <w:t xml:space="preserve"> </w:t>
      </w:r>
      <w:r w:rsidR="002236ED">
        <w:t xml:space="preserve">which entails a new WRC Resolution to encourage administrations to use globally and regionally harmonized frequency bands for ITS applications by referring to the most recent version of Recommendation ITU-R M.[ITS_FRQ. Suppress Resolution </w:t>
      </w:r>
      <w:r w:rsidR="002236ED" w:rsidRPr="002466A7">
        <w:rPr>
          <w:b/>
        </w:rPr>
        <w:t>237 (WRC-15)</w:t>
      </w:r>
      <w:r w:rsidR="002236ED">
        <w:t>. This method provides a regulatory framework for worldwide or regional harmonization for ITS applications through a new WRC Resolution and the most recent version of Recommendation ITU</w:t>
      </w:r>
      <w:r w:rsidR="002236ED">
        <w:noBreakHyphen/>
        <w:t>R M.[ITS_FRQ].</w:t>
      </w:r>
    </w:p>
    <w:p w14:paraId="0B3129EA" w14:textId="2ED2926E" w:rsidR="00906C89" w:rsidRDefault="00EF3891" w:rsidP="00906C89">
      <w:pPr>
        <w:spacing w:after="120"/>
        <w:jc w:val="both"/>
        <w:rPr>
          <w:b/>
          <w:lang w:val="en-NZ" w:eastAsia="ko-KR"/>
        </w:rPr>
      </w:pPr>
      <w:r>
        <w:rPr>
          <w:b/>
          <w:lang w:val="en-NZ" w:eastAsia="ko-KR"/>
        </w:rPr>
        <w:t>7</w:t>
      </w:r>
      <w:r w:rsidR="00906C89">
        <w:rPr>
          <w:b/>
          <w:lang w:val="en-NZ" w:eastAsia="ko-KR"/>
        </w:rPr>
        <w:t xml:space="preserve">.1.3 </w:t>
      </w:r>
      <w:r w:rsidR="00906C89">
        <w:rPr>
          <w:b/>
          <w:lang w:val="en-NZ" w:eastAsia="ko-KR"/>
        </w:rPr>
        <w:tab/>
        <w:t xml:space="preserve">CEPT </w:t>
      </w:r>
      <w:r w:rsidR="00906C89">
        <w:t xml:space="preserve">- </w:t>
      </w:r>
      <w:r w:rsidR="00906C89">
        <w:rPr>
          <w:b/>
          <w:lang w:val="en-NZ" w:eastAsia="ko-KR"/>
        </w:rPr>
        <w:t xml:space="preserve">Document </w:t>
      </w:r>
      <w:r w:rsidR="00F07E59">
        <w:rPr>
          <w:b/>
          <w:lang w:val="en-NZ" w:eastAsia="ko-KR"/>
        </w:rPr>
        <w:t>APG19-4</w:t>
      </w:r>
      <w:r w:rsidR="00906C89">
        <w:rPr>
          <w:b/>
          <w:lang w:val="en-NZ" w:eastAsia="ko-KR"/>
        </w:rPr>
        <w:t>/INF-</w:t>
      </w:r>
      <w:r w:rsidR="00783364">
        <w:rPr>
          <w:b/>
          <w:lang w:val="en-NZ" w:eastAsia="ko-KR"/>
        </w:rPr>
        <w:t>23</w:t>
      </w:r>
    </w:p>
    <w:p w14:paraId="7821BD7C" w14:textId="77777777" w:rsidR="00906C89" w:rsidRDefault="00906C89" w:rsidP="002F1B89">
      <w:pPr>
        <w:autoSpaceDE w:val="0"/>
        <w:autoSpaceDN w:val="0"/>
        <w:adjustRightInd w:val="0"/>
        <w:jc w:val="both"/>
        <w:rPr>
          <w:b/>
          <w:bCs/>
        </w:rPr>
      </w:pPr>
      <w:r>
        <w:rPr>
          <w:b/>
          <w:bCs/>
        </w:rPr>
        <w:t>Preliminary CEPT position:</w:t>
      </w:r>
    </w:p>
    <w:p w14:paraId="73E422FC" w14:textId="0C45DA2E" w:rsidR="00783364" w:rsidRDefault="00783364" w:rsidP="002F1B89">
      <w:pPr>
        <w:autoSpaceDE w:val="0"/>
        <w:autoSpaceDN w:val="0"/>
        <w:adjustRightInd w:val="0"/>
        <w:spacing w:before="120"/>
        <w:jc w:val="both"/>
      </w:pPr>
      <w:r>
        <w:t xml:space="preserve">CEPT is of the view that its existing regional harmonisation measures for ITS in the band 5 855-5 925 MHz are sufficient and no changes to the </w:t>
      </w:r>
      <w:r w:rsidR="002466A7" w:rsidRPr="002466A7">
        <w:t>Radio Regulations</w:t>
      </w:r>
      <w:r>
        <w:t xml:space="preserve"> are required in response to WRC-19 </w:t>
      </w:r>
      <w:r w:rsidR="002466A7">
        <w:t>a</w:t>
      </w:r>
      <w:r>
        <w:t xml:space="preserve">genda item 1.12 except the suppression of Resolution </w:t>
      </w:r>
      <w:r w:rsidRPr="00774E42">
        <w:rPr>
          <w:b/>
        </w:rPr>
        <w:t>237 (WRC-15)</w:t>
      </w:r>
      <w:r>
        <w:t>. CEPT is developing a revision of its existing harmonisation framework for ITS around 63-64 GHz.</w:t>
      </w:r>
    </w:p>
    <w:p w14:paraId="1F4A2C2A" w14:textId="3CF94F6B" w:rsidR="00783364" w:rsidRDefault="00783364" w:rsidP="002466A7">
      <w:pPr>
        <w:autoSpaceDE w:val="0"/>
        <w:autoSpaceDN w:val="0"/>
        <w:adjustRightInd w:val="0"/>
        <w:spacing w:afterLines="50" w:after="120"/>
        <w:jc w:val="both"/>
      </w:pPr>
      <w:r>
        <w:t>CEPT is of the view that harmonisation measures for ITS at ITU-R level can be achieved through the course of ITU-R study group work by applicable ITU-R Recommendations (e.g. Recommendation ITU-R M.[ITS_FRQ]).</w:t>
      </w:r>
    </w:p>
    <w:p w14:paraId="6EEE1CC1" w14:textId="1F07AFFF" w:rsidR="00783364" w:rsidRDefault="00783364" w:rsidP="002466A7">
      <w:pPr>
        <w:autoSpaceDE w:val="0"/>
        <w:autoSpaceDN w:val="0"/>
        <w:adjustRightInd w:val="0"/>
        <w:spacing w:afterLines="50" w:after="120"/>
        <w:jc w:val="both"/>
      </w:pPr>
      <w:r>
        <w:t>CEPT is also of the view that harmonisation of ITS under AI 1.12 is limited to the exchange of information to improve traffic management and to assist driving safety.</w:t>
      </w:r>
    </w:p>
    <w:p w14:paraId="3997C349" w14:textId="3E1D6A56" w:rsidR="00906C89" w:rsidRDefault="00783364" w:rsidP="002466A7">
      <w:pPr>
        <w:autoSpaceDE w:val="0"/>
        <w:autoSpaceDN w:val="0"/>
        <w:adjustRightInd w:val="0"/>
        <w:spacing w:afterLines="50" w:after="120"/>
        <w:jc w:val="both"/>
        <w:rPr>
          <w:lang w:val="en-NZ"/>
        </w:rPr>
      </w:pPr>
      <w:r>
        <w:lastRenderedPageBreak/>
        <w:t xml:space="preserve">In addition, CEPT is of the view that Road tolling (also known as Electronic Toll Collection (ETC)) in 5 795-5 815 MHz is not part of </w:t>
      </w:r>
      <w:r w:rsidR="002466A7">
        <w:t>a</w:t>
      </w:r>
      <w:r>
        <w:t xml:space="preserve">genda </w:t>
      </w:r>
      <w:r w:rsidR="002466A7">
        <w:t>i</w:t>
      </w:r>
      <w:r>
        <w:t>tem 1.12.</w:t>
      </w:r>
    </w:p>
    <w:p w14:paraId="0E2B8B98" w14:textId="360235EA" w:rsidR="00906C89" w:rsidRDefault="00EF3891" w:rsidP="00906C89">
      <w:pPr>
        <w:spacing w:after="120"/>
        <w:jc w:val="both"/>
        <w:rPr>
          <w:b/>
          <w:lang w:val="en-NZ" w:eastAsia="ko-KR"/>
        </w:rPr>
      </w:pPr>
      <w:r>
        <w:rPr>
          <w:b/>
          <w:lang w:val="en-NZ" w:eastAsia="ko-KR"/>
        </w:rPr>
        <w:t>7</w:t>
      </w:r>
      <w:r w:rsidR="00906C89">
        <w:rPr>
          <w:b/>
          <w:lang w:val="en-NZ" w:eastAsia="ko-KR"/>
        </w:rPr>
        <w:t xml:space="preserve">.1.4 </w:t>
      </w:r>
      <w:r w:rsidR="00906C89">
        <w:rPr>
          <w:b/>
          <w:lang w:val="en-NZ" w:eastAsia="ko-KR"/>
        </w:rPr>
        <w:tab/>
        <w:t xml:space="preserve">CITEL </w:t>
      </w:r>
      <w:r w:rsidR="00906C89">
        <w:t xml:space="preserve">- </w:t>
      </w:r>
      <w:r w:rsidR="00906C89">
        <w:rPr>
          <w:b/>
          <w:lang w:val="en-NZ" w:eastAsia="ko-KR"/>
        </w:rPr>
        <w:t xml:space="preserve">Document </w:t>
      </w:r>
      <w:r w:rsidR="00F07E59">
        <w:rPr>
          <w:b/>
          <w:lang w:val="en-NZ" w:eastAsia="ko-KR"/>
        </w:rPr>
        <w:t>APG19-4</w:t>
      </w:r>
      <w:r w:rsidR="00906C89">
        <w:rPr>
          <w:b/>
          <w:lang w:val="en-NZ" w:eastAsia="ko-KR"/>
        </w:rPr>
        <w:t>/INF-</w:t>
      </w:r>
      <w:r w:rsidR="00DD2F83">
        <w:rPr>
          <w:b/>
          <w:lang w:val="en-NZ" w:eastAsia="ko-KR"/>
        </w:rPr>
        <w:t>22</w:t>
      </w:r>
    </w:p>
    <w:p w14:paraId="38F570CF" w14:textId="38C792DC" w:rsidR="00BC69DB" w:rsidRPr="00441526" w:rsidRDefault="00906C89" w:rsidP="002466A7">
      <w:pPr>
        <w:spacing w:afterLines="50" w:after="120"/>
        <w:jc w:val="both"/>
        <w:rPr>
          <w:b/>
          <w:lang w:val="en-NZ" w:eastAsia="ko-KR"/>
        </w:rPr>
      </w:pPr>
      <w:r w:rsidRPr="00073BF0">
        <w:rPr>
          <w:lang w:val="en-NZ"/>
        </w:rPr>
        <w:t>No Change to the regulations. Identification of spectrum for applications to be addressed via ITU reports and recommendations.</w:t>
      </w:r>
    </w:p>
    <w:p w14:paraId="3AF57470" w14:textId="54313ACA" w:rsidR="003B4FD1" w:rsidRPr="00F06EE9" w:rsidRDefault="00EF3891" w:rsidP="003B4FD1">
      <w:pPr>
        <w:spacing w:after="120"/>
        <w:jc w:val="both"/>
        <w:rPr>
          <w:b/>
          <w:lang w:val="en-NZ" w:eastAsia="ko-KR"/>
        </w:rPr>
      </w:pPr>
      <w:r w:rsidRPr="00F06EE9">
        <w:rPr>
          <w:b/>
          <w:lang w:val="en-NZ" w:eastAsia="ko-KR"/>
        </w:rPr>
        <w:t>7</w:t>
      </w:r>
      <w:r w:rsidR="009F547A" w:rsidRPr="00F06EE9">
        <w:rPr>
          <w:b/>
          <w:lang w:val="en-NZ" w:eastAsia="ko-KR"/>
        </w:rPr>
        <w:t>.1</w:t>
      </w:r>
      <w:r w:rsidR="003B4FD1" w:rsidRPr="00F06EE9">
        <w:rPr>
          <w:b/>
          <w:lang w:val="en-NZ" w:eastAsia="ko-KR"/>
        </w:rPr>
        <w:t xml:space="preserve">.5 </w:t>
      </w:r>
      <w:r w:rsidR="003B4FD1" w:rsidRPr="00F06EE9">
        <w:rPr>
          <w:b/>
          <w:lang w:val="en-NZ" w:eastAsia="ko-KR"/>
        </w:rPr>
        <w:tab/>
        <w:t>RCC</w:t>
      </w:r>
      <w:r w:rsidR="009D46CE" w:rsidRPr="00F06EE9">
        <w:rPr>
          <w:b/>
          <w:lang w:val="en-NZ" w:eastAsia="ko-KR"/>
        </w:rPr>
        <w:t xml:space="preserve"> </w:t>
      </w:r>
      <w:r w:rsidR="009D46CE" w:rsidRPr="00F06EE9">
        <w:t xml:space="preserve">- </w:t>
      </w:r>
      <w:r w:rsidR="009D46CE" w:rsidRPr="00F06EE9">
        <w:rPr>
          <w:b/>
          <w:lang w:val="en-NZ" w:eastAsia="ko-KR"/>
        </w:rPr>
        <w:t xml:space="preserve">Document </w:t>
      </w:r>
      <w:r w:rsidR="009C1464" w:rsidRPr="00B055C0">
        <w:rPr>
          <w:b/>
          <w:bCs/>
          <w:lang w:val="en-NZ"/>
        </w:rPr>
        <w:t>APG19-4/IN</w:t>
      </w:r>
      <w:r w:rsidR="00F06EE9" w:rsidRPr="00B055C0">
        <w:rPr>
          <w:b/>
          <w:bCs/>
          <w:lang w:val="en-NZ"/>
        </w:rPr>
        <w:t>F</w:t>
      </w:r>
      <w:r w:rsidR="009C1464" w:rsidRPr="00B055C0">
        <w:rPr>
          <w:b/>
          <w:bCs/>
          <w:lang w:val="en-NZ"/>
        </w:rPr>
        <w:t>-</w:t>
      </w:r>
      <w:r w:rsidR="00F06EE9" w:rsidRPr="00B055C0">
        <w:rPr>
          <w:b/>
          <w:bCs/>
          <w:lang w:val="en-NZ"/>
        </w:rPr>
        <w:t>24</w:t>
      </w:r>
    </w:p>
    <w:p w14:paraId="57831F0E" w14:textId="6107EF9C" w:rsidR="00F06EE9" w:rsidRPr="002466A7" w:rsidRDefault="00F06EE9" w:rsidP="00D031C7">
      <w:pPr>
        <w:spacing w:afterLines="50" w:after="120"/>
        <w:jc w:val="both"/>
        <w:rPr>
          <w:lang w:val="en-NZ"/>
        </w:rPr>
      </w:pPr>
      <w:r w:rsidRPr="002466A7">
        <w:rPr>
          <w:lang w:val="en-NZ"/>
        </w:rPr>
        <w:t>The RCC Administrations consider that there is no need to modify R</w:t>
      </w:r>
      <w:r w:rsidR="00D031C7">
        <w:rPr>
          <w:lang w:val="en-NZ"/>
        </w:rPr>
        <w:t xml:space="preserve">adio </w:t>
      </w:r>
      <w:r w:rsidRPr="002466A7">
        <w:rPr>
          <w:lang w:val="en-NZ"/>
        </w:rPr>
        <w:t>R</w:t>
      </w:r>
      <w:r w:rsidR="00D031C7">
        <w:rPr>
          <w:lang w:val="en-NZ"/>
        </w:rPr>
        <w:t>egulations</w:t>
      </w:r>
      <w:r w:rsidRPr="002466A7">
        <w:rPr>
          <w:lang w:val="en-NZ"/>
        </w:rPr>
        <w:t xml:space="preserve"> within this </w:t>
      </w:r>
      <w:r w:rsidR="00D031C7">
        <w:rPr>
          <w:lang w:val="en-NZ"/>
        </w:rPr>
        <w:t>a</w:t>
      </w:r>
      <w:r w:rsidRPr="002466A7">
        <w:rPr>
          <w:lang w:val="en-NZ"/>
        </w:rPr>
        <w:t xml:space="preserve">genda </w:t>
      </w:r>
      <w:r w:rsidR="00D031C7">
        <w:rPr>
          <w:lang w:val="en-NZ"/>
        </w:rPr>
        <w:t>i</w:t>
      </w:r>
      <w:r w:rsidRPr="002466A7">
        <w:rPr>
          <w:lang w:val="en-NZ"/>
        </w:rPr>
        <w:t>tem (Method A).</w:t>
      </w:r>
    </w:p>
    <w:p w14:paraId="59351285" w14:textId="3592D53E" w:rsidR="00F06EE9" w:rsidRPr="002466A7" w:rsidRDefault="00F06EE9" w:rsidP="00D031C7">
      <w:pPr>
        <w:spacing w:afterLines="50" w:after="120"/>
        <w:jc w:val="both"/>
        <w:rPr>
          <w:lang w:val="en-NZ"/>
        </w:rPr>
      </w:pPr>
      <w:r w:rsidRPr="002466A7">
        <w:rPr>
          <w:lang w:val="en-NZ"/>
        </w:rPr>
        <w:t xml:space="preserve">The RCC Administrations support harmonization of frequency bands for evolving ITS at global and regional levels within existing mobile service allocations through the development of ITU-R Recommendations and Reports </w:t>
      </w:r>
    </w:p>
    <w:p w14:paraId="3496339C" w14:textId="5D0B8044" w:rsidR="00441526" w:rsidRPr="00441526" w:rsidRDefault="00F06EE9" w:rsidP="00D031C7">
      <w:pPr>
        <w:spacing w:afterLines="50" w:after="120"/>
        <w:jc w:val="both"/>
        <w:rPr>
          <w:lang w:val="en-NZ"/>
        </w:rPr>
      </w:pPr>
      <w:r w:rsidRPr="002466A7">
        <w:rPr>
          <w:lang w:val="en-NZ"/>
        </w:rPr>
        <w:t>The RCC Administrations are of the view that harmonizing the use of frequency bands for evolving ITS shall not impose additional constraints on services to which these frequency bands are allocated.</w:t>
      </w:r>
    </w:p>
    <w:p w14:paraId="0146C543" w14:textId="77777777" w:rsidR="003B4FD1" w:rsidRPr="00441526" w:rsidRDefault="00EF3891" w:rsidP="003B4FD1">
      <w:pPr>
        <w:spacing w:after="120"/>
        <w:jc w:val="both"/>
        <w:rPr>
          <w:b/>
          <w:lang w:val="en-NZ" w:eastAsia="ko-KR"/>
        </w:rPr>
      </w:pPr>
      <w:r>
        <w:rPr>
          <w:b/>
          <w:lang w:val="en-NZ" w:eastAsia="ko-KR"/>
        </w:rPr>
        <w:t>7</w:t>
      </w:r>
      <w:r w:rsidR="003B4FD1" w:rsidRPr="00441526">
        <w:rPr>
          <w:b/>
          <w:lang w:val="en-NZ" w:eastAsia="ko-KR"/>
        </w:rPr>
        <w:t xml:space="preserve">.2 </w:t>
      </w:r>
      <w:r w:rsidR="003B4FD1" w:rsidRPr="00441526">
        <w:rPr>
          <w:b/>
          <w:lang w:val="en-NZ" w:eastAsia="ko-KR"/>
        </w:rPr>
        <w:tab/>
      </w:r>
      <w:r w:rsidR="009F547A" w:rsidRPr="00441526">
        <w:rPr>
          <w:b/>
          <w:lang w:val="en-NZ" w:eastAsia="ko-KR"/>
        </w:rPr>
        <w:t xml:space="preserve">International </w:t>
      </w:r>
      <w:r w:rsidR="003B4FD1" w:rsidRPr="00441526">
        <w:rPr>
          <w:b/>
          <w:lang w:val="en-NZ" w:eastAsia="ko-KR"/>
        </w:rPr>
        <w:t>Organisations</w:t>
      </w:r>
    </w:p>
    <w:p w14:paraId="0F34DEF0" w14:textId="2AA6DAAB" w:rsidR="009F547A" w:rsidRPr="00441526" w:rsidRDefault="00EF3891" w:rsidP="009F547A">
      <w:pPr>
        <w:spacing w:after="120"/>
        <w:jc w:val="both"/>
        <w:rPr>
          <w:b/>
          <w:lang w:val="en-NZ" w:eastAsia="ko-KR"/>
        </w:rPr>
      </w:pPr>
      <w:r>
        <w:rPr>
          <w:b/>
          <w:lang w:val="en-NZ" w:eastAsia="ko-KR"/>
        </w:rPr>
        <w:t>7</w:t>
      </w:r>
      <w:r w:rsidR="009F547A" w:rsidRPr="00441526">
        <w:rPr>
          <w:b/>
          <w:lang w:val="en-NZ" w:eastAsia="ko-KR"/>
        </w:rPr>
        <w:t>.2.</w:t>
      </w:r>
      <w:r w:rsidR="00851E0B">
        <w:rPr>
          <w:b/>
          <w:lang w:val="en-NZ" w:eastAsia="ko-KR"/>
        </w:rPr>
        <w:t>1</w:t>
      </w:r>
      <w:r w:rsidR="00851E0B" w:rsidRPr="00441526">
        <w:rPr>
          <w:b/>
          <w:lang w:val="en-NZ" w:eastAsia="ko-KR"/>
        </w:rPr>
        <w:t xml:space="preserve"> </w:t>
      </w:r>
      <w:r w:rsidR="009F547A" w:rsidRPr="00441526">
        <w:rPr>
          <w:b/>
          <w:lang w:val="en-NZ" w:eastAsia="ko-KR"/>
        </w:rPr>
        <w:tab/>
        <w:t>ICAO</w:t>
      </w:r>
      <w:r w:rsidR="009D46CE" w:rsidRPr="00441526">
        <w:rPr>
          <w:b/>
          <w:lang w:val="en-NZ" w:eastAsia="ko-KR"/>
        </w:rPr>
        <w:t xml:space="preserve"> </w:t>
      </w:r>
      <w:r w:rsidR="009D46CE" w:rsidRPr="00441526">
        <w:t xml:space="preserve">- </w:t>
      </w:r>
      <w:r w:rsidR="009D46CE" w:rsidRPr="00441526">
        <w:rPr>
          <w:b/>
          <w:lang w:val="en-NZ" w:eastAsia="ko-KR"/>
        </w:rPr>
        <w:t>Document APG19-</w:t>
      </w:r>
      <w:r w:rsidR="0009794B">
        <w:rPr>
          <w:b/>
          <w:lang w:val="en-NZ" w:eastAsia="ko-KR"/>
        </w:rPr>
        <w:t>4</w:t>
      </w:r>
      <w:r w:rsidR="009D46CE" w:rsidRPr="00441526">
        <w:rPr>
          <w:b/>
          <w:lang w:val="en-NZ" w:eastAsia="ko-KR"/>
        </w:rPr>
        <w:t>/INF-</w:t>
      </w:r>
      <w:r w:rsidR="0009794B">
        <w:rPr>
          <w:b/>
          <w:lang w:val="en-NZ" w:eastAsia="ko-KR"/>
        </w:rPr>
        <w:t>04</w:t>
      </w:r>
    </w:p>
    <w:p w14:paraId="4A7C4713" w14:textId="521C93D3" w:rsidR="0009794B" w:rsidRPr="0009794B" w:rsidRDefault="0009794B" w:rsidP="00D031C7">
      <w:pPr>
        <w:spacing w:afterLines="50" w:after="120"/>
        <w:jc w:val="both"/>
        <w:rPr>
          <w:lang w:val="en-NZ"/>
        </w:rPr>
      </w:pPr>
      <w:r w:rsidRPr="0009794B">
        <w:rPr>
          <w:lang w:val="en-NZ"/>
        </w:rPr>
        <w:t>To ensure, on the basis of agreed ITU-R studies, that any regulatory actions within existing mobile</w:t>
      </w:r>
      <w:r w:rsidR="00D031C7">
        <w:rPr>
          <w:lang w:val="en-NZ"/>
        </w:rPr>
        <w:t xml:space="preserve"> </w:t>
      </w:r>
      <w:r w:rsidRPr="0009794B">
        <w:rPr>
          <w:lang w:val="en-NZ"/>
        </w:rPr>
        <w:t>service bands do not impact existing aeronautical systems operating in accordance with the Radio Regulations.</w:t>
      </w:r>
    </w:p>
    <w:p w14:paraId="4EE00249" w14:textId="2D5FE257" w:rsidR="00073BF0" w:rsidRDefault="0009794B" w:rsidP="00D031C7">
      <w:pPr>
        <w:spacing w:afterLines="50" w:after="120"/>
        <w:jc w:val="both"/>
        <w:rPr>
          <w:lang w:val="en-NZ"/>
        </w:rPr>
      </w:pPr>
      <w:r w:rsidRPr="0009794B">
        <w:rPr>
          <w:lang w:val="en-NZ"/>
        </w:rPr>
        <w:t>Ensure that any reference to “existing mobile-service bands” applies only to existing frequency bands where the land mobile service is allowed (i.e., does not apply to bands that are allocated for example only to the aeronautical mobile service).</w:t>
      </w:r>
    </w:p>
    <w:p w14:paraId="2223B433" w14:textId="7C1E1BB0" w:rsidR="00B02DB7" w:rsidRDefault="00B02DB7" w:rsidP="002F1B89">
      <w:pPr>
        <w:tabs>
          <w:tab w:val="left" w:pos="720"/>
          <w:tab w:val="left" w:pos="1440"/>
          <w:tab w:val="left" w:pos="2160"/>
          <w:tab w:val="left" w:pos="2880"/>
          <w:tab w:val="left" w:pos="3600"/>
          <w:tab w:val="left" w:pos="4320"/>
          <w:tab w:val="left" w:pos="5186"/>
        </w:tabs>
        <w:spacing w:after="120"/>
        <w:jc w:val="both"/>
        <w:rPr>
          <w:b/>
          <w:lang w:val="en-NZ" w:eastAsia="ko-KR"/>
        </w:rPr>
      </w:pPr>
      <w:r>
        <w:rPr>
          <w:b/>
          <w:lang w:val="en-NZ" w:eastAsia="ko-KR"/>
        </w:rPr>
        <w:t>7.2.</w:t>
      </w:r>
      <w:r w:rsidR="00851E0B">
        <w:rPr>
          <w:b/>
          <w:lang w:val="en-NZ" w:eastAsia="ko-KR"/>
        </w:rPr>
        <w:t xml:space="preserve">2 </w:t>
      </w:r>
      <w:r>
        <w:rPr>
          <w:b/>
          <w:lang w:val="en-NZ" w:eastAsia="ko-KR"/>
        </w:rPr>
        <w:tab/>
      </w:r>
      <w:r w:rsidR="00B25243">
        <w:rPr>
          <w:b/>
          <w:lang w:val="en-NZ" w:eastAsia="ko-KR"/>
        </w:rPr>
        <w:t>WMO</w:t>
      </w:r>
      <w:r>
        <w:rPr>
          <w:b/>
          <w:lang w:val="en-NZ" w:eastAsia="ko-KR"/>
        </w:rPr>
        <w:t xml:space="preserve"> </w:t>
      </w:r>
      <w:r w:rsidRPr="002F1B89">
        <w:rPr>
          <w:b/>
          <w:lang w:val="en-NZ" w:eastAsia="ko-KR"/>
        </w:rPr>
        <w:t xml:space="preserve">- </w:t>
      </w:r>
      <w:r>
        <w:rPr>
          <w:b/>
          <w:lang w:val="en-NZ" w:eastAsia="ko-KR"/>
        </w:rPr>
        <w:t>Document APG19-4/INF-0</w:t>
      </w:r>
      <w:r w:rsidR="00B25243">
        <w:rPr>
          <w:b/>
          <w:lang w:val="en-NZ" w:eastAsia="ko-KR"/>
        </w:rPr>
        <w:t>2</w:t>
      </w:r>
    </w:p>
    <w:p w14:paraId="7226A6FC" w14:textId="77777777" w:rsidR="00B25243" w:rsidRDefault="00B25243" w:rsidP="00D031C7">
      <w:pPr>
        <w:spacing w:afterLines="50" w:after="120"/>
        <w:jc w:val="both"/>
        <w:rPr>
          <w:lang w:val="en-GB"/>
        </w:rPr>
      </w:pPr>
      <w:r>
        <w:rPr>
          <w:lang w:val="en-GB"/>
        </w:rPr>
        <w:t xml:space="preserve">Since no specific frequency bands have been </w:t>
      </w:r>
      <w:r>
        <w:t xml:space="preserve">currently </w:t>
      </w:r>
      <w:r>
        <w:rPr>
          <w:lang w:val="en-GB"/>
        </w:rPr>
        <w:t>proposed for study, WMO does not have a specific concern on this agenda item</w:t>
      </w:r>
      <w:r>
        <w:t>. Consideration of frequency bands used for meteorological operations would increase WMO concerns</w:t>
      </w:r>
      <w:r>
        <w:rPr>
          <w:lang w:val="en-GB"/>
        </w:rPr>
        <w:t>.</w:t>
      </w:r>
    </w:p>
    <w:p w14:paraId="4826E1EC" w14:textId="2A192B9F" w:rsidR="00851E0B" w:rsidRDefault="00851E0B" w:rsidP="00851E0B">
      <w:pPr>
        <w:tabs>
          <w:tab w:val="left" w:pos="720"/>
          <w:tab w:val="left" w:pos="1440"/>
          <w:tab w:val="left" w:pos="2160"/>
          <w:tab w:val="left" w:pos="2880"/>
          <w:tab w:val="left" w:pos="3600"/>
          <w:tab w:val="left" w:pos="4320"/>
          <w:tab w:val="left" w:pos="5186"/>
        </w:tabs>
        <w:spacing w:after="120"/>
        <w:jc w:val="both"/>
        <w:rPr>
          <w:b/>
          <w:lang w:val="en-NZ" w:eastAsia="ko-KR"/>
        </w:rPr>
      </w:pPr>
      <w:r>
        <w:rPr>
          <w:b/>
          <w:lang w:val="en-NZ" w:eastAsia="ko-KR"/>
        </w:rPr>
        <w:t xml:space="preserve">7.2.3 </w:t>
      </w:r>
      <w:r>
        <w:rPr>
          <w:b/>
          <w:lang w:val="en-NZ" w:eastAsia="ko-KR"/>
        </w:rPr>
        <w:tab/>
        <w:t xml:space="preserve">IARU </w:t>
      </w:r>
      <w:r>
        <w:t xml:space="preserve">- </w:t>
      </w:r>
      <w:r>
        <w:rPr>
          <w:b/>
          <w:lang w:val="en-NZ" w:eastAsia="ko-KR"/>
        </w:rPr>
        <w:t>Document APG19-4/INF-03</w:t>
      </w:r>
      <w:r>
        <w:rPr>
          <w:b/>
          <w:lang w:val="en-NZ" w:eastAsia="ko-KR"/>
        </w:rPr>
        <w:tab/>
      </w:r>
    </w:p>
    <w:p w14:paraId="16B5EFB5" w14:textId="77777777" w:rsidR="00851E0B" w:rsidRDefault="00851E0B" w:rsidP="00851E0B">
      <w:pPr>
        <w:widowControl w:val="0"/>
        <w:autoSpaceDE w:val="0"/>
        <w:autoSpaceDN w:val="0"/>
        <w:adjustRightInd w:val="0"/>
        <w:jc w:val="both"/>
        <w:rPr>
          <w:rFonts w:eastAsia="Times New Roman"/>
          <w:kern w:val="2"/>
          <w:lang w:eastAsia="ar-SA"/>
        </w:rPr>
      </w:pPr>
      <w:r>
        <w:rPr>
          <w:rFonts w:eastAsiaTheme="minorEastAsia"/>
          <w:lang w:eastAsia="ja-JP"/>
        </w:rPr>
        <w:t xml:space="preserve">The IARU is of the view that </w:t>
      </w:r>
      <w:r>
        <w:rPr>
          <w:rFonts w:eastAsia="Times New Roman"/>
          <w:kern w:val="2"/>
          <w:lang w:eastAsia="ar-SA"/>
        </w:rPr>
        <w:t>existing and future amateur use in this band should be protected with special attention to the bands 5 760 to 5 765 MHz and 5 830 to 5 850 MHz.</w:t>
      </w:r>
    </w:p>
    <w:p w14:paraId="7EC802A2" w14:textId="77777777" w:rsidR="00AC6D63" w:rsidRDefault="00AC6D63" w:rsidP="00851E0B">
      <w:pPr>
        <w:widowControl w:val="0"/>
        <w:autoSpaceDE w:val="0"/>
        <w:autoSpaceDN w:val="0"/>
        <w:adjustRightInd w:val="0"/>
        <w:jc w:val="both"/>
        <w:rPr>
          <w:rFonts w:eastAsia="Times New Roman"/>
          <w:kern w:val="2"/>
          <w:lang w:eastAsia="ar-SA"/>
        </w:rPr>
      </w:pPr>
    </w:p>
    <w:p w14:paraId="5A1A015A" w14:textId="77777777" w:rsidR="00AC6D63" w:rsidRDefault="00AC6D63" w:rsidP="00851E0B">
      <w:pPr>
        <w:widowControl w:val="0"/>
        <w:autoSpaceDE w:val="0"/>
        <w:autoSpaceDN w:val="0"/>
        <w:adjustRightInd w:val="0"/>
        <w:jc w:val="both"/>
        <w:rPr>
          <w:rFonts w:eastAsia="Times New Roman"/>
          <w:kern w:val="2"/>
          <w:lang w:eastAsia="ar-SA"/>
        </w:rPr>
      </w:pPr>
    </w:p>
    <w:p w14:paraId="02C47839" w14:textId="77777777" w:rsidR="00B64A60" w:rsidRPr="00710333" w:rsidRDefault="00B64A60" w:rsidP="00B64A60">
      <w:pPr>
        <w:jc w:val="center"/>
        <w:rPr>
          <w:snapToGrid w:val="0"/>
          <w:lang w:val="en-NZ"/>
        </w:rPr>
      </w:pPr>
      <w:r w:rsidRPr="00441526">
        <w:rPr>
          <w:lang w:val="en-NZ"/>
        </w:rPr>
        <w:t>____________</w:t>
      </w:r>
    </w:p>
    <w:p w14:paraId="4644E40B" w14:textId="77777777" w:rsidR="00930E64" w:rsidRPr="007673CA" w:rsidRDefault="00930E64" w:rsidP="00D13D9D">
      <w:pPr>
        <w:jc w:val="both"/>
        <w:rPr>
          <w:lang w:val="en-NZ"/>
        </w:rPr>
      </w:pPr>
    </w:p>
    <w:sectPr w:rsidR="00930E64" w:rsidRPr="007673CA" w:rsidSect="006A3E88">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63D2" w14:textId="77777777" w:rsidR="00B1397B" w:rsidRDefault="00B1397B">
      <w:r>
        <w:separator/>
      </w:r>
    </w:p>
  </w:endnote>
  <w:endnote w:type="continuationSeparator" w:id="0">
    <w:p w14:paraId="7B5A819E" w14:textId="77777777" w:rsidR="00B1397B" w:rsidRDefault="00B1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F3BA" w14:textId="77777777" w:rsidR="00ED362E" w:rsidRDefault="00ED362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DED27" w14:textId="77777777" w:rsidR="00ED362E" w:rsidRDefault="00ED362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167E" w14:textId="37290FC4" w:rsidR="00ED362E" w:rsidRDefault="00CB2E25" w:rsidP="00FD4A42">
    <w:pPr>
      <w:pStyle w:val="Footer"/>
      <w:ind w:right="360"/>
    </w:pPr>
    <w:r>
      <w:rPr>
        <w:rStyle w:val="PageNumber"/>
      </w:rPr>
      <w:t>A</w:t>
    </w:r>
    <w:r w:rsidR="003256ED">
      <w:rPr>
        <w:rStyle w:val="PageNumber"/>
      </w:rPr>
      <w:t>PG19-4/OUT-16</w:t>
    </w:r>
    <w:r w:rsidR="00FD4A42">
      <w:rPr>
        <w:rStyle w:val="PageNumber"/>
      </w:rPr>
      <w:tab/>
    </w:r>
    <w:r w:rsidR="00FD4A42">
      <w:rPr>
        <w:rStyle w:val="PageNumber"/>
      </w:rPr>
      <w:tab/>
    </w:r>
    <w:r w:rsidR="00ED362E" w:rsidRPr="002C7EA9">
      <w:rPr>
        <w:rStyle w:val="PageNumber"/>
      </w:rPr>
      <w:t xml:space="preserve">Page </w:t>
    </w:r>
    <w:r w:rsidR="00ED362E" w:rsidRPr="002C7EA9">
      <w:rPr>
        <w:rStyle w:val="PageNumber"/>
      </w:rPr>
      <w:fldChar w:fldCharType="begin"/>
    </w:r>
    <w:r w:rsidR="00ED362E" w:rsidRPr="002C7EA9">
      <w:rPr>
        <w:rStyle w:val="PageNumber"/>
      </w:rPr>
      <w:instrText xml:space="preserve"> PAGE </w:instrText>
    </w:r>
    <w:r w:rsidR="00ED362E" w:rsidRPr="002C7EA9">
      <w:rPr>
        <w:rStyle w:val="PageNumber"/>
      </w:rPr>
      <w:fldChar w:fldCharType="separate"/>
    </w:r>
    <w:r w:rsidR="006A3E88">
      <w:rPr>
        <w:rStyle w:val="PageNumber"/>
        <w:noProof/>
      </w:rPr>
      <w:t>3</w:t>
    </w:r>
    <w:r w:rsidR="00ED362E" w:rsidRPr="002C7EA9">
      <w:rPr>
        <w:rStyle w:val="PageNumber"/>
      </w:rPr>
      <w:fldChar w:fldCharType="end"/>
    </w:r>
    <w:r w:rsidR="00ED362E" w:rsidRPr="002C7EA9">
      <w:rPr>
        <w:rStyle w:val="PageNumber"/>
      </w:rPr>
      <w:t xml:space="preserve"> of </w:t>
    </w:r>
    <w:r w:rsidR="00ED362E" w:rsidRPr="002C7EA9">
      <w:rPr>
        <w:rStyle w:val="PageNumber"/>
      </w:rPr>
      <w:fldChar w:fldCharType="begin"/>
    </w:r>
    <w:r w:rsidR="00ED362E" w:rsidRPr="002C7EA9">
      <w:rPr>
        <w:rStyle w:val="PageNumber"/>
      </w:rPr>
      <w:instrText xml:space="preserve"> NUMPAGES </w:instrText>
    </w:r>
    <w:r w:rsidR="00ED362E" w:rsidRPr="002C7EA9">
      <w:rPr>
        <w:rStyle w:val="PageNumber"/>
      </w:rPr>
      <w:fldChar w:fldCharType="separate"/>
    </w:r>
    <w:r w:rsidR="006A3E88">
      <w:rPr>
        <w:rStyle w:val="PageNumber"/>
        <w:noProof/>
      </w:rPr>
      <w:t>6</w:t>
    </w:r>
    <w:r w:rsidR="00ED362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D362E" w14:paraId="07A4AC93" w14:textId="77777777">
      <w:trPr>
        <w:cantSplit/>
        <w:trHeight w:val="204"/>
        <w:jc w:val="center"/>
      </w:trPr>
      <w:tc>
        <w:tcPr>
          <w:tcW w:w="1617" w:type="dxa"/>
          <w:tcBorders>
            <w:top w:val="single" w:sz="12" w:space="0" w:color="auto"/>
          </w:tcBorders>
        </w:tcPr>
        <w:p w14:paraId="037B177C" w14:textId="5C564B88" w:rsidR="00ED362E" w:rsidRDefault="00ED362E" w:rsidP="00762576">
          <w:pPr>
            <w:rPr>
              <w:b/>
              <w:bCs/>
            </w:rPr>
          </w:pPr>
        </w:p>
      </w:tc>
      <w:tc>
        <w:tcPr>
          <w:tcW w:w="4394" w:type="dxa"/>
          <w:tcBorders>
            <w:top w:val="single" w:sz="12" w:space="0" w:color="auto"/>
          </w:tcBorders>
        </w:tcPr>
        <w:p w14:paraId="7F262215" w14:textId="759C7BF7" w:rsidR="00FD4A42" w:rsidRDefault="00FD4A42" w:rsidP="00762576"/>
        <w:p w14:paraId="5CFF522C" w14:textId="0C458EE7" w:rsidR="00B90D11" w:rsidRPr="00FD4A42" w:rsidRDefault="00B90D11" w:rsidP="00762576">
          <w:pPr>
            <w:rPr>
              <w:rFonts w:eastAsia="Batang"/>
            </w:rPr>
          </w:pPr>
        </w:p>
      </w:tc>
      <w:tc>
        <w:tcPr>
          <w:tcW w:w="3912" w:type="dxa"/>
          <w:tcBorders>
            <w:top w:val="single" w:sz="12" w:space="0" w:color="auto"/>
          </w:tcBorders>
        </w:tcPr>
        <w:p w14:paraId="4A0046B0" w14:textId="434DB861" w:rsidR="00ED362E" w:rsidRDefault="00ED362E" w:rsidP="00B90D11">
          <w:pPr>
            <w:rPr>
              <w:lang w:eastAsia="ja-JP"/>
            </w:rPr>
          </w:pPr>
        </w:p>
      </w:tc>
    </w:tr>
  </w:tbl>
  <w:p w14:paraId="537D46B0" w14:textId="77777777" w:rsidR="00ED362E" w:rsidRDefault="00ED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8CCAA" w14:textId="77777777" w:rsidR="00B1397B" w:rsidRDefault="00B1397B">
      <w:r>
        <w:separator/>
      </w:r>
    </w:p>
  </w:footnote>
  <w:footnote w:type="continuationSeparator" w:id="0">
    <w:p w14:paraId="3425B0D5" w14:textId="77777777" w:rsidR="00B1397B" w:rsidRDefault="00B1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149A" w14:textId="77777777" w:rsidR="00ED362E" w:rsidRDefault="00ED362E" w:rsidP="00C15633">
    <w:pPr>
      <w:pStyle w:val="Header"/>
      <w:tabs>
        <w:tab w:val="center" w:pos="4763"/>
        <w:tab w:val="left" w:pos="5820"/>
      </w:tabs>
      <w:rPr>
        <w:lang w:eastAsia="ko-KR"/>
      </w:rPr>
    </w:pPr>
    <w:r>
      <w:rPr>
        <w:lang w:eastAsia="ko-KR"/>
      </w:rPr>
      <w:tab/>
    </w:r>
  </w:p>
  <w:p w14:paraId="256637EE" w14:textId="77777777" w:rsidR="00ED362E" w:rsidRDefault="00ED362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548"/>
    <w:multiLevelType w:val="hybridMultilevel"/>
    <w:tmpl w:val="C2001E0C"/>
    <w:lvl w:ilvl="0" w:tplc="B1D0F75A">
      <w:numFmt w:val="bullet"/>
      <w:lvlText w:val=""/>
      <w:lvlJc w:val="left"/>
      <w:pPr>
        <w:ind w:left="720" w:hanging="360"/>
      </w:pPr>
      <w:rPr>
        <w:rFonts w:ascii="Symbol" w:eastAsia="BatangCh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AB8"/>
    <w:multiLevelType w:val="hybridMultilevel"/>
    <w:tmpl w:val="69CA097E"/>
    <w:lvl w:ilvl="0" w:tplc="A114EBFA">
      <w:start w:val="1"/>
      <w:numFmt w:val="bullet"/>
      <w:lvlText w:val="-"/>
      <w:lvlJc w:val="left"/>
      <w:pPr>
        <w:ind w:left="720" w:hanging="360"/>
      </w:pPr>
      <w:rPr>
        <w:rFonts w:ascii="Malgun Gothic" w:eastAsia="Malgun Gothic" w:hAnsi="Malgun Gothic" w:hint="eastAsi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4024987"/>
    <w:multiLevelType w:val="hybridMultilevel"/>
    <w:tmpl w:val="00BA460E"/>
    <w:lvl w:ilvl="0" w:tplc="81F656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B31BF"/>
    <w:multiLevelType w:val="hybridMultilevel"/>
    <w:tmpl w:val="4F4C8B84"/>
    <w:lvl w:ilvl="0" w:tplc="81F65682">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6" w15:restartNumberingAfterBreak="0">
    <w:nsid w:val="1A903137"/>
    <w:multiLevelType w:val="hybridMultilevel"/>
    <w:tmpl w:val="7C1489C2"/>
    <w:lvl w:ilvl="0" w:tplc="04090001">
      <w:start w:val="1"/>
      <w:numFmt w:val="bullet"/>
      <w:lvlText w:val=""/>
      <w:lvlJc w:val="left"/>
      <w:pPr>
        <w:tabs>
          <w:tab w:val="num" w:pos="720"/>
        </w:tabs>
        <w:ind w:left="720" w:hanging="360"/>
      </w:pPr>
      <w:rPr>
        <w:rFonts w:ascii="Symbol" w:hAnsi="Symbol" w:hint="default"/>
      </w:rPr>
    </w:lvl>
    <w:lvl w:ilvl="1" w:tplc="170810AA" w:tentative="1">
      <w:start w:val="1"/>
      <w:numFmt w:val="bullet"/>
      <w:lvlText w:val=""/>
      <w:lvlJc w:val="left"/>
      <w:pPr>
        <w:tabs>
          <w:tab w:val="num" w:pos="1440"/>
        </w:tabs>
        <w:ind w:left="1440" w:hanging="360"/>
      </w:pPr>
      <w:rPr>
        <w:rFonts w:ascii="Wingdings" w:hAnsi="Wingdings" w:hint="default"/>
      </w:rPr>
    </w:lvl>
    <w:lvl w:ilvl="2" w:tplc="C40ECEF4" w:tentative="1">
      <w:start w:val="1"/>
      <w:numFmt w:val="bullet"/>
      <w:lvlText w:val=""/>
      <w:lvlJc w:val="left"/>
      <w:pPr>
        <w:tabs>
          <w:tab w:val="num" w:pos="2160"/>
        </w:tabs>
        <w:ind w:left="2160" w:hanging="360"/>
      </w:pPr>
      <w:rPr>
        <w:rFonts w:ascii="Wingdings" w:hAnsi="Wingdings" w:hint="default"/>
      </w:rPr>
    </w:lvl>
    <w:lvl w:ilvl="3" w:tplc="F8706164" w:tentative="1">
      <w:start w:val="1"/>
      <w:numFmt w:val="bullet"/>
      <w:lvlText w:val=""/>
      <w:lvlJc w:val="left"/>
      <w:pPr>
        <w:tabs>
          <w:tab w:val="num" w:pos="2880"/>
        </w:tabs>
        <w:ind w:left="2880" w:hanging="360"/>
      </w:pPr>
      <w:rPr>
        <w:rFonts w:ascii="Wingdings" w:hAnsi="Wingdings" w:hint="default"/>
      </w:rPr>
    </w:lvl>
    <w:lvl w:ilvl="4" w:tplc="C9C4E15E" w:tentative="1">
      <w:start w:val="1"/>
      <w:numFmt w:val="bullet"/>
      <w:lvlText w:val=""/>
      <w:lvlJc w:val="left"/>
      <w:pPr>
        <w:tabs>
          <w:tab w:val="num" w:pos="3600"/>
        </w:tabs>
        <w:ind w:left="3600" w:hanging="360"/>
      </w:pPr>
      <w:rPr>
        <w:rFonts w:ascii="Wingdings" w:hAnsi="Wingdings" w:hint="default"/>
      </w:rPr>
    </w:lvl>
    <w:lvl w:ilvl="5" w:tplc="6F4E9C4A" w:tentative="1">
      <w:start w:val="1"/>
      <w:numFmt w:val="bullet"/>
      <w:lvlText w:val=""/>
      <w:lvlJc w:val="left"/>
      <w:pPr>
        <w:tabs>
          <w:tab w:val="num" w:pos="4320"/>
        </w:tabs>
        <w:ind w:left="4320" w:hanging="360"/>
      </w:pPr>
      <w:rPr>
        <w:rFonts w:ascii="Wingdings" w:hAnsi="Wingdings" w:hint="default"/>
      </w:rPr>
    </w:lvl>
    <w:lvl w:ilvl="6" w:tplc="692EA516" w:tentative="1">
      <w:start w:val="1"/>
      <w:numFmt w:val="bullet"/>
      <w:lvlText w:val=""/>
      <w:lvlJc w:val="left"/>
      <w:pPr>
        <w:tabs>
          <w:tab w:val="num" w:pos="5040"/>
        </w:tabs>
        <w:ind w:left="5040" w:hanging="360"/>
      </w:pPr>
      <w:rPr>
        <w:rFonts w:ascii="Wingdings" w:hAnsi="Wingdings" w:hint="default"/>
      </w:rPr>
    </w:lvl>
    <w:lvl w:ilvl="7" w:tplc="CE729318" w:tentative="1">
      <w:start w:val="1"/>
      <w:numFmt w:val="bullet"/>
      <w:lvlText w:val=""/>
      <w:lvlJc w:val="left"/>
      <w:pPr>
        <w:tabs>
          <w:tab w:val="num" w:pos="5760"/>
        </w:tabs>
        <w:ind w:left="5760" w:hanging="360"/>
      </w:pPr>
      <w:rPr>
        <w:rFonts w:ascii="Wingdings" w:hAnsi="Wingdings" w:hint="default"/>
      </w:rPr>
    </w:lvl>
    <w:lvl w:ilvl="8" w:tplc="655A9F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E86761"/>
    <w:multiLevelType w:val="hybridMultilevel"/>
    <w:tmpl w:val="67102CB2"/>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E178D"/>
    <w:multiLevelType w:val="multilevel"/>
    <w:tmpl w:val="234E178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1F621B"/>
    <w:multiLevelType w:val="hybridMultilevel"/>
    <w:tmpl w:val="07BE40B2"/>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6730600"/>
    <w:multiLevelType w:val="hybridMultilevel"/>
    <w:tmpl w:val="D46CAE08"/>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871067D"/>
    <w:multiLevelType w:val="multilevel"/>
    <w:tmpl w:val="387106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AB02997"/>
    <w:multiLevelType w:val="hybridMultilevel"/>
    <w:tmpl w:val="833E6680"/>
    <w:lvl w:ilvl="0" w:tplc="81F656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3E2C5B12"/>
    <w:multiLevelType w:val="hybridMultilevel"/>
    <w:tmpl w:val="FDD0D854"/>
    <w:lvl w:ilvl="0" w:tplc="A114EBFA">
      <w:start w:val="1"/>
      <w:numFmt w:val="bullet"/>
      <w:lvlText w:val="-"/>
      <w:lvlJc w:val="left"/>
      <w:pPr>
        <w:ind w:left="720" w:hanging="360"/>
      </w:pPr>
      <w:rPr>
        <w:rFonts w:ascii="Malgun Gothic" w:eastAsia="Malgun Gothic" w:hAnsi="Malgun Gothic" w:hint="eastAsi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5B6078"/>
    <w:multiLevelType w:val="hybridMultilevel"/>
    <w:tmpl w:val="71D20046"/>
    <w:lvl w:ilvl="0" w:tplc="A114EBFA">
      <w:start w:val="1"/>
      <w:numFmt w:val="bullet"/>
      <w:lvlText w:val="-"/>
      <w:lvlJc w:val="left"/>
      <w:pPr>
        <w:ind w:left="720" w:hanging="360"/>
      </w:pPr>
      <w:rPr>
        <w:rFonts w:ascii="Malgun Gothic" w:eastAsia="Malgun Gothic" w:hAnsi="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702E8"/>
    <w:multiLevelType w:val="hybridMultilevel"/>
    <w:tmpl w:val="581C92E8"/>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0004E"/>
    <w:multiLevelType w:val="hybridMultilevel"/>
    <w:tmpl w:val="BDF6091E"/>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964AC5"/>
    <w:multiLevelType w:val="hybridMultilevel"/>
    <w:tmpl w:val="654C76EA"/>
    <w:lvl w:ilvl="0" w:tplc="874E3272">
      <w:start w:val="1"/>
      <w:numFmt w:val="bullet"/>
      <w:lvlText w:val="•"/>
      <w:lvlJc w:val="left"/>
      <w:pPr>
        <w:tabs>
          <w:tab w:val="num" w:pos="720"/>
        </w:tabs>
        <w:ind w:left="720" w:hanging="360"/>
      </w:pPr>
      <w:rPr>
        <w:rFonts w:ascii="Arial" w:hAnsi="Arial" w:cs="Times New Roman" w:hint="default"/>
      </w:rPr>
    </w:lvl>
    <w:lvl w:ilvl="1" w:tplc="918AD278">
      <w:start w:val="691"/>
      <w:numFmt w:val="bullet"/>
      <w:lvlText w:val="–"/>
      <w:lvlJc w:val="left"/>
      <w:pPr>
        <w:tabs>
          <w:tab w:val="num" w:pos="1440"/>
        </w:tabs>
        <w:ind w:left="1440" w:hanging="360"/>
      </w:pPr>
      <w:rPr>
        <w:rFonts w:ascii="Arial" w:hAnsi="Arial" w:cs="Times New Roman" w:hint="default"/>
      </w:rPr>
    </w:lvl>
    <w:lvl w:ilvl="2" w:tplc="C86A2FEE">
      <w:start w:val="1"/>
      <w:numFmt w:val="bullet"/>
      <w:lvlText w:val="•"/>
      <w:lvlJc w:val="left"/>
      <w:pPr>
        <w:tabs>
          <w:tab w:val="num" w:pos="2160"/>
        </w:tabs>
        <w:ind w:left="2160" w:hanging="360"/>
      </w:pPr>
      <w:rPr>
        <w:rFonts w:ascii="Arial" w:hAnsi="Arial" w:cs="Times New Roman" w:hint="default"/>
      </w:rPr>
    </w:lvl>
    <w:lvl w:ilvl="3" w:tplc="206ACD70">
      <w:start w:val="1"/>
      <w:numFmt w:val="bullet"/>
      <w:lvlText w:val="•"/>
      <w:lvlJc w:val="left"/>
      <w:pPr>
        <w:tabs>
          <w:tab w:val="num" w:pos="2880"/>
        </w:tabs>
        <w:ind w:left="2880" w:hanging="360"/>
      </w:pPr>
      <w:rPr>
        <w:rFonts w:ascii="Arial" w:hAnsi="Arial" w:cs="Times New Roman" w:hint="default"/>
      </w:rPr>
    </w:lvl>
    <w:lvl w:ilvl="4" w:tplc="FA98326C">
      <w:start w:val="1"/>
      <w:numFmt w:val="bullet"/>
      <w:lvlText w:val="•"/>
      <w:lvlJc w:val="left"/>
      <w:pPr>
        <w:tabs>
          <w:tab w:val="num" w:pos="3600"/>
        </w:tabs>
        <w:ind w:left="3600" w:hanging="360"/>
      </w:pPr>
      <w:rPr>
        <w:rFonts w:ascii="Arial" w:hAnsi="Arial" w:cs="Times New Roman" w:hint="default"/>
      </w:rPr>
    </w:lvl>
    <w:lvl w:ilvl="5" w:tplc="A5E23D34">
      <w:start w:val="1"/>
      <w:numFmt w:val="bullet"/>
      <w:lvlText w:val="•"/>
      <w:lvlJc w:val="left"/>
      <w:pPr>
        <w:tabs>
          <w:tab w:val="num" w:pos="4320"/>
        </w:tabs>
        <w:ind w:left="4320" w:hanging="360"/>
      </w:pPr>
      <w:rPr>
        <w:rFonts w:ascii="Arial" w:hAnsi="Arial" w:cs="Times New Roman" w:hint="default"/>
      </w:rPr>
    </w:lvl>
    <w:lvl w:ilvl="6" w:tplc="80B8B0B2">
      <w:start w:val="1"/>
      <w:numFmt w:val="bullet"/>
      <w:lvlText w:val="•"/>
      <w:lvlJc w:val="left"/>
      <w:pPr>
        <w:tabs>
          <w:tab w:val="num" w:pos="5040"/>
        </w:tabs>
        <w:ind w:left="5040" w:hanging="360"/>
      </w:pPr>
      <w:rPr>
        <w:rFonts w:ascii="Arial" w:hAnsi="Arial" w:cs="Times New Roman" w:hint="default"/>
      </w:rPr>
    </w:lvl>
    <w:lvl w:ilvl="7" w:tplc="0CAEC926">
      <w:start w:val="1"/>
      <w:numFmt w:val="bullet"/>
      <w:lvlText w:val="•"/>
      <w:lvlJc w:val="left"/>
      <w:pPr>
        <w:tabs>
          <w:tab w:val="num" w:pos="5760"/>
        </w:tabs>
        <w:ind w:left="5760" w:hanging="360"/>
      </w:pPr>
      <w:rPr>
        <w:rFonts w:ascii="Arial" w:hAnsi="Arial" w:cs="Times New Roman" w:hint="default"/>
      </w:rPr>
    </w:lvl>
    <w:lvl w:ilvl="8" w:tplc="603C60D6">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0518C"/>
    <w:multiLevelType w:val="hybridMultilevel"/>
    <w:tmpl w:val="52DE9F44"/>
    <w:lvl w:ilvl="0" w:tplc="A114EBFA">
      <w:start w:val="1"/>
      <w:numFmt w:val="bullet"/>
      <w:lvlText w:val="-"/>
      <w:lvlJc w:val="left"/>
      <w:pPr>
        <w:ind w:left="1434" w:hanging="360"/>
      </w:pPr>
      <w:rPr>
        <w:rFonts w:ascii="Malgun Gothic" w:eastAsia="Malgun Gothic" w:hAnsi="Malgun Gothic" w:hint="eastAsia"/>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15:restartNumberingAfterBreak="0">
    <w:nsid w:val="6DD27250"/>
    <w:multiLevelType w:val="hybridMultilevel"/>
    <w:tmpl w:val="93CCA296"/>
    <w:lvl w:ilvl="0" w:tplc="81F65682">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6" w15:restartNumberingAfterBreak="0">
    <w:nsid w:val="73C80893"/>
    <w:multiLevelType w:val="hybridMultilevel"/>
    <w:tmpl w:val="585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B204C62"/>
    <w:multiLevelType w:val="hybridMultilevel"/>
    <w:tmpl w:val="FE9A1B3E"/>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9"/>
  </w:num>
  <w:num w:numId="2">
    <w:abstractNumId w:val="13"/>
  </w:num>
  <w:num w:numId="3">
    <w:abstractNumId w:val="10"/>
  </w:num>
  <w:num w:numId="4">
    <w:abstractNumId w:val="34"/>
  </w:num>
  <w:num w:numId="5">
    <w:abstractNumId w:val="17"/>
  </w:num>
  <w:num w:numId="6">
    <w:abstractNumId w:val="20"/>
  </w:num>
  <w:num w:numId="7">
    <w:abstractNumId w:val="7"/>
  </w:num>
  <w:num w:numId="8">
    <w:abstractNumId w:val="3"/>
  </w:num>
  <w:num w:numId="9">
    <w:abstractNumId w:val="38"/>
  </w:num>
  <w:num w:numId="10">
    <w:abstractNumId w:val="31"/>
  </w:num>
  <w:num w:numId="11">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9"/>
  </w:num>
  <w:num w:numId="17">
    <w:abstractNumId w:val="30"/>
  </w:num>
  <w:num w:numId="18">
    <w:abstractNumId w:val="23"/>
  </w:num>
  <w:num w:numId="19">
    <w:abstractNumId w:val="37"/>
  </w:num>
  <w:num w:numId="20">
    <w:abstractNumId w:val="15"/>
  </w:num>
  <w:num w:numId="21">
    <w:abstractNumId w:val="35"/>
  </w:num>
  <w:num w:numId="22">
    <w:abstractNumId w:val="41"/>
  </w:num>
  <w:num w:numId="23">
    <w:abstractNumId w:val="6"/>
  </w:num>
  <w:num w:numId="24">
    <w:abstractNumId w:val="12"/>
  </w:num>
  <w:num w:numId="25">
    <w:abstractNumId w:val="1"/>
  </w:num>
  <w:num w:numId="26">
    <w:abstractNumId w:val="24"/>
  </w:num>
  <w:num w:numId="27">
    <w:abstractNumId w:val="21"/>
  </w:num>
  <w:num w:numId="28">
    <w:abstractNumId w:val="28"/>
  </w:num>
  <w:num w:numId="29">
    <w:abstractNumId w:val="16"/>
  </w:num>
  <w:num w:numId="30">
    <w:abstractNumId w:val="40"/>
  </w:num>
  <w:num w:numId="31">
    <w:abstractNumId w:val="29"/>
  </w:num>
  <w:num w:numId="32">
    <w:abstractNumId w:val="32"/>
  </w:num>
  <w:num w:numId="33">
    <w:abstractNumId w:val="33"/>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8"/>
  </w:num>
  <w:num w:numId="38">
    <w:abstractNumId w:val="11"/>
  </w:num>
  <w:num w:numId="39">
    <w:abstractNumId w:val="0"/>
  </w:num>
  <w:num w:numId="40">
    <w:abstractNumId w:val="4"/>
  </w:num>
  <w:num w:numId="41">
    <w:abstractNumId w:val="22"/>
  </w:num>
  <w:num w:numId="42">
    <w:abstractNumId w:val="36"/>
  </w:num>
  <w:num w:numId="43">
    <w:abstractNumId w:val="5"/>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002"/>
    <w:rsid w:val="00001614"/>
    <w:rsid w:val="00003A09"/>
    <w:rsid w:val="00010C8E"/>
    <w:rsid w:val="0001435F"/>
    <w:rsid w:val="00031BF6"/>
    <w:rsid w:val="00033128"/>
    <w:rsid w:val="0003513B"/>
    <w:rsid w:val="00035275"/>
    <w:rsid w:val="0003595B"/>
    <w:rsid w:val="00036211"/>
    <w:rsid w:val="00036517"/>
    <w:rsid w:val="00036CC9"/>
    <w:rsid w:val="00040149"/>
    <w:rsid w:val="000538B8"/>
    <w:rsid w:val="000573B0"/>
    <w:rsid w:val="00064615"/>
    <w:rsid w:val="00066D1E"/>
    <w:rsid w:val="00070642"/>
    <w:rsid w:val="000713CF"/>
    <w:rsid w:val="00073BF0"/>
    <w:rsid w:val="00075C14"/>
    <w:rsid w:val="000800A7"/>
    <w:rsid w:val="000822B5"/>
    <w:rsid w:val="000843A9"/>
    <w:rsid w:val="00086136"/>
    <w:rsid w:val="00086263"/>
    <w:rsid w:val="00086462"/>
    <w:rsid w:val="0009332E"/>
    <w:rsid w:val="0009455E"/>
    <w:rsid w:val="00094B87"/>
    <w:rsid w:val="000959A9"/>
    <w:rsid w:val="0009794B"/>
    <w:rsid w:val="000A0040"/>
    <w:rsid w:val="000A012B"/>
    <w:rsid w:val="000A4578"/>
    <w:rsid w:val="000A5418"/>
    <w:rsid w:val="000A5EE9"/>
    <w:rsid w:val="000B2AAC"/>
    <w:rsid w:val="000B35CE"/>
    <w:rsid w:val="000C0878"/>
    <w:rsid w:val="000C6385"/>
    <w:rsid w:val="000C77AB"/>
    <w:rsid w:val="000D2E22"/>
    <w:rsid w:val="000E1248"/>
    <w:rsid w:val="000F0AB3"/>
    <w:rsid w:val="000F345F"/>
    <w:rsid w:val="000F517C"/>
    <w:rsid w:val="000F5540"/>
    <w:rsid w:val="0010219D"/>
    <w:rsid w:val="00103124"/>
    <w:rsid w:val="00105F1A"/>
    <w:rsid w:val="001073A2"/>
    <w:rsid w:val="00112495"/>
    <w:rsid w:val="00120C08"/>
    <w:rsid w:val="0012390B"/>
    <w:rsid w:val="00123AEF"/>
    <w:rsid w:val="00125FBD"/>
    <w:rsid w:val="00126273"/>
    <w:rsid w:val="00127FCB"/>
    <w:rsid w:val="0013112D"/>
    <w:rsid w:val="00134D31"/>
    <w:rsid w:val="001409B2"/>
    <w:rsid w:val="00141EA7"/>
    <w:rsid w:val="00147D88"/>
    <w:rsid w:val="00150524"/>
    <w:rsid w:val="00152636"/>
    <w:rsid w:val="001539DD"/>
    <w:rsid w:val="00155571"/>
    <w:rsid w:val="00156782"/>
    <w:rsid w:val="00160F0B"/>
    <w:rsid w:val="00165F01"/>
    <w:rsid w:val="001731F4"/>
    <w:rsid w:val="00173518"/>
    <w:rsid w:val="00173BF8"/>
    <w:rsid w:val="00182E38"/>
    <w:rsid w:val="001916F2"/>
    <w:rsid w:val="001930A7"/>
    <w:rsid w:val="00196568"/>
    <w:rsid w:val="00197C18"/>
    <w:rsid w:val="001A2F16"/>
    <w:rsid w:val="001B1804"/>
    <w:rsid w:val="001B18C2"/>
    <w:rsid w:val="001C443F"/>
    <w:rsid w:val="001C61A5"/>
    <w:rsid w:val="001C6707"/>
    <w:rsid w:val="001C6F13"/>
    <w:rsid w:val="001D5D7E"/>
    <w:rsid w:val="001D695C"/>
    <w:rsid w:val="001E11D1"/>
    <w:rsid w:val="001F0186"/>
    <w:rsid w:val="001F5947"/>
    <w:rsid w:val="00200394"/>
    <w:rsid w:val="002009B2"/>
    <w:rsid w:val="00200F93"/>
    <w:rsid w:val="00202410"/>
    <w:rsid w:val="002032CA"/>
    <w:rsid w:val="00210028"/>
    <w:rsid w:val="00214A0C"/>
    <w:rsid w:val="0021588B"/>
    <w:rsid w:val="002161B6"/>
    <w:rsid w:val="002216AC"/>
    <w:rsid w:val="002236ED"/>
    <w:rsid w:val="00223C23"/>
    <w:rsid w:val="0023058E"/>
    <w:rsid w:val="002351C6"/>
    <w:rsid w:val="00236126"/>
    <w:rsid w:val="002413D6"/>
    <w:rsid w:val="002414FA"/>
    <w:rsid w:val="00244573"/>
    <w:rsid w:val="00244CEA"/>
    <w:rsid w:val="002466A7"/>
    <w:rsid w:val="002475E2"/>
    <w:rsid w:val="002506D2"/>
    <w:rsid w:val="00250DE2"/>
    <w:rsid w:val="00252484"/>
    <w:rsid w:val="00254A1B"/>
    <w:rsid w:val="0026064A"/>
    <w:rsid w:val="00264566"/>
    <w:rsid w:val="00264DAF"/>
    <w:rsid w:val="002678C9"/>
    <w:rsid w:val="00272CC4"/>
    <w:rsid w:val="0028454D"/>
    <w:rsid w:val="0028516A"/>
    <w:rsid w:val="00285B06"/>
    <w:rsid w:val="0029178B"/>
    <w:rsid w:val="00291C9E"/>
    <w:rsid w:val="002926D4"/>
    <w:rsid w:val="0029734E"/>
    <w:rsid w:val="002A3CF5"/>
    <w:rsid w:val="002A5904"/>
    <w:rsid w:val="002A63D0"/>
    <w:rsid w:val="002B06A3"/>
    <w:rsid w:val="002B435C"/>
    <w:rsid w:val="002B447F"/>
    <w:rsid w:val="002B4B21"/>
    <w:rsid w:val="002B5FE5"/>
    <w:rsid w:val="002B74A1"/>
    <w:rsid w:val="002C07DA"/>
    <w:rsid w:val="002C1878"/>
    <w:rsid w:val="002C2A49"/>
    <w:rsid w:val="002C3A91"/>
    <w:rsid w:val="002C4059"/>
    <w:rsid w:val="002C7EA9"/>
    <w:rsid w:val="002D0AF3"/>
    <w:rsid w:val="002D2302"/>
    <w:rsid w:val="002E1048"/>
    <w:rsid w:val="002F00C4"/>
    <w:rsid w:val="002F1B89"/>
    <w:rsid w:val="002F3105"/>
    <w:rsid w:val="002F575D"/>
    <w:rsid w:val="00310325"/>
    <w:rsid w:val="003113D7"/>
    <w:rsid w:val="00311E8A"/>
    <w:rsid w:val="003163C5"/>
    <w:rsid w:val="003227C3"/>
    <w:rsid w:val="003256ED"/>
    <w:rsid w:val="00334440"/>
    <w:rsid w:val="00342F20"/>
    <w:rsid w:val="00344545"/>
    <w:rsid w:val="0034458A"/>
    <w:rsid w:val="00350946"/>
    <w:rsid w:val="0035307C"/>
    <w:rsid w:val="003531A5"/>
    <w:rsid w:val="00360377"/>
    <w:rsid w:val="00364B55"/>
    <w:rsid w:val="00366548"/>
    <w:rsid w:val="003730B8"/>
    <w:rsid w:val="0038005B"/>
    <w:rsid w:val="0038070C"/>
    <w:rsid w:val="003809C7"/>
    <w:rsid w:val="0038236C"/>
    <w:rsid w:val="003854AB"/>
    <w:rsid w:val="00387209"/>
    <w:rsid w:val="00393252"/>
    <w:rsid w:val="00393DCD"/>
    <w:rsid w:val="00395B40"/>
    <w:rsid w:val="003A0882"/>
    <w:rsid w:val="003A2006"/>
    <w:rsid w:val="003A6568"/>
    <w:rsid w:val="003B4F3C"/>
    <w:rsid w:val="003B4FD1"/>
    <w:rsid w:val="003B6263"/>
    <w:rsid w:val="003B7CE9"/>
    <w:rsid w:val="003C20FB"/>
    <w:rsid w:val="003C29E6"/>
    <w:rsid w:val="003C2A40"/>
    <w:rsid w:val="003C64A7"/>
    <w:rsid w:val="003D1128"/>
    <w:rsid w:val="003D1671"/>
    <w:rsid w:val="003D3FDA"/>
    <w:rsid w:val="003D5817"/>
    <w:rsid w:val="003D58CC"/>
    <w:rsid w:val="003D6D00"/>
    <w:rsid w:val="003E166F"/>
    <w:rsid w:val="003E3973"/>
    <w:rsid w:val="003E3F43"/>
    <w:rsid w:val="003F307E"/>
    <w:rsid w:val="003F40F8"/>
    <w:rsid w:val="004001E5"/>
    <w:rsid w:val="00402B1B"/>
    <w:rsid w:val="0041313C"/>
    <w:rsid w:val="004131F0"/>
    <w:rsid w:val="0041449B"/>
    <w:rsid w:val="00420822"/>
    <w:rsid w:val="00420C74"/>
    <w:rsid w:val="00423349"/>
    <w:rsid w:val="00430D43"/>
    <w:rsid w:val="00435A08"/>
    <w:rsid w:val="0043611A"/>
    <w:rsid w:val="00441526"/>
    <w:rsid w:val="004421CA"/>
    <w:rsid w:val="004465AA"/>
    <w:rsid w:val="00446A5E"/>
    <w:rsid w:val="00452C16"/>
    <w:rsid w:val="0045458F"/>
    <w:rsid w:val="004633B4"/>
    <w:rsid w:val="004637B0"/>
    <w:rsid w:val="00466C10"/>
    <w:rsid w:val="00470829"/>
    <w:rsid w:val="00473243"/>
    <w:rsid w:val="004957F2"/>
    <w:rsid w:val="00495CED"/>
    <w:rsid w:val="004A2F96"/>
    <w:rsid w:val="004A67E9"/>
    <w:rsid w:val="004B0064"/>
    <w:rsid w:val="004B3553"/>
    <w:rsid w:val="004B3F4B"/>
    <w:rsid w:val="004C440C"/>
    <w:rsid w:val="004C7F86"/>
    <w:rsid w:val="004E1C63"/>
    <w:rsid w:val="004E1FCA"/>
    <w:rsid w:val="004E47D6"/>
    <w:rsid w:val="004F1B5A"/>
    <w:rsid w:val="00501000"/>
    <w:rsid w:val="00503189"/>
    <w:rsid w:val="005033A5"/>
    <w:rsid w:val="005069CB"/>
    <w:rsid w:val="00512B45"/>
    <w:rsid w:val="00513F0A"/>
    <w:rsid w:val="005145A6"/>
    <w:rsid w:val="00515392"/>
    <w:rsid w:val="005200BD"/>
    <w:rsid w:val="00523F79"/>
    <w:rsid w:val="0052438B"/>
    <w:rsid w:val="00526D01"/>
    <w:rsid w:val="00527E98"/>
    <w:rsid w:val="00530E8C"/>
    <w:rsid w:val="00530F74"/>
    <w:rsid w:val="00535D34"/>
    <w:rsid w:val="00545933"/>
    <w:rsid w:val="00550252"/>
    <w:rsid w:val="00552105"/>
    <w:rsid w:val="005562F2"/>
    <w:rsid w:val="00557544"/>
    <w:rsid w:val="00561914"/>
    <w:rsid w:val="00565BBB"/>
    <w:rsid w:val="00567BA1"/>
    <w:rsid w:val="005724CA"/>
    <w:rsid w:val="00575729"/>
    <w:rsid w:val="00580357"/>
    <w:rsid w:val="005803FA"/>
    <w:rsid w:val="00580CEC"/>
    <w:rsid w:val="00581CC1"/>
    <w:rsid w:val="00585F3C"/>
    <w:rsid w:val="00586CA0"/>
    <w:rsid w:val="005875E5"/>
    <w:rsid w:val="00587875"/>
    <w:rsid w:val="00587C59"/>
    <w:rsid w:val="00591C68"/>
    <w:rsid w:val="00596BE8"/>
    <w:rsid w:val="005976BE"/>
    <w:rsid w:val="005977D6"/>
    <w:rsid w:val="005A1426"/>
    <w:rsid w:val="005A3922"/>
    <w:rsid w:val="005A63EB"/>
    <w:rsid w:val="005B0876"/>
    <w:rsid w:val="005B2BBE"/>
    <w:rsid w:val="005B5A88"/>
    <w:rsid w:val="005B7ECD"/>
    <w:rsid w:val="005C33B6"/>
    <w:rsid w:val="005C348E"/>
    <w:rsid w:val="005D4539"/>
    <w:rsid w:val="005D6202"/>
    <w:rsid w:val="005D6E98"/>
    <w:rsid w:val="005E1198"/>
    <w:rsid w:val="005E355E"/>
    <w:rsid w:val="005E6231"/>
    <w:rsid w:val="005F1281"/>
    <w:rsid w:val="005F2785"/>
    <w:rsid w:val="005F6098"/>
    <w:rsid w:val="00603710"/>
    <w:rsid w:val="00606F84"/>
    <w:rsid w:val="00607E2B"/>
    <w:rsid w:val="00612E77"/>
    <w:rsid w:val="00613658"/>
    <w:rsid w:val="006139D6"/>
    <w:rsid w:val="00616D1B"/>
    <w:rsid w:val="006205D0"/>
    <w:rsid w:val="00623CE1"/>
    <w:rsid w:val="00627880"/>
    <w:rsid w:val="0063062B"/>
    <w:rsid w:val="00630D24"/>
    <w:rsid w:val="0063279C"/>
    <w:rsid w:val="00633391"/>
    <w:rsid w:val="00634A82"/>
    <w:rsid w:val="0063657B"/>
    <w:rsid w:val="00637351"/>
    <w:rsid w:val="00642B9E"/>
    <w:rsid w:val="00646166"/>
    <w:rsid w:val="00654896"/>
    <w:rsid w:val="00655C5C"/>
    <w:rsid w:val="00657B68"/>
    <w:rsid w:val="00661B53"/>
    <w:rsid w:val="006621F0"/>
    <w:rsid w:val="006647BA"/>
    <w:rsid w:val="00667229"/>
    <w:rsid w:val="00671921"/>
    <w:rsid w:val="00673055"/>
    <w:rsid w:val="00676257"/>
    <w:rsid w:val="00682BE5"/>
    <w:rsid w:val="00683846"/>
    <w:rsid w:val="006846B5"/>
    <w:rsid w:val="00690FED"/>
    <w:rsid w:val="006939A5"/>
    <w:rsid w:val="00694579"/>
    <w:rsid w:val="006A0F2A"/>
    <w:rsid w:val="006A3E88"/>
    <w:rsid w:val="006B0B4F"/>
    <w:rsid w:val="006B436F"/>
    <w:rsid w:val="006B7ABD"/>
    <w:rsid w:val="006C3342"/>
    <w:rsid w:val="006C3B9B"/>
    <w:rsid w:val="006D4936"/>
    <w:rsid w:val="006D5223"/>
    <w:rsid w:val="006E12FC"/>
    <w:rsid w:val="006E1D37"/>
    <w:rsid w:val="006F0F24"/>
    <w:rsid w:val="006F2B2E"/>
    <w:rsid w:val="006F6A5C"/>
    <w:rsid w:val="00703F6F"/>
    <w:rsid w:val="007052B3"/>
    <w:rsid w:val="00705962"/>
    <w:rsid w:val="00707C21"/>
    <w:rsid w:val="00712451"/>
    <w:rsid w:val="00712944"/>
    <w:rsid w:val="0071367C"/>
    <w:rsid w:val="00715E5D"/>
    <w:rsid w:val="007165D9"/>
    <w:rsid w:val="00717DE9"/>
    <w:rsid w:val="00723FEF"/>
    <w:rsid w:val="00724866"/>
    <w:rsid w:val="00724873"/>
    <w:rsid w:val="0072518B"/>
    <w:rsid w:val="00727855"/>
    <w:rsid w:val="00731041"/>
    <w:rsid w:val="007329E4"/>
    <w:rsid w:val="00732F08"/>
    <w:rsid w:val="007342F0"/>
    <w:rsid w:val="0074190C"/>
    <w:rsid w:val="00742A02"/>
    <w:rsid w:val="007434B9"/>
    <w:rsid w:val="00746FD3"/>
    <w:rsid w:val="007512FB"/>
    <w:rsid w:val="00751AFE"/>
    <w:rsid w:val="0075493D"/>
    <w:rsid w:val="007560C3"/>
    <w:rsid w:val="0076136A"/>
    <w:rsid w:val="00761B87"/>
    <w:rsid w:val="00762576"/>
    <w:rsid w:val="007659A6"/>
    <w:rsid w:val="00767306"/>
    <w:rsid w:val="007673CA"/>
    <w:rsid w:val="0077166A"/>
    <w:rsid w:val="00772575"/>
    <w:rsid w:val="00774E42"/>
    <w:rsid w:val="00776CCF"/>
    <w:rsid w:val="007829D9"/>
    <w:rsid w:val="00783364"/>
    <w:rsid w:val="00791060"/>
    <w:rsid w:val="007926EA"/>
    <w:rsid w:val="007B0928"/>
    <w:rsid w:val="007B5626"/>
    <w:rsid w:val="007B6124"/>
    <w:rsid w:val="007C568D"/>
    <w:rsid w:val="007D0CD9"/>
    <w:rsid w:val="007D1F02"/>
    <w:rsid w:val="007D3C53"/>
    <w:rsid w:val="007E181C"/>
    <w:rsid w:val="007E181F"/>
    <w:rsid w:val="007E3A0F"/>
    <w:rsid w:val="007E5336"/>
    <w:rsid w:val="007F2628"/>
    <w:rsid w:val="007F2FBA"/>
    <w:rsid w:val="00800C3A"/>
    <w:rsid w:val="0080570B"/>
    <w:rsid w:val="008148E1"/>
    <w:rsid w:val="00815261"/>
    <w:rsid w:val="00815B49"/>
    <w:rsid w:val="008169BB"/>
    <w:rsid w:val="0081788F"/>
    <w:rsid w:val="00817FFA"/>
    <w:rsid w:val="00820421"/>
    <w:rsid w:val="008319BF"/>
    <w:rsid w:val="00834A8F"/>
    <w:rsid w:val="008409F1"/>
    <w:rsid w:val="008415F0"/>
    <w:rsid w:val="00841CEA"/>
    <w:rsid w:val="008433C2"/>
    <w:rsid w:val="00844457"/>
    <w:rsid w:val="008454C8"/>
    <w:rsid w:val="00851D78"/>
    <w:rsid w:val="00851E0B"/>
    <w:rsid w:val="00857B4D"/>
    <w:rsid w:val="0086104F"/>
    <w:rsid w:val="008621E2"/>
    <w:rsid w:val="008668D4"/>
    <w:rsid w:val="00871976"/>
    <w:rsid w:val="00892424"/>
    <w:rsid w:val="00895096"/>
    <w:rsid w:val="00895DD4"/>
    <w:rsid w:val="00895F24"/>
    <w:rsid w:val="008A016F"/>
    <w:rsid w:val="008A1A0D"/>
    <w:rsid w:val="008A72E1"/>
    <w:rsid w:val="008A76ED"/>
    <w:rsid w:val="008B3C72"/>
    <w:rsid w:val="008C2BBE"/>
    <w:rsid w:val="008D0E09"/>
    <w:rsid w:val="008D2C73"/>
    <w:rsid w:val="008E41FF"/>
    <w:rsid w:val="008F0026"/>
    <w:rsid w:val="008F06B6"/>
    <w:rsid w:val="008F6B7F"/>
    <w:rsid w:val="00902F96"/>
    <w:rsid w:val="00903007"/>
    <w:rsid w:val="00906C89"/>
    <w:rsid w:val="00912BAC"/>
    <w:rsid w:val="00913BE3"/>
    <w:rsid w:val="009144CD"/>
    <w:rsid w:val="00923816"/>
    <w:rsid w:val="00923AD9"/>
    <w:rsid w:val="00930653"/>
    <w:rsid w:val="0093074B"/>
    <w:rsid w:val="00930E64"/>
    <w:rsid w:val="009317FD"/>
    <w:rsid w:val="00931CDE"/>
    <w:rsid w:val="00932862"/>
    <w:rsid w:val="009348CA"/>
    <w:rsid w:val="00943CF9"/>
    <w:rsid w:val="00956F8C"/>
    <w:rsid w:val="00960693"/>
    <w:rsid w:val="00961D57"/>
    <w:rsid w:val="00971192"/>
    <w:rsid w:val="00974699"/>
    <w:rsid w:val="00976716"/>
    <w:rsid w:val="0097693B"/>
    <w:rsid w:val="00984AB6"/>
    <w:rsid w:val="009923F2"/>
    <w:rsid w:val="00993355"/>
    <w:rsid w:val="0099532B"/>
    <w:rsid w:val="009963F7"/>
    <w:rsid w:val="009A11CB"/>
    <w:rsid w:val="009A4A6D"/>
    <w:rsid w:val="009A7022"/>
    <w:rsid w:val="009B2625"/>
    <w:rsid w:val="009B31F6"/>
    <w:rsid w:val="009B4316"/>
    <w:rsid w:val="009B44DD"/>
    <w:rsid w:val="009B4D8C"/>
    <w:rsid w:val="009B7E42"/>
    <w:rsid w:val="009C0EA0"/>
    <w:rsid w:val="009C1464"/>
    <w:rsid w:val="009C3ED1"/>
    <w:rsid w:val="009D207C"/>
    <w:rsid w:val="009D3873"/>
    <w:rsid w:val="009D46CE"/>
    <w:rsid w:val="009D4ADA"/>
    <w:rsid w:val="009D5C06"/>
    <w:rsid w:val="009E13DD"/>
    <w:rsid w:val="009E2711"/>
    <w:rsid w:val="009F1D70"/>
    <w:rsid w:val="009F547A"/>
    <w:rsid w:val="00A0503B"/>
    <w:rsid w:val="00A059CD"/>
    <w:rsid w:val="00A13265"/>
    <w:rsid w:val="00A14900"/>
    <w:rsid w:val="00A2159F"/>
    <w:rsid w:val="00A2429B"/>
    <w:rsid w:val="00A27474"/>
    <w:rsid w:val="00A32D6B"/>
    <w:rsid w:val="00A45C10"/>
    <w:rsid w:val="00A47B37"/>
    <w:rsid w:val="00A47F8C"/>
    <w:rsid w:val="00A529BC"/>
    <w:rsid w:val="00A5346C"/>
    <w:rsid w:val="00A53F51"/>
    <w:rsid w:val="00A562F0"/>
    <w:rsid w:val="00A564FB"/>
    <w:rsid w:val="00A614C1"/>
    <w:rsid w:val="00A61EA6"/>
    <w:rsid w:val="00A62477"/>
    <w:rsid w:val="00A657BF"/>
    <w:rsid w:val="00A66030"/>
    <w:rsid w:val="00A71136"/>
    <w:rsid w:val="00A75D4D"/>
    <w:rsid w:val="00A7699D"/>
    <w:rsid w:val="00A81175"/>
    <w:rsid w:val="00A8263E"/>
    <w:rsid w:val="00A8546D"/>
    <w:rsid w:val="00A92578"/>
    <w:rsid w:val="00A9273C"/>
    <w:rsid w:val="00AA025E"/>
    <w:rsid w:val="00AA474C"/>
    <w:rsid w:val="00AA4952"/>
    <w:rsid w:val="00AA6474"/>
    <w:rsid w:val="00AB0A19"/>
    <w:rsid w:val="00AB5743"/>
    <w:rsid w:val="00AC1CFF"/>
    <w:rsid w:val="00AC35EF"/>
    <w:rsid w:val="00AC4D5B"/>
    <w:rsid w:val="00AC6D63"/>
    <w:rsid w:val="00AD1DDB"/>
    <w:rsid w:val="00AD2697"/>
    <w:rsid w:val="00AD7E5F"/>
    <w:rsid w:val="00AE2C31"/>
    <w:rsid w:val="00AE3066"/>
    <w:rsid w:val="00AF1820"/>
    <w:rsid w:val="00AF68E4"/>
    <w:rsid w:val="00B00A87"/>
    <w:rsid w:val="00B01AA1"/>
    <w:rsid w:val="00B02DB7"/>
    <w:rsid w:val="00B04DC9"/>
    <w:rsid w:val="00B055C0"/>
    <w:rsid w:val="00B06025"/>
    <w:rsid w:val="00B1397B"/>
    <w:rsid w:val="00B15295"/>
    <w:rsid w:val="00B219BF"/>
    <w:rsid w:val="00B250E7"/>
    <w:rsid w:val="00B25243"/>
    <w:rsid w:val="00B26D3E"/>
    <w:rsid w:val="00B30C81"/>
    <w:rsid w:val="00B30DA1"/>
    <w:rsid w:val="00B36A5A"/>
    <w:rsid w:val="00B40185"/>
    <w:rsid w:val="00B42B45"/>
    <w:rsid w:val="00B43A6A"/>
    <w:rsid w:val="00B448C6"/>
    <w:rsid w:val="00B4793B"/>
    <w:rsid w:val="00B53A7E"/>
    <w:rsid w:val="00B56099"/>
    <w:rsid w:val="00B64A60"/>
    <w:rsid w:val="00B65AF5"/>
    <w:rsid w:val="00B72A0E"/>
    <w:rsid w:val="00B74849"/>
    <w:rsid w:val="00B825AB"/>
    <w:rsid w:val="00B8274B"/>
    <w:rsid w:val="00B8428D"/>
    <w:rsid w:val="00B90D11"/>
    <w:rsid w:val="00B927CC"/>
    <w:rsid w:val="00B937D7"/>
    <w:rsid w:val="00B96B67"/>
    <w:rsid w:val="00BB2684"/>
    <w:rsid w:val="00BB69F9"/>
    <w:rsid w:val="00BB7477"/>
    <w:rsid w:val="00BC085E"/>
    <w:rsid w:val="00BC34D8"/>
    <w:rsid w:val="00BC57EF"/>
    <w:rsid w:val="00BC671A"/>
    <w:rsid w:val="00BC69DB"/>
    <w:rsid w:val="00BD0889"/>
    <w:rsid w:val="00BD4424"/>
    <w:rsid w:val="00BD4593"/>
    <w:rsid w:val="00BD5CF5"/>
    <w:rsid w:val="00BE2997"/>
    <w:rsid w:val="00BE3A67"/>
    <w:rsid w:val="00BE6B6B"/>
    <w:rsid w:val="00BE6F91"/>
    <w:rsid w:val="00BF25F9"/>
    <w:rsid w:val="00BF4CAF"/>
    <w:rsid w:val="00BF6750"/>
    <w:rsid w:val="00C019AE"/>
    <w:rsid w:val="00C05F81"/>
    <w:rsid w:val="00C10790"/>
    <w:rsid w:val="00C12651"/>
    <w:rsid w:val="00C13FD5"/>
    <w:rsid w:val="00C15633"/>
    <w:rsid w:val="00C15799"/>
    <w:rsid w:val="00C27F44"/>
    <w:rsid w:val="00C32DB7"/>
    <w:rsid w:val="00C32E84"/>
    <w:rsid w:val="00C35415"/>
    <w:rsid w:val="00C357AD"/>
    <w:rsid w:val="00C51B19"/>
    <w:rsid w:val="00C51BEA"/>
    <w:rsid w:val="00C51C5F"/>
    <w:rsid w:val="00C546E4"/>
    <w:rsid w:val="00C554CC"/>
    <w:rsid w:val="00C56F99"/>
    <w:rsid w:val="00C6069C"/>
    <w:rsid w:val="00C658B0"/>
    <w:rsid w:val="00C66C65"/>
    <w:rsid w:val="00C7023C"/>
    <w:rsid w:val="00C70477"/>
    <w:rsid w:val="00C742A1"/>
    <w:rsid w:val="00C74745"/>
    <w:rsid w:val="00C7571F"/>
    <w:rsid w:val="00C85119"/>
    <w:rsid w:val="00C868A9"/>
    <w:rsid w:val="00C95C48"/>
    <w:rsid w:val="00C9738B"/>
    <w:rsid w:val="00CA0C3F"/>
    <w:rsid w:val="00CA36AC"/>
    <w:rsid w:val="00CA4C3B"/>
    <w:rsid w:val="00CA5302"/>
    <w:rsid w:val="00CA7311"/>
    <w:rsid w:val="00CB2E25"/>
    <w:rsid w:val="00CC1F86"/>
    <w:rsid w:val="00CC3188"/>
    <w:rsid w:val="00CC45C7"/>
    <w:rsid w:val="00CC4E9A"/>
    <w:rsid w:val="00CC79CB"/>
    <w:rsid w:val="00CD0700"/>
    <w:rsid w:val="00CD170C"/>
    <w:rsid w:val="00CD22FA"/>
    <w:rsid w:val="00CD320B"/>
    <w:rsid w:val="00CD3F37"/>
    <w:rsid w:val="00CD5431"/>
    <w:rsid w:val="00CD692F"/>
    <w:rsid w:val="00CE165F"/>
    <w:rsid w:val="00CE4B93"/>
    <w:rsid w:val="00CE6555"/>
    <w:rsid w:val="00CF0820"/>
    <w:rsid w:val="00CF0FD8"/>
    <w:rsid w:val="00CF2491"/>
    <w:rsid w:val="00CF3963"/>
    <w:rsid w:val="00CF3F1D"/>
    <w:rsid w:val="00CF767C"/>
    <w:rsid w:val="00D031C7"/>
    <w:rsid w:val="00D04C05"/>
    <w:rsid w:val="00D1252E"/>
    <w:rsid w:val="00D1289F"/>
    <w:rsid w:val="00D13D9D"/>
    <w:rsid w:val="00D140D3"/>
    <w:rsid w:val="00D2053B"/>
    <w:rsid w:val="00D23020"/>
    <w:rsid w:val="00D31461"/>
    <w:rsid w:val="00D31A84"/>
    <w:rsid w:val="00D40703"/>
    <w:rsid w:val="00D416A3"/>
    <w:rsid w:val="00D417E9"/>
    <w:rsid w:val="00D4275E"/>
    <w:rsid w:val="00D43B2B"/>
    <w:rsid w:val="00D459A2"/>
    <w:rsid w:val="00D47C25"/>
    <w:rsid w:val="00D5177B"/>
    <w:rsid w:val="00D52ED7"/>
    <w:rsid w:val="00D530FF"/>
    <w:rsid w:val="00D53688"/>
    <w:rsid w:val="00D5407A"/>
    <w:rsid w:val="00D55195"/>
    <w:rsid w:val="00D57772"/>
    <w:rsid w:val="00D61CE6"/>
    <w:rsid w:val="00D71A91"/>
    <w:rsid w:val="00D72AE3"/>
    <w:rsid w:val="00D75A4D"/>
    <w:rsid w:val="00D76C81"/>
    <w:rsid w:val="00D82093"/>
    <w:rsid w:val="00D837F8"/>
    <w:rsid w:val="00D8478B"/>
    <w:rsid w:val="00D8535C"/>
    <w:rsid w:val="00D86151"/>
    <w:rsid w:val="00D9172D"/>
    <w:rsid w:val="00D96496"/>
    <w:rsid w:val="00D977BD"/>
    <w:rsid w:val="00D97E84"/>
    <w:rsid w:val="00DA018D"/>
    <w:rsid w:val="00DA38C9"/>
    <w:rsid w:val="00DA5641"/>
    <w:rsid w:val="00DA7595"/>
    <w:rsid w:val="00DB0A68"/>
    <w:rsid w:val="00DB56FA"/>
    <w:rsid w:val="00DB5C73"/>
    <w:rsid w:val="00DC01A6"/>
    <w:rsid w:val="00DC43A3"/>
    <w:rsid w:val="00DC4CF3"/>
    <w:rsid w:val="00DC5C01"/>
    <w:rsid w:val="00DC7C00"/>
    <w:rsid w:val="00DD2F83"/>
    <w:rsid w:val="00DD4B02"/>
    <w:rsid w:val="00DD7C09"/>
    <w:rsid w:val="00DD7FD0"/>
    <w:rsid w:val="00DE2399"/>
    <w:rsid w:val="00DE314E"/>
    <w:rsid w:val="00DF0EB4"/>
    <w:rsid w:val="00DF6D59"/>
    <w:rsid w:val="00E00B6B"/>
    <w:rsid w:val="00E01130"/>
    <w:rsid w:val="00E0124F"/>
    <w:rsid w:val="00E02A20"/>
    <w:rsid w:val="00E05B55"/>
    <w:rsid w:val="00E11D2D"/>
    <w:rsid w:val="00E21AD8"/>
    <w:rsid w:val="00E23231"/>
    <w:rsid w:val="00E27FF3"/>
    <w:rsid w:val="00E36026"/>
    <w:rsid w:val="00E3648A"/>
    <w:rsid w:val="00E423A9"/>
    <w:rsid w:val="00E4492F"/>
    <w:rsid w:val="00E52A44"/>
    <w:rsid w:val="00E5762A"/>
    <w:rsid w:val="00E65CFE"/>
    <w:rsid w:val="00E66310"/>
    <w:rsid w:val="00E674D3"/>
    <w:rsid w:val="00E70FD0"/>
    <w:rsid w:val="00E72AC7"/>
    <w:rsid w:val="00E7309D"/>
    <w:rsid w:val="00E73DC9"/>
    <w:rsid w:val="00E74A3A"/>
    <w:rsid w:val="00E77C4B"/>
    <w:rsid w:val="00E86A9B"/>
    <w:rsid w:val="00E87321"/>
    <w:rsid w:val="00E87D36"/>
    <w:rsid w:val="00E9301F"/>
    <w:rsid w:val="00E9690A"/>
    <w:rsid w:val="00E97DC7"/>
    <w:rsid w:val="00EA1D70"/>
    <w:rsid w:val="00EA29D3"/>
    <w:rsid w:val="00EB1132"/>
    <w:rsid w:val="00EB3C56"/>
    <w:rsid w:val="00EB4B4F"/>
    <w:rsid w:val="00EC7F6D"/>
    <w:rsid w:val="00ED2F1A"/>
    <w:rsid w:val="00ED349E"/>
    <w:rsid w:val="00ED362E"/>
    <w:rsid w:val="00EF3891"/>
    <w:rsid w:val="00F000EF"/>
    <w:rsid w:val="00F06EE9"/>
    <w:rsid w:val="00F070D8"/>
    <w:rsid w:val="00F07E59"/>
    <w:rsid w:val="00F12067"/>
    <w:rsid w:val="00F2504E"/>
    <w:rsid w:val="00F2585B"/>
    <w:rsid w:val="00F35ED9"/>
    <w:rsid w:val="00F4053F"/>
    <w:rsid w:val="00F46797"/>
    <w:rsid w:val="00F47F05"/>
    <w:rsid w:val="00F516E7"/>
    <w:rsid w:val="00F52D42"/>
    <w:rsid w:val="00F57BF7"/>
    <w:rsid w:val="00F6263E"/>
    <w:rsid w:val="00F627C2"/>
    <w:rsid w:val="00F72BF0"/>
    <w:rsid w:val="00F72EA6"/>
    <w:rsid w:val="00F76282"/>
    <w:rsid w:val="00F767DB"/>
    <w:rsid w:val="00F80483"/>
    <w:rsid w:val="00F805F2"/>
    <w:rsid w:val="00F84067"/>
    <w:rsid w:val="00F933E1"/>
    <w:rsid w:val="00FA1D4E"/>
    <w:rsid w:val="00FA2230"/>
    <w:rsid w:val="00FA4A4B"/>
    <w:rsid w:val="00FA50B4"/>
    <w:rsid w:val="00FB2CC6"/>
    <w:rsid w:val="00FB44E5"/>
    <w:rsid w:val="00FB6E83"/>
    <w:rsid w:val="00FC156A"/>
    <w:rsid w:val="00FC1F3D"/>
    <w:rsid w:val="00FD4A42"/>
    <w:rsid w:val="00FD6235"/>
    <w:rsid w:val="00FD6B6C"/>
    <w:rsid w:val="00FE11B7"/>
    <w:rsid w:val="00FE13D1"/>
    <w:rsid w:val="00FE1C1D"/>
    <w:rsid w:val="00FE3279"/>
    <w:rsid w:val="00FE3DE5"/>
    <w:rsid w:val="00FE468A"/>
    <w:rsid w:val="00FE58A5"/>
    <w:rsid w:val="00FF684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42640"/>
  <w15:docId w15:val="{05B616B0-2996-475F-9339-A506E7A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1">
    <w:name w:val="列出段落1"/>
    <w:basedOn w:val="Normal"/>
    <w:uiPriority w:val="34"/>
    <w:qFormat/>
    <w:rsid w:val="00402B1B"/>
    <w:pPr>
      <w:ind w:left="720"/>
    </w:pPr>
    <w:rPr>
      <w:rFonts w:cs="Angsana New"/>
    </w:rPr>
  </w:style>
  <w:style w:type="character" w:customStyle="1" w:styleId="ListParagraphChar">
    <w:name w:val="List Paragraph Char"/>
    <w:link w:val="ListParagraph"/>
    <w:uiPriority w:val="34"/>
    <w:locked/>
    <w:rsid w:val="008D2C73"/>
    <w:rPr>
      <w:rFonts w:eastAsia="BatangChe"/>
      <w:sz w:val="24"/>
      <w:szCs w:val="24"/>
    </w:rPr>
  </w:style>
  <w:style w:type="character" w:customStyle="1" w:styleId="enumlev1Char">
    <w:name w:val="enumlev1 Char"/>
    <w:basedOn w:val="DefaultParagraphFont"/>
    <w:link w:val="enumlev1"/>
    <w:qFormat/>
    <w:locked/>
    <w:rsid w:val="008D2C73"/>
    <w:rPr>
      <w:rFonts w:eastAsia="MS Mincho"/>
      <w:sz w:val="24"/>
      <w:lang w:val="en-GB"/>
    </w:rPr>
  </w:style>
  <w:style w:type="paragraph" w:customStyle="1" w:styleId="enumlev1">
    <w:name w:val="enumlev1"/>
    <w:basedOn w:val="Normal"/>
    <w:link w:val="enumlev1Char"/>
    <w:qFormat/>
    <w:rsid w:val="008D2C73"/>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character" w:styleId="FollowedHyperlink">
    <w:name w:val="FollowedHyperlink"/>
    <w:basedOn w:val="DefaultParagraphFont"/>
    <w:semiHidden/>
    <w:unhideWhenUsed/>
    <w:rsid w:val="00FF6843"/>
    <w:rPr>
      <w:color w:val="800080" w:themeColor="followedHyperlink"/>
      <w:u w:val="single"/>
    </w:rPr>
  </w:style>
  <w:style w:type="character" w:customStyle="1" w:styleId="Heading8Char">
    <w:name w:val="Heading 8 Char"/>
    <w:basedOn w:val="DefaultParagraphFont"/>
    <w:link w:val="Heading8"/>
    <w:rsid w:val="006A3E88"/>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268">
      <w:bodyDiv w:val="1"/>
      <w:marLeft w:val="0"/>
      <w:marRight w:val="0"/>
      <w:marTop w:val="0"/>
      <w:marBottom w:val="0"/>
      <w:divBdr>
        <w:top w:val="none" w:sz="0" w:space="0" w:color="auto"/>
        <w:left w:val="none" w:sz="0" w:space="0" w:color="auto"/>
        <w:bottom w:val="none" w:sz="0" w:space="0" w:color="auto"/>
        <w:right w:val="none" w:sz="0" w:space="0" w:color="auto"/>
      </w:divBdr>
    </w:div>
    <w:div w:id="225267603">
      <w:bodyDiv w:val="1"/>
      <w:marLeft w:val="0"/>
      <w:marRight w:val="0"/>
      <w:marTop w:val="0"/>
      <w:marBottom w:val="0"/>
      <w:divBdr>
        <w:top w:val="none" w:sz="0" w:space="0" w:color="auto"/>
        <w:left w:val="none" w:sz="0" w:space="0" w:color="auto"/>
        <w:bottom w:val="none" w:sz="0" w:space="0" w:color="auto"/>
        <w:right w:val="none" w:sz="0" w:space="0" w:color="auto"/>
      </w:divBdr>
    </w:div>
    <w:div w:id="275404231">
      <w:bodyDiv w:val="1"/>
      <w:marLeft w:val="0"/>
      <w:marRight w:val="0"/>
      <w:marTop w:val="0"/>
      <w:marBottom w:val="0"/>
      <w:divBdr>
        <w:top w:val="none" w:sz="0" w:space="0" w:color="auto"/>
        <w:left w:val="none" w:sz="0" w:space="0" w:color="auto"/>
        <w:bottom w:val="none" w:sz="0" w:space="0" w:color="auto"/>
        <w:right w:val="none" w:sz="0" w:space="0" w:color="auto"/>
      </w:divBdr>
    </w:div>
    <w:div w:id="297490233">
      <w:bodyDiv w:val="1"/>
      <w:marLeft w:val="0"/>
      <w:marRight w:val="0"/>
      <w:marTop w:val="0"/>
      <w:marBottom w:val="0"/>
      <w:divBdr>
        <w:top w:val="none" w:sz="0" w:space="0" w:color="auto"/>
        <w:left w:val="none" w:sz="0" w:space="0" w:color="auto"/>
        <w:bottom w:val="none" w:sz="0" w:space="0" w:color="auto"/>
        <w:right w:val="none" w:sz="0" w:space="0" w:color="auto"/>
      </w:divBdr>
    </w:div>
    <w:div w:id="303005512">
      <w:bodyDiv w:val="1"/>
      <w:marLeft w:val="0"/>
      <w:marRight w:val="0"/>
      <w:marTop w:val="0"/>
      <w:marBottom w:val="0"/>
      <w:divBdr>
        <w:top w:val="none" w:sz="0" w:space="0" w:color="auto"/>
        <w:left w:val="none" w:sz="0" w:space="0" w:color="auto"/>
        <w:bottom w:val="none" w:sz="0" w:space="0" w:color="auto"/>
        <w:right w:val="none" w:sz="0" w:space="0" w:color="auto"/>
      </w:divBdr>
    </w:div>
    <w:div w:id="386222275">
      <w:bodyDiv w:val="1"/>
      <w:marLeft w:val="0"/>
      <w:marRight w:val="0"/>
      <w:marTop w:val="0"/>
      <w:marBottom w:val="0"/>
      <w:divBdr>
        <w:top w:val="none" w:sz="0" w:space="0" w:color="auto"/>
        <w:left w:val="none" w:sz="0" w:space="0" w:color="auto"/>
        <w:bottom w:val="none" w:sz="0" w:space="0" w:color="auto"/>
        <w:right w:val="none" w:sz="0" w:space="0" w:color="auto"/>
      </w:divBdr>
    </w:div>
    <w:div w:id="636683370">
      <w:bodyDiv w:val="1"/>
      <w:marLeft w:val="0"/>
      <w:marRight w:val="0"/>
      <w:marTop w:val="0"/>
      <w:marBottom w:val="0"/>
      <w:divBdr>
        <w:top w:val="none" w:sz="0" w:space="0" w:color="auto"/>
        <w:left w:val="none" w:sz="0" w:space="0" w:color="auto"/>
        <w:bottom w:val="none" w:sz="0" w:space="0" w:color="auto"/>
        <w:right w:val="none" w:sz="0" w:space="0" w:color="auto"/>
      </w:divBdr>
    </w:div>
    <w:div w:id="774787490">
      <w:bodyDiv w:val="1"/>
      <w:marLeft w:val="0"/>
      <w:marRight w:val="0"/>
      <w:marTop w:val="0"/>
      <w:marBottom w:val="0"/>
      <w:divBdr>
        <w:top w:val="none" w:sz="0" w:space="0" w:color="auto"/>
        <w:left w:val="none" w:sz="0" w:space="0" w:color="auto"/>
        <w:bottom w:val="none" w:sz="0" w:space="0" w:color="auto"/>
        <w:right w:val="none" w:sz="0" w:space="0" w:color="auto"/>
      </w:divBdr>
    </w:div>
    <w:div w:id="830020755">
      <w:bodyDiv w:val="1"/>
      <w:marLeft w:val="0"/>
      <w:marRight w:val="0"/>
      <w:marTop w:val="0"/>
      <w:marBottom w:val="0"/>
      <w:divBdr>
        <w:top w:val="none" w:sz="0" w:space="0" w:color="auto"/>
        <w:left w:val="none" w:sz="0" w:space="0" w:color="auto"/>
        <w:bottom w:val="none" w:sz="0" w:space="0" w:color="auto"/>
        <w:right w:val="none" w:sz="0" w:space="0" w:color="auto"/>
      </w:divBdr>
    </w:div>
    <w:div w:id="1029528949">
      <w:bodyDiv w:val="1"/>
      <w:marLeft w:val="0"/>
      <w:marRight w:val="0"/>
      <w:marTop w:val="0"/>
      <w:marBottom w:val="0"/>
      <w:divBdr>
        <w:top w:val="none" w:sz="0" w:space="0" w:color="auto"/>
        <w:left w:val="none" w:sz="0" w:space="0" w:color="auto"/>
        <w:bottom w:val="none" w:sz="0" w:space="0" w:color="auto"/>
        <w:right w:val="none" w:sz="0" w:space="0" w:color="auto"/>
      </w:divBdr>
    </w:div>
    <w:div w:id="1059937633">
      <w:bodyDiv w:val="1"/>
      <w:marLeft w:val="0"/>
      <w:marRight w:val="0"/>
      <w:marTop w:val="0"/>
      <w:marBottom w:val="0"/>
      <w:divBdr>
        <w:top w:val="none" w:sz="0" w:space="0" w:color="auto"/>
        <w:left w:val="none" w:sz="0" w:space="0" w:color="auto"/>
        <w:bottom w:val="none" w:sz="0" w:space="0" w:color="auto"/>
        <w:right w:val="none" w:sz="0" w:space="0" w:color="auto"/>
      </w:divBdr>
    </w:div>
    <w:div w:id="109471401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7290431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631">
      <w:bodyDiv w:val="1"/>
      <w:marLeft w:val="0"/>
      <w:marRight w:val="0"/>
      <w:marTop w:val="0"/>
      <w:marBottom w:val="0"/>
      <w:divBdr>
        <w:top w:val="none" w:sz="0" w:space="0" w:color="auto"/>
        <w:left w:val="none" w:sz="0" w:space="0" w:color="auto"/>
        <w:bottom w:val="none" w:sz="0" w:space="0" w:color="auto"/>
        <w:right w:val="none" w:sz="0" w:space="0" w:color="auto"/>
      </w:divBdr>
    </w:div>
    <w:div w:id="19599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dms_pub/itu-r/md/15/wp5a/c/R15-WP5A-C-0976!N22!MSW-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9AA1-A795-4C13-A161-7F87DB56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14243</Characters>
  <Application>Microsoft Office Word</Application>
  <DocSecurity>0</DocSecurity>
  <Lines>118</Lines>
  <Paragraphs>33</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2015-02-02T04:28:00Z</cp:lastPrinted>
  <dcterms:created xsi:type="dcterms:W3CDTF">2019-01-14T08:29:00Z</dcterms:created>
  <dcterms:modified xsi:type="dcterms:W3CDTF">2019-01-14T08:29:00Z</dcterms:modified>
</cp:coreProperties>
</file>