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BB1F77" w:rsidRPr="00BB1F77" w:rsidTr="00214505">
        <w:trPr>
          <w:cantSplit/>
          <w:trHeight w:val="288"/>
        </w:trPr>
        <w:tc>
          <w:tcPr>
            <w:tcW w:w="1399" w:type="dxa"/>
            <w:vMerge w:val="restart"/>
          </w:tcPr>
          <w:p w:rsidR="00BB1F77" w:rsidRPr="00BB1F77" w:rsidRDefault="00BB1F77" w:rsidP="00BB1F77">
            <w:pPr>
              <w:widowControl w:val="0"/>
              <w:wordWrap w:val="0"/>
              <w:jc w:val="both"/>
              <w:rPr>
                <w:rFonts w:cs="Times New Roman"/>
                <w:kern w:val="2"/>
                <w:lang w:eastAsia="ko-KR"/>
              </w:rPr>
            </w:pPr>
            <w:r w:rsidRPr="00BB1F77">
              <w:rPr>
                <w:rFonts w:cs="Times New Roman"/>
                <w:noProof/>
                <w:kern w:val="2"/>
              </w:rPr>
              <w:drawing>
                <wp:inline distT="0" distB="0" distL="0" distR="0" wp14:anchorId="3DD2D108" wp14:editId="5BA9E4D7">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rsidR="00BB1F77" w:rsidRPr="00BB1F77" w:rsidRDefault="00BB1F77" w:rsidP="00BB1F77">
            <w:pPr>
              <w:spacing w:before="40"/>
              <w:rPr>
                <w:rFonts w:cs="Times New Roman"/>
                <w:sz w:val="22"/>
                <w:szCs w:val="22"/>
              </w:rPr>
            </w:pPr>
            <w:r w:rsidRPr="00BB1F77">
              <w:rPr>
                <w:rFonts w:cs="Times New Roman"/>
                <w:sz w:val="22"/>
                <w:szCs w:val="22"/>
              </w:rPr>
              <w:t>ASIA-PACIFIC TELECOMMUNITY</w:t>
            </w:r>
          </w:p>
        </w:tc>
        <w:tc>
          <w:tcPr>
            <w:tcW w:w="2160" w:type="dxa"/>
          </w:tcPr>
          <w:p w:rsidR="00BB1F77" w:rsidRPr="00BB1F77" w:rsidRDefault="00BB1F77" w:rsidP="00BB1F77">
            <w:pPr>
              <w:keepNext/>
              <w:widowControl w:val="0"/>
              <w:wordWrap w:val="0"/>
              <w:spacing w:before="40"/>
              <w:jc w:val="both"/>
              <w:outlineLvl w:val="7"/>
              <w:rPr>
                <w:rFonts w:cs="Times New Roman"/>
                <w:b/>
                <w:bCs/>
                <w:kern w:val="2"/>
                <w:lang w:eastAsia="ko-KR"/>
              </w:rPr>
            </w:pPr>
            <w:r w:rsidRPr="00BB1F77">
              <w:rPr>
                <w:rFonts w:cs="Times New Roman"/>
                <w:b/>
                <w:bCs/>
                <w:kern w:val="2"/>
                <w:lang w:eastAsia="ko-KR"/>
              </w:rPr>
              <w:t>Document No:</w:t>
            </w:r>
          </w:p>
        </w:tc>
      </w:tr>
      <w:tr w:rsidR="00BB1F77" w:rsidRPr="00BB1F77" w:rsidTr="00214505">
        <w:trPr>
          <w:cantSplit/>
          <w:trHeight w:val="504"/>
        </w:trPr>
        <w:tc>
          <w:tcPr>
            <w:tcW w:w="1399" w:type="dxa"/>
            <w:vMerge/>
          </w:tcPr>
          <w:p w:rsidR="00BB1F77" w:rsidRPr="00BB1F77" w:rsidRDefault="00BB1F77" w:rsidP="00BB1F77">
            <w:pPr>
              <w:rPr>
                <w:rFonts w:cs="Times New Roman"/>
              </w:rPr>
            </w:pPr>
          </w:p>
        </w:tc>
        <w:tc>
          <w:tcPr>
            <w:tcW w:w="5760" w:type="dxa"/>
            <w:vAlign w:val="center"/>
          </w:tcPr>
          <w:p w:rsidR="00BB1F77" w:rsidRPr="00BB1F77" w:rsidRDefault="00BB1F77" w:rsidP="00BB1F77">
            <w:pPr>
              <w:spacing w:before="40"/>
              <w:rPr>
                <w:rFonts w:cs="Times New Roman"/>
                <w:b/>
              </w:rPr>
            </w:pPr>
            <w:r w:rsidRPr="00BB1F77">
              <w:rPr>
                <w:rFonts w:cs="Times New Roman"/>
                <w:b/>
              </w:rPr>
              <w:t>The 4th Meeting of the APT Conference Preparatory</w:t>
            </w:r>
          </w:p>
          <w:p w:rsidR="00BB1F77" w:rsidRPr="00BB1F77" w:rsidRDefault="00BB1F77" w:rsidP="00BB1F77">
            <w:pPr>
              <w:spacing w:line="0" w:lineRule="atLeast"/>
              <w:rPr>
                <w:rFonts w:cs="Times New Roman"/>
              </w:rPr>
            </w:pPr>
            <w:r w:rsidRPr="00BB1F77">
              <w:rPr>
                <w:rFonts w:cs="Times New Roman"/>
                <w:b/>
              </w:rPr>
              <w:t>Group for WRC-19 (APG19-4)</w:t>
            </w:r>
          </w:p>
        </w:tc>
        <w:tc>
          <w:tcPr>
            <w:tcW w:w="2160" w:type="dxa"/>
          </w:tcPr>
          <w:p w:rsidR="00BB1F77" w:rsidRPr="00BB1F77" w:rsidRDefault="00BB1F77" w:rsidP="00BB1F77">
            <w:pPr>
              <w:spacing w:before="40"/>
              <w:rPr>
                <w:rFonts w:cs="Times New Roman"/>
                <w:b/>
                <w:bCs/>
                <w:lang w:val="fr-FR"/>
              </w:rPr>
            </w:pPr>
            <w:r w:rsidRPr="00BB1F77">
              <w:rPr>
                <w:rFonts w:cs="Times New Roman"/>
                <w:b/>
                <w:bCs/>
                <w:lang w:val="fr-FR"/>
              </w:rPr>
              <w:t>AP</w:t>
            </w:r>
            <w:r>
              <w:rPr>
                <w:rFonts w:cs="Times New Roman"/>
                <w:b/>
                <w:bCs/>
                <w:lang w:val="fr-FR"/>
              </w:rPr>
              <w:t>G19-4/OUT-09</w:t>
            </w:r>
          </w:p>
          <w:p w:rsidR="00BB1F77" w:rsidRPr="00BB1F77" w:rsidRDefault="00BB1F77" w:rsidP="00BB1F77">
            <w:pPr>
              <w:rPr>
                <w:rFonts w:cs="Times New Roman"/>
                <w:b/>
                <w:bCs/>
                <w:lang w:val="en-GB"/>
              </w:rPr>
            </w:pPr>
          </w:p>
        </w:tc>
      </w:tr>
      <w:tr w:rsidR="00BB1F77" w:rsidRPr="00BB1F77" w:rsidTr="00214505">
        <w:trPr>
          <w:cantSplit/>
          <w:trHeight w:val="288"/>
        </w:trPr>
        <w:tc>
          <w:tcPr>
            <w:tcW w:w="1399" w:type="dxa"/>
            <w:vMerge/>
          </w:tcPr>
          <w:p w:rsidR="00BB1F77" w:rsidRPr="00BB1F77" w:rsidRDefault="00BB1F77" w:rsidP="00BB1F77">
            <w:pPr>
              <w:rPr>
                <w:rFonts w:cs="Times New Roman"/>
                <w:lang w:val="en-GB"/>
              </w:rPr>
            </w:pPr>
          </w:p>
        </w:tc>
        <w:tc>
          <w:tcPr>
            <w:tcW w:w="5760" w:type="dxa"/>
            <w:vAlign w:val="bottom"/>
          </w:tcPr>
          <w:p w:rsidR="00BB1F77" w:rsidRPr="00BB1F77" w:rsidRDefault="00BB1F77" w:rsidP="00BB1F77">
            <w:pPr>
              <w:spacing w:before="40"/>
              <w:rPr>
                <w:rFonts w:cs="Times New Roman"/>
                <w:b/>
              </w:rPr>
            </w:pPr>
            <w:r w:rsidRPr="00BB1F77">
              <w:rPr>
                <w:rFonts w:cs="Times New Roman"/>
              </w:rPr>
              <w:t>7 – 12 January 2019, Busan, Republic of Korea</w:t>
            </w:r>
          </w:p>
        </w:tc>
        <w:tc>
          <w:tcPr>
            <w:tcW w:w="2160" w:type="dxa"/>
            <w:vAlign w:val="bottom"/>
          </w:tcPr>
          <w:p w:rsidR="00BB1F77" w:rsidRPr="00BB1F77" w:rsidRDefault="00BB1F77" w:rsidP="00BB1F77">
            <w:pPr>
              <w:spacing w:before="40"/>
              <w:rPr>
                <w:rFonts w:cs="Times New Roman"/>
                <w:bCs/>
              </w:rPr>
            </w:pPr>
            <w:r w:rsidRPr="00BB1F77">
              <w:rPr>
                <w:rFonts w:cs="Times New Roman"/>
                <w:bCs/>
              </w:rPr>
              <w:t>12 January 2019</w:t>
            </w:r>
          </w:p>
        </w:tc>
      </w:tr>
    </w:tbl>
    <w:p w:rsidR="00A95CC3" w:rsidRPr="00BF7F00" w:rsidRDefault="00A95CC3" w:rsidP="00A95CC3">
      <w:pPr>
        <w:jc w:val="center"/>
        <w:rPr>
          <w:rFonts w:cs="Times New Roman"/>
          <w:b/>
          <w:lang w:val="en-NZ"/>
        </w:rPr>
      </w:pPr>
    </w:p>
    <w:p w:rsidR="00736F20" w:rsidRPr="00BF7F00" w:rsidRDefault="00736F20" w:rsidP="00736F20">
      <w:pPr>
        <w:jc w:val="center"/>
        <w:rPr>
          <w:lang w:val="en-NZ"/>
        </w:rPr>
      </w:pPr>
    </w:p>
    <w:p w:rsidR="00736F20" w:rsidRPr="00BF7F00" w:rsidRDefault="00736F20" w:rsidP="00736F20">
      <w:pPr>
        <w:jc w:val="center"/>
        <w:rPr>
          <w:lang w:val="en-NZ" w:eastAsia="ko-KR"/>
        </w:rPr>
      </w:pPr>
      <w:r w:rsidRPr="00BF7F00">
        <w:rPr>
          <w:lang w:val="en-NZ" w:eastAsia="ko-KR"/>
        </w:rPr>
        <w:t>Working Party 5</w:t>
      </w:r>
    </w:p>
    <w:p w:rsidR="00736F20" w:rsidRPr="00BF7F00" w:rsidRDefault="00736F20" w:rsidP="00736F20">
      <w:pPr>
        <w:jc w:val="center"/>
        <w:rPr>
          <w:bCs/>
          <w:caps/>
          <w:lang w:val="en-NZ"/>
        </w:rPr>
      </w:pPr>
    </w:p>
    <w:p w:rsidR="00736F20" w:rsidRPr="00BF7F00" w:rsidRDefault="00736F20" w:rsidP="00736F20">
      <w:pPr>
        <w:jc w:val="center"/>
        <w:rPr>
          <w:b/>
          <w:bCs/>
          <w:caps/>
          <w:lang w:val="en-NZ"/>
        </w:rPr>
      </w:pPr>
      <w:r w:rsidRPr="00BF7F00">
        <w:rPr>
          <w:b/>
          <w:bCs/>
          <w:caps/>
          <w:lang w:val="en-NZ"/>
        </w:rPr>
        <w:t>PRELIMINARY VIEWs on WRC-19 agenda item 1.9.2</w:t>
      </w:r>
    </w:p>
    <w:p w:rsidR="00204B85" w:rsidRDefault="00204B85" w:rsidP="00D100BF">
      <w:pPr>
        <w:rPr>
          <w:lang w:val="en-NZ"/>
        </w:rPr>
      </w:pPr>
    </w:p>
    <w:p w:rsidR="00D66BD8" w:rsidRPr="00BF7F00" w:rsidRDefault="00D66BD8" w:rsidP="00D100BF">
      <w:pPr>
        <w:rPr>
          <w:lang w:val="en-NZ"/>
        </w:rPr>
      </w:pPr>
    </w:p>
    <w:p w:rsidR="00736F20" w:rsidRPr="00BF7F00" w:rsidRDefault="00736F20" w:rsidP="00736F20">
      <w:pPr>
        <w:spacing w:after="120"/>
        <w:jc w:val="both"/>
        <w:rPr>
          <w:lang w:val="en-NZ"/>
        </w:rPr>
      </w:pPr>
      <w:r w:rsidRPr="00BF7F00">
        <w:rPr>
          <w:b/>
          <w:lang w:val="en-NZ"/>
        </w:rPr>
        <w:t xml:space="preserve">Agenda Item 1.9.2: </w:t>
      </w:r>
    </w:p>
    <w:p w:rsidR="00736F20" w:rsidRPr="00BF7F00" w:rsidRDefault="00736F20" w:rsidP="00736F20">
      <w:pPr>
        <w:rPr>
          <w:i/>
        </w:rPr>
      </w:pPr>
      <w:r w:rsidRPr="00BF7F00">
        <w:rPr>
          <w:i/>
        </w:rPr>
        <w:t>1.9</w:t>
      </w:r>
      <w:r w:rsidRPr="00BF7F00">
        <w:rPr>
          <w:i/>
        </w:rPr>
        <w:tab/>
      </w:r>
      <w:r w:rsidRPr="00BF7F00">
        <w:rPr>
          <w:i/>
          <w:lang w:eastAsia="nl-NL"/>
        </w:rPr>
        <w:t>to consider, based on the results of ITU</w:t>
      </w:r>
      <w:r w:rsidRPr="00BF7F00">
        <w:rPr>
          <w:i/>
          <w:lang w:eastAsia="nl-NL"/>
        </w:rPr>
        <w:noBreakHyphen/>
        <w:t>R studies:</w:t>
      </w:r>
    </w:p>
    <w:p w:rsidR="00736F20" w:rsidRPr="00BF7F00" w:rsidRDefault="00736F20" w:rsidP="002D0241">
      <w:pPr>
        <w:jc w:val="both"/>
        <w:rPr>
          <w:i/>
        </w:rPr>
      </w:pPr>
      <w:r w:rsidRPr="00BF7F00">
        <w:rPr>
          <w:i/>
        </w:rPr>
        <w:t>1.9.2</w:t>
      </w:r>
      <w:r w:rsidRPr="00BF7F00">
        <w:rPr>
          <w:i/>
        </w:rPr>
        <w:tab/>
      </w:r>
      <w:r w:rsidRPr="00BF7F00">
        <w:rPr>
          <w:i/>
          <w:lang w:eastAsia="nl-NL"/>
        </w:rPr>
        <w:t>modifications of the Radio Regulations, including new spectrum allocations to the maritime mobile-satellite service (Earth</w:t>
      </w:r>
      <w:r w:rsidRPr="00BF7F00">
        <w:rPr>
          <w:i/>
          <w:lang w:eastAsia="nl-NL"/>
        </w:rPr>
        <w:noBreakHyphen/>
        <w:t>to</w:t>
      </w:r>
      <w:r w:rsidRPr="00BF7F00">
        <w:rPr>
          <w:i/>
          <w:lang w:eastAsia="nl-NL"/>
        </w:rPr>
        <w:noBreakHyphen/>
        <w:t xml:space="preserve">space and space-to-Earth), preferably within the frequency bands </w:t>
      </w:r>
      <w:r w:rsidRPr="00BF7F00">
        <w:rPr>
          <w:i/>
        </w:rPr>
        <w:t>156.0125-157.4375 MHz and 160.6125-162.0375 MHz</w:t>
      </w:r>
      <w:r w:rsidRPr="00BF7F00">
        <w:rPr>
          <w:i/>
          <w:lang w:eastAsia="nl-NL"/>
        </w:rPr>
        <w:t xml:space="preserve"> of Appendix</w:t>
      </w:r>
      <w:r w:rsidRPr="00BF7F00">
        <w:rPr>
          <w:i/>
        </w:rPr>
        <w:t> </w:t>
      </w:r>
      <w:r w:rsidRPr="00BF7F00">
        <w:rPr>
          <w:b/>
          <w:bCs/>
          <w:i/>
          <w:lang w:eastAsia="nl-NL"/>
        </w:rPr>
        <w:t>18</w:t>
      </w:r>
      <w:r w:rsidRPr="00BF7F00">
        <w:rPr>
          <w:i/>
          <w:lang w:eastAsia="nl-NL"/>
        </w:rPr>
        <w:t>, to enable</w:t>
      </w:r>
      <w:r w:rsidRPr="00BF7F00">
        <w:rPr>
          <w:i/>
        </w:rPr>
        <w:t xml:space="preserve"> a new VHF data exchange system (VDES) satellite component</w:t>
      </w:r>
      <w:r w:rsidRPr="00BF7F00">
        <w:rPr>
          <w:i/>
          <w:lang w:eastAsia="nl-NL"/>
        </w:rPr>
        <w:t>, while ensuring that this component will not degrade the c</w:t>
      </w:r>
      <w:bookmarkStart w:id="0" w:name="_GoBack"/>
      <w:bookmarkEnd w:id="0"/>
      <w:r w:rsidRPr="00BF7F00">
        <w:rPr>
          <w:i/>
          <w:lang w:eastAsia="nl-NL"/>
        </w:rPr>
        <w:t xml:space="preserve">urrent terrestrial VDES components, applications specific messages (ASM) and AIS operations and </w:t>
      </w:r>
      <w:r w:rsidRPr="00BF7F00">
        <w:rPr>
          <w:i/>
        </w:rPr>
        <w:t xml:space="preserve">not impose any additional constraints on existing services in these and adjacent frequency bands as stated in recognizing d) and e) </w:t>
      </w:r>
      <w:r w:rsidRPr="00BF7F00">
        <w:rPr>
          <w:i/>
          <w:iCs/>
        </w:rPr>
        <w:t>of Resolution </w:t>
      </w:r>
      <w:r w:rsidRPr="00BF7F00">
        <w:rPr>
          <w:b/>
          <w:bCs/>
          <w:i/>
          <w:iCs/>
        </w:rPr>
        <w:t>360</w:t>
      </w:r>
      <w:r w:rsidRPr="00BF7F00">
        <w:rPr>
          <w:i/>
          <w:iCs/>
        </w:rPr>
        <w:t xml:space="preserve"> (</w:t>
      </w:r>
      <w:r w:rsidRPr="00BF7F00">
        <w:rPr>
          <w:b/>
          <w:bCs/>
          <w:i/>
          <w:iCs/>
        </w:rPr>
        <w:t>Rev.WRC</w:t>
      </w:r>
      <w:r w:rsidRPr="00BF7F00">
        <w:rPr>
          <w:b/>
          <w:bCs/>
          <w:i/>
          <w:iCs/>
        </w:rPr>
        <w:noBreakHyphen/>
        <w:t>15</w:t>
      </w:r>
      <w:r w:rsidRPr="00BF7F00">
        <w:rPr>
          <w:i/>
          <w:iCs/>
        </w:rPr>
        <w:t>)</w:t>
      </w:r>
      <w:r w:rsidRPr="00BF7F00">
        <w:rPr>
          <w:i/>
        </w:rPr>
        <w:t>;</w:t>
      </w:r>
    </w:p>
    <w:p w:rsidR="00736F20" w:rsidRPr="00BF7F00" w:rsidRDefault="00736F20" w:rsidP="00736F20">
      <w:pPr>
        <w:jc w:val="both"/>
        <w:rPr>
          <w:lang w:val="en-NZ"/>
        </w:rPr>
      </w:pPr>
    </w:p>
    <w:p w:rsidR="00736F20" w:rsidRPr="00BF7F00" w:rsidRDefault="00736F20" w:rsidP="00736F20">
      <w:pPr>
        <w:spacing w:after="120"/>
        <w:jc w:val="both"/>
        <w:rPr>
          <w:b/>
          <w:lang w:val="en-NZ" w:eastAsia="ko-KR"/>
        </w:rPr>
      </w:pPr>
      <w:r w:rsidRPr="00BF7F00">
        <w:rPr>
          <w:b/>
          <w:lang w:val="en-NZ" w:eastAsia="ko-KR"/>
        </w:rPr>
        <w:t>1.</w:t>
      </w:r>
      <w:r w:rsidRPr="00BF7F00">
        <w:rPr>
          <w:b/>
          <w:lang w:val="en-NZ" w:eastAsia="ko-KR"/>
        </w:rPr>
        <w:tab/>
        <w:t>Background</w:t>
      </w:r>
    </w:p>
    <w:p w:rsidR="00857913" w:rsidRPr="00BF7F00" w:rsidRDefault="00857913" w:rsidP="00857913">
      <w:pPr>
        <w:spacing w:after="120"/>
        <w:jc w:val="both"/>
        <w:rPr>
          <w:rFonts w:eastAsiaTheme="minorEastAsia"/>
          <w:b/>
          <w:lang w:val="en-NZ" w:eastAsia="zh-CN"/>
        </w:rPr>
      </w:pPr>
      <w:r w:rsidRPr="00BF7F00">
        <w:rPr>
          <w:rFonts w:eastAsiaTheme="minorEastAsia" w:hint="eastAsia"/>
          <w:b/>
          <w:lang w:val="en-NZ" w:eastAsia="zh-CN"/>
        </w:rPr>
        <w:t>1</w:t>
      </w:r>
      <w:r w:rsidRPr="00BF7F00">
        <w:rPr>
          <w:rFonts w:eastAsiaTheme="minorEastAsia"/>
          <w:b/>
          <w:lang w:val="en-NZ" w:eastAsia="zh-CN"/>
        </w:rPr>
        <w:t>.1</w:t>
      </w:r>
      <w:r w:rsidRPr="00BF7F00">
        <w:rPr>
          <w:rFonts w:eastAsiaTheme="minorEastAsia"/>
          <w:b/>
          <w:lang w:val="en-NZ" w:eastAsia="zh-CN"/>
        </w:rPr>
        <w:tab/>
        <w:t>Introduction</w:t>
      </w:r>
    </w:p>
    <w:p w:rsidR="00736F20" w:rsidRPr="00BF7F00" w:rsidRDefault="00736F20" w:rsidP="00736F20">
      <w:pPr>
        <w:spacing w:afterLines="50" w:after="120"/>
        <w:rPr>
          <w:lang w:eastAsia="ru-RU"/>
        </w:rPr>
      </w:pPr>
      <w:r w:rsidRPr="00BF7F00">
        <w:rPr>
          <w:lang w:eastAsia="ru-RU"/>
        </w:rPr>
        <w:t>The studies associated with WRC-15 AI 1.16 resulted in elaboration of a concept for the VHF data exchange system (VDES) reflected in Recommendation ITU-R M.2092-0. The system combines the current Automatic Identification System (AIS), applications specific messages (ASM) as well as data exchange terres</w:t>
      </w:r>
      <w:r w:rsidR="00860CA0" w:rsidRPr="00BF7F00">
        <w:rPr>
          <w:lang w:eastAsia="ru-RU"/>
        </w:rPr>
        <w:t>trial and satellite components.</w:t>
      </w:r>
    </w:p>
    <w:p w:rsidR="00736F20" w:rsidRPr="00BF7F00" w:rsidRDefault="00736F20" w:rsidP="00736F20">
      <w:pPr>
        <w:spacing w:afterLines="50" w:after="120"/>
        <w:rPr>
          <w:lang w:eastAsia="ru-RU"/>
        </w:rPr>
      </w:pPr>
      <w:r w:rsidRPr="00BF7F00">
        <w:rPr>
          <w:lang w:eastAsia="ru-RU"/>
        </w:rPr>
        <w:t>During WRC-15 no allocations were made to VDES satellite component since the compatibility studies with the incumbent services in the frequency bands assumed for operation of VDES satellite component and in the adjacent f</w:t>
      </w:r>
      <w:r w:rsidR="00860CA0" w:rsidRPr="00BF7F00">
        <w:rPr>
          <w:lang w:eastAsia="ru-RU"/>
        </w:rPr>
        <w:t>requency bands were incomplete.</w:t>
      </w:r>
    </w:p>
    <w:p w:rsidR="0007588C" w:rsidRPr="00BF7F00" w:rsidRDefault="0007588C" w:rsidP="00D85CC8">
      <w:pPr>
        <w:spacing w:afterLines="50" w:after="120"/>
        <w:rPr>
          <w:lang w:eastAsia="ru-RU"/>
        </w:rPr>
      </w:pPr>
      <w:r w:rsidRPr="00BF7F00">
        <w:rPr>
          <w:lang w:eastAsia="ru-RU"/>
        </w:rPr>
        <w:t>For the preparation for WRC-19, ITU-R</w:t>
      </w:r>
      <w:r w:rsidR="0044088D" w:rsidRPr="00BF7F00">
        <w:rPr>
          <w:lang w:eastAsia="ru-RU"/>
        </w:rPr>
        <w:t xml:space="preserve"> WP 5B</w:t>
      </w:r>
      <w:r w:rsidRPr="00BF7F00">
        <w:rPr>
          <w:lang w:eastAsia="ru-RU"/>
        </w:rPr>
        <w:t xml:space="preserve"> was invited to conduct studies to identify the spectrum need of VDES satellite components (VDE-SAT), and also the sharing and compatibility studies between VDE-SAT and incumbent services in the same and adjacent frequency bands specified in </w:t>
      </w:r>
      <w:r w:rsidRPr="00BF7F00">
        <w:rPr>
          <w:i/>
          <w:lang w:eastAsia="ru-RU"/>
        </w:rPr>
        <w:t>recognizing d)</w:t>
      </w:r>
      <w:r w:rsidRPr="00BF7F00">
        <w:rPr>
          <w:lang w:eastAsia="ru-RU"/>
        </w:rPr>
        <w:t xml:space="preserve"> and </w:t>
      </w:r>
      <w:r w:rsidRPr="00BF7F00">
        <w:rPr>
          <w:i/>
          <w:lang w:eastAsia="ru-RU"/>
        </w:rPr>
        <w:t>e)</w:t>
      </w:r>
      <w:r w:rsidRPr="00BF7F00">
        <w:rPr>
          <w:lang w:eastAsia="ru-RU"/>
        </w:rPr>
        <w:t xml:space="preserve"> of ITU-R </w:t>
      </w:r>
      <w:r w:rsidR="00D63230" w:rsidRPr="00BF7F00">
        <w:t xml:space="preserve">Resolution </w:t>
      </w:r>
      <w:r w:rsidR="00D63230" w:rsidRPr="00BF7F00">
        <w:rPr>
          <w:b/>
          <w:bCs/>
        </w:rPr>
        <w:t>360 (Rev. WRC-15)</w:t>
      </w:r>
      <w:r w:rsidR="00D63230" w:rsidRPr="00BF7F00">
        <w:rPr>
          <w:lang w:eastAsia="ru-RU"/>
        </w:rPr>
        <w:t>.</w:t>
      </w:r>
    </w:p>
    <w:p w:rsidR="0007588C" w:rsidRPr="00BF7F00" w:rsidRDefault="0007588C" w:rsidP="00D85CC8">
      <w:pPr>
        <w:spacing w:afterLines="50" w:after="120"/>
        <w:rPr>
          <w:lang w:eastAsia="ru-RU"/>
        </w:rPr>
      </w:pPr>
      <w:r w:rsidRPr="00BF7F00">
        <w:rPr>
          <w:lang w:eastAsia="ru-RU"/>
        </w:rPr>
        <w:t xml:space="preserve">Some incumbent services should be considered in the sharing studies, including land mobile service and maritime mobile service, which are widely used in global basis. It was also recognized that the radiolocation service and space operation service operated in the frequency bands 154-156 MHz and 163-167 MHz within the territory of a number of countries, including some APT countries, in accordance with RR No. </w:t>
      </w:r>
      <w:r w:rsidRPr="00BF7F00">
        <w:rPr>
          <w:b/>
          <w:lang w:eastAsia="ru-RU"/>
        </w:rPr>
        <w:t>5. 225A</w:t>
      </w:r>
      <w:r w:rsidRPr="00BF7F00">
        <w:rPr>
          <w:lang w:eastAsia="ru-RU"/>
        </w:rPr>
        <w:t xml:space="preserve"> and </w:t>
      </w:r>
      <w:r w:rsidRPr="00BF7F00">
        <w:rPr>
          <w:b/>
          <w:lang w:eastAsia="ru-RU"/>
        </w:rPr>
        <w:t>5.230</w:t>
      </w:r>
      <w:r w:rsidRPr="00BF7F00">
        <w:rPr>
          <w:lang w:eastAsia="ru-RU"/>
        </w:rPr>
        <w:t>. The nearest frequency bands allocated to the radio astronomy service (RAS) should also be protected.</w:t>
      </w:r>
    </w:p>
    <w:p w:rsidR="00857913" w:rsidRPr="00BF7F00" w:rsidRDefault="00857913" w:rsidP="00857913">
      <w:pPr>
        <w:spacing w:after="120"/>
        <w:jc w:val="both"/>
        <w:rPr>
          <w:rFonts w:eastAsiaTheme="minorEastAsia"/>
          <w:b/>
          <w:lang w:val="en-NZ" w:eastAsia="zh-CN"/>
        </w:rPr>
      </w:pPr>
      <w:r w:rsidRPr="00BF7F00">
        <w:rPr>
          <w:rFonts w:eastAsiaTheme="minorEastAsia" w:hint="eastAsia"/>
          <w:b/>
          <w:lang w:val="en-NZ" w:eastAsia="zh-CN"/>
        </w:rPr>
        <w:t>1</w:t>
      </w:r>
      <w:r w:rsidRPr="00BF7F00">
        <w:rPr>
          <w:rFonts w:eastAsiaTheme="minorEastAsia"/>
          <w:b/>
          <w:lang w:val="en-NZ" w:eastAsia="zh-CN"/>
        </w:rPr>
        <w:t>.2</w:t>
      </w:r>
      <w:r w:rsidRPr="00BF7F00">
        <w:rPr>
          <w:rFonts w:eastAsiaTheme="minorEastAsia"/>
          <w:b/>
          <w:lang w:val="en-NZ" w:eastAsia="zh-CN"/>
        </w:rPr>
        <w:tab/>
      </w:r>
      <w:r w:rsidR="00D85CC8" w:rsidRPr="00BF7F00">
        <w:rPr>
          <w:rFonts w:eastAsiaTheme="minorEastAsia"/>
          <w:b/>
          <w:lang w:val="en-NZ" w:eastAsia="zh-CN"/>
        </w:rPr>
        <w:t>Study progress in ITU-R WP 5B</w:t>
      </w:r>
    </w:p>
    <w:p w:rsidR="00D85CC8" w:rsidRPr="00BF7F00" w:rsidRDefault="00D85CC8" w:rsidP="00D85CC8">
      <w:pPr>
        <w:spacing w:after="120"/>
        <w:jc w:val="both"/>
        <w:rPr>
          <w:rFonts w:eastAsiaTheme="minorEastAsia"/>
          <w:b/>
          <w:lang w:val="en-NZ" w:eastAsia="zh-CN"/>
        </w:rPr>
      </w:pPr>
      <w:r w:rsidRPr="00BF7F00">
        <w:rPr>
          <w:rFonts w:eastAsiaTheme="minorEastAsia" w:hint="eastAsia"/>
          <w:b/>
          <w:lang w:val="en-NZ" w:eastAsia="zh-CN"/>
        </w:rPr>
        <w:t>1</w:t>
      </w:r>
      <w:r w:rsidRPr="00BF7F00">
        <w:rPr>
          <w:rFonts w:eastAsiaTheme="minorEastAsia"/>
          <w:b/>
          <w:lang w:val="en-NZ" w:eastAsia="zh-CN"/>
        </w:rPr>
        <w:t>.2.1</w:t>
      </w:r>
      <w:r w:rsidRPr="00BF7F00">
        <w:rPr>
          <w:rFonts w:eastAsiaTheme="minorEastAsia"/>
          <w:b/>
          <w:lang w:val="en-NZ" w:eastAsia="zh-CN"/>
        </w:rPr>
        <w:tab/>
        <w:t>Studies on the Draft CPM Text</w:t>
      </w:r>
    </w:p>
    <w:p w:rsidR="00D85CC8" w:rsidRPr="00BF7F00" w:rsidRDefault="00D85CC8" w:rsidP="00D85CC8">
      <w:pPr>
        <w:spacing w:afterLines="50" w:after="120"/>
        <w:rPr>
          <w:lang w:eastAsia="ru-RU"/>
        </w:rPr>
      </w:pPr>
      <w:r w:rsidRPr="00BF7F00">
        <w:rPr>
          <w:lang w:eastAsia="ru-RU"/>
        </w:rPr>
        <w:t>ITU-R WP 5B, as the responsible group for this agenda item, conducted technical and compatibility studies and produced draft</w:t>
      </w:r>
      <w:r w:rsidR="00F55050" w:rsidRPr="00BF7F00">
        <w:rPr>
          <w:lang w:eastAsia="ru-RU"/>
        </w:rPr>
        <w:t xml:space="preserve"> CPM text at its meeting in May</w:t>
      </w:r>
      <w:r w:rsidRPr="00BF7F00">
        <w:rPr>
          <w:lang w:eastAsia="ru-RU"/>
        </w:rPr>
        <w:t xml:space="preserve"> 2018 and also the new </w:t>
      </w:r>
      <w:r w:rsidRPr="00BF7F00">
        <w:rPr>
          <w:lang w:eastAsia="ru-RU"/>
        </w:rPr>
        <w:lastRenderedPageBreak/>
        <w:t>Report ITU-R M.</w:t>
      </w:r>
      <w:r w:rsidR="0044088D" w:rsidRPr="00BF7F00">
        <w:rPr>
          <w:lang w:eastAsia="ru-RU"/>
        </w:rPr>
        <w:t>2435-0</w:t>
      </w:r>
      <w:r w:rsidRPr="00BF7F00">
        <w:rPr>
          <w:lang w:eastAsia="ru-RU"/>
        </w:rPr>
        <w:t xml:space="preserve">, which was </w:t>
      </w:r>
      <w:r w:rsidR="0044088D" w:rsidRPr="00BF7F00">
        <w:rPr>
          <w:lang w:eastAsia="ru-RU"/>
        </w:rPr>
        <w:t>published</w:t>
      </w:r>
      <w:r w:rsidRPr="00BF7F00">
        <w:rPr>
          <w:lang w:eastAsia="ru-RU"/>
        </w:rPr>
        <w:t xml:space="preserve"> by ITU-R Study Group 5 at its November meeting.</w:t>
      </w:r>
    </w:p>
    <w:p w:rsidR="00D85CC8" w:rsidRPr="00BF7F00" w:rsidRDefault="0018792D" w:rsidP="00D85CC8">
      <w:pPr>
        <w:spacing w:afterLines="50" w:after="120"/>
        <w:rPr>
          <w:lang w:eastAsia="ru-RU"/>
        </w:rPr>
      </w:pPr>
      <w:r w:rsidRPr="00BF7F00">
        <w:rPr>
          <w:lang w:eastAsia="ru-RU"/>
        </w:rPr>
        <w:t>Following s</w:t>
      </w:r>
      <w:r w:rsidR="00D85CC8" w:rsidRPr="00BF7F00">
        <w:rPr>
          <w:lang w:eastAsia="ru-RU"/>
        </w:rPr>
        <w:t>ix methods were developed and incorporated in the Draft CPM Report to address the agenda item</w:t>
      </w:r>
      <w:r w:rsidR="001724AA" w:rsidRPr="00BF7F00">
        <w:rPr>
          <w:lang w:eastAsia="ru-RU"/>
        </w:rPr>
        <w:t xml:space="preserve"> 1.9.2</w:t>
      </w:r>
      <w:r w:rsidR="00D85CC8" w:rsidRPr="00BF7F00">
        <w:rPr>
          <w:lang w:eastAsia="ru-RU"/>
        </w:rPr>
        <w:t>.</w:t>
      </w:r>
    </w:p>
    <w:p w:rsidR="0018792D" w:rsidRPr="00BF7F00" w:rsidRDefault="0018792D" w:rsidP="00BF7F00">
      <w:pPr>
        <w:tabs>
          <w:tab w:val="left" w:pos="1134"/>
          <w:tab w:val="left" w:pos="1871"/>
          <w:tab w:val="left" w:pos="2268"/>
        </w:tabs>
        <w:overflowPunct w:val="0"/>
        <w:autoSpaceDE w:val="0"/>
        <w:autoSpaceDN w:val="0"/>
        <w:adjustRightInd w:val="0"/>
        <w:spacing w:before="160" w:afterLines="50" w:after="120"/>
        <w:ind w:leftChars="118" w:left="283"/>
        <w:textAlignment w:val="baseline"/>
        <w:rPr>
          <w:rFonts w:ascii="Times New Roman Bold" w:eastAsia="MS Mincho" w:hAnsi="Times New Roman Bold" w:cs="Times New Roman Bold"/>
          <w:b/>
          <w:szCs w:val="20"/>
          <w:lang w:val="en-GB"/>
        </w:rPr>
      </w:pPr>
      <w:r w:rsidRPr="00BF7F00">
        <w:rPr>
          <w:rFonts w:ascii="Times New Roman Bold" w:eastAsia="MS Mincho" w:hAnsi="Times New Roman Bold" w:cs="Times New Roman Bold"/>
          <w:b/>
          <w:szCs w:val="20"/>
          <w:lang w:val="en-GB"/>
        </w:rPr>
        <w:t>Method A</w:t>
      </w:r>
    </w:p>
    <w:p w:rsidR="0018792D" w:rsidRPr="00BF7F00" w:rsidRDefault="0018792D" w:rsidP="00BF7F00">
      <w:pPr>
        <w:tabs>
          <w:tab w:val="left" w:pos="1134"/>
          <w:tab w:val="left" w:pos="1871"/>
          <w:tab w:val="left" w:pos="2268"/>
        </w:tabs>
        <w:overflowPunct w:val="0"/>
        <w:autoSpaceDE w:val="0"/>
        <w:autoSpaceDN w:val="0"/>
        <w:adjustRightInd w:val="0"/>
        <w:spacing w:before="120" w:afterLines="50" w:after="120"/>
        <w:ind w:leftChars="118" w:left="283"/>
        <w:textAlignment w:val="baseline"/>
        <w:rPr>
          <w:rFonts w:eastAsia="MS Mincho" w:cs="Times New Roman"/>
          <w:bCs/>
          <w:iCs/>
          <w:szCs w:val="20"/>
          <w:lang w:val="en-GB"/>
        </w:rPr>
      </w:pPr>
      <w:r w:rsidRPr="00BF7F00">
        <w:rPr>
          <w:rFonts w:eastAsia="MS Mincho" w:cs="Times New Roman"/>
          <w:iCs/>
          <w:szCs w:val="20"/>
          <w:lang w:val="en-GB"/>
        </w:rPr>
        <w:t>NOC to the Radio Regulations</w:t>
      </w:r>
      <w:r w:rsidRPr="00BF7F00">
        <w:rPr>
          <w:rFonts w:eastAsia="MS Mincho" w:cs="Times New Roman"/>
          <w:bCs/>
          <w:iCs/>
          <w:szCs w:val="20"/>
          <w:lang w:val="en-GB"/>
        </w:rPr>
        <w:t xml:space="preserve"> except suppression of Resolution </w:t>
      </w:r>
      <w:r w:rsidRPr="00BF7F00">
        <w:rPr>
          <w:rFonts w:eastAsia="MS Mincho" w:cs="Times New Roman"/>
          <w:b/>
          <w:iCs/>
          <w:szCs w:val="20"/>
          <w:lang w:val="en-GB"/>
        </w:rPr>
        <w:t>360 (Rev.WRC-15)</w:t>
      </w:r>
      <w:r w:rsidRPr="00BF7F00">
        <w:rPr>
          <w:rFonts w:eastAsia="MS Mincho" w:cs="Times New Roman"/>
          <w:bCs/>
          <w:iCs/>
          <w:szCs w:val="20"/>
          <w:lang w:val="en-GB"/>
        </w:rPr>
        <w:t xml:space="preserve">. This implies </w:t>
      </w:r>
      <w:r w:rsidRPr="00BF7F00">
        <w:rPr>
          <w:rFonts w:eastAsia="MS Mincho" w:cs="Times New Roman"/>
          <w:szCs w:val="20"/>
          <w:lang w:val="en-GB"/>
        </w:rPr>
        <w:t>no</w:t>
      </w:r>
      <w:r w:rsidRPr="00BF7F00">
        <w:rPr>
          <w:rFonts w:eastAsia="MS Mincho" w:cs="Times New Roman"/>
          <w:bCs/>
          <w:iCs/>
          <w:szCs w:val="20"/>
          <w:lang w:val="en-GB"/>
        </w:rPr>
        <w:t xml:space="preserve"> allocation for the VHF data exchange (VDE) satellite component of the VHF data exchange system (VDES).</w:t>
      </w:r>
    </w:p>
    <w:p w:rsidR="0018792D" w:rsidRPr="00BF7F00" w:rsidRDefault="0018792D" w:rsidP="00BF7F00">
      <w:pPr>
        <w:tabs>
          <w:tab w:val="left" w:pos="1134"/>
          <w:tab w:val="left" w:pos="1871"/>
          <w:tab w:val="left" w:pos="2268"/>
        </w:tabs>
        <w:overflowPunct w:val="0"/>
        <w:autoSpaceDE w:val="0"/>
        <w:autoSpaceDN w:val="0"/>
        <w:adjustRightInd w:val="0"/>
        <w:spacing w:before="160" w:afterLines="50" w:after="120"/>
        <w:ind w:leftChars="118" w:left="283"/>
        <w:textAlignment w:val="baseline"/>
        <w:rPr>
          <w:rFonts w:ascii="Times New Roman Bold" w:eastAsia="MS Mincho" w:hAnsi="Times New Roman Bold" w:cs="Times New Roman Bold"/>
          <w:b/>
          <w:szCs w:val="20"/>
          <w:lang w:val="en-GB"/>
        </w:rPr>
      </w:pPr>
      <w:r w:rsidRPr="00BF7F00">
        <w:rPr>
          <w:rFonts w:ascii="Times New Roman Bold" w:eastAsia="MS Mincho" w:hAnsi="Times New Roman Bold" w:cs="Times New Roman Bold"/>
          <w:b/>
          <w:szCs w:val="20"/>
          <w:lang w:val="en-GB"/>
        </w:rPr>
        <w:t>Method B</w:t>
      </w:r>
    </w:p>
    <w:p w:rsidR="0018792D" w:rsidRPr="00BF7F00" w:rsidRDefault="0018792D" w:rsidP="00BF7F00">
      <w:pPr>
        <w:tabs>
          <w:tab w:val="left" w:pos="1134"/>
          <w:tab w:val="left" w:pos="1871"/>
          <w:tab w:val="left" w:pos="2268"/>
        </w:tabs>
        <w:overflowPunct w:val="0"/>
        <w:autoSpaceDE w:val="0"/>
        <w:autoSpaceDN w:val="0"/>
        <w:adjustRightInd w:val="0"/>
        <w:spacing w:before="120" w:afterLines="50" w:after="120"/>
        <w:ind w:leftChars="118" w:left="283"/>
        <w:textAlignment w:val="baseline"/>
        <w:rPr>
          <w:rFonts w:eastAsia="MS Mincho" w:cs="Times New Roman"/>
          <w:iCs/>
          <w:szCs w:val="20"/>
          <w:lang w:val="en-GB"/>
        </w:rPr>
      </w:pPr>
      <w:r w:rsidRPr="00BF7F00">
        <w:rPr>
          <w:rFonts w:eastAsia="MS Mincho" w:cs="Times New Roman"/>
          <w:iCs/>
          <w:szCs w:val="20"/>
          <w:lang w:val="en-GB"/>
        </w:rPr>
        <w:t xml:space="preserve">This method </w:t>
      </w:r>
      <w:r w:rsidR="00526FA1" w:rsidRPr="00BF7F00">
        <w:rPr>
          <w:rFonts w:eastAsia="MS Mincho" w:cs="Times New Roman"/>
          <w:iCs/>
          <w:szCs w:val="20"/>
          <w:lang w:val="en-GB"/>
        </w:rPr>
        <w:t xml:space="preserve">is based on frequency plan alternative 2 and </w:t>
      </w:r>
      <w:r w:rsidRPr="00BF7F00">
        <w:rPr>
          <w:rFonts w:eastAsia="MS Mincho" w:cs="Times New Roman"/>
          <w:iCs/>
          <w:szCs w:val="20"/>
          <w:lang w:val="en-GB"/>
        </w:rPr>
        <w:t xml:space="preserve">proposes new primary allocations for the MMSS (Earth-to-space and space-to-Earth), </w:t>
      </w:r>
      <w:r w:rsidRPr="00BF7F00">
        <w:rPr>
          <w:rFonts w:eastAsia="MS Mincho" w:cs="Times New Roman"/>
          <w:szCs w:val="20"/>
          <w:lang w:val="en-GB"/>
        </w:rPr>
        <w:t>details</w:t>
      </w:r>
      <w:r w:rsidRPr="00BF7F00">
        <w:rPr>
          <w:rFonts w:eastAsia="MS Mincho" w:cs="Times New Roman"/>
          <w:iCs/>
          <w:szCs w:val="20"/>
          <w:lang w:val="en-GB"/>
        </w:rPr>
        <w:t xml:space="preserve"> for coordination of the VDES space stations </w:t>
      </w:r>
      <w:r w:rsidRPr="00BF7F00">
        <w:rPr>
          <w:rFonts w:eastAsia="MS Mincho" w:cs="Times New Roman"/>
          <w:szCs w:val="20"/>
          <w:lang w:val="en-GB" w:eastAsia="ja-JP"/>
        </w:rPr>
        <w:t xml:space="preserve">with respect to terrestrial services </w:t>
      </w:r>
      <w:r w:rsidRPr="00BF7F00">
        <w:rPr>
          <w:rFonts w:eastAsia="MS Mincho" w:cs="Times New Roman"/>
          <w:iCs/>
          <w:szCs w:val="20"/>
          <w:lang w:val="en-GB"/>
        </w:rPr>
        <w:t xml:space="preserve">are described </w:t>
      </w:r>
      <w:r w:rsidR="00061871" w:rsidRPr="00BF7F00">
        <w:rPr>
          <w:rFonts w:eastAsia="MS Mincho" w:cs="Times New Roman"/>
          <w:iCs/>
          <w:szCs w:val="20"/>
          <w:lang w:val="en-GB"/>
        </w:rPr>
        <w:t>in the Draft CPM Report</w:t>
      </w:r>
      <w:r w:rsidR="00526FA1" w:rsidRPr="00BF7F00">
        <w:rPr>
          <w:rFonts w:eastAsia="MS Mincho" w:cs="Times New Roman"/>
          <w:iCs/>
          <w:szCs w:val="20"/>
          <w:lang w:val="en-GB"/>
        </w:rPr>
        <w:t>.</w:t>
      </w:r>
    </w:p>
    <w:p w:rsidR="0018792D" w:rsidRPr="00BF7F00" w:rsidRDefault="0018792D" w:rsidP="00BF7F00">
      <w:pPr>
        <w:tabs>
          <w:tab w:val="left" w:pos="1134"/>
          <w:tab w:val="left" w:pos="1871"/>
          <w:tab w:val="left" w:pos="2268"/>
        </w:tabs>
        <w:overflowPunct w:val="0"/>
        <w:autoSpaceDE w:val="0"/>
        <w:autoSpaceDN w:val="0"/>
        <w:adjustRightInd w:val="0"/>
        <w:spacing w:before="160" w:afterLines="50" w:after="120"/>
        <w:ind w:leftChars="118" w:left="283"/>
        <w:textAlignment w:val="baseline"/>
        <w:rPr>
          <w:rFonts w:ascii="Times New Roman Bold" w:eastAsia="MS Mincho" w:hAnsi="Times New Roman Bold" w:cs="Times New Roman Bold"/>
          <w:b/>
          <w:szCs w:val="20"/>
          <w:lang w:val="en-GB"/>
        </w:rPr>
      </w:pPr>
      <w:r w:rsidRPr="00BF7F00">
        <w:rPr>
          <w:rFonts w:ascii="Times New Roman Bold" w:eastAsia="MS Mincho" w:hAnsi="Times New Roman Bold" w:cs="Times New Roman Bold"/>
          <w:b/>
          <w:szCs w:val="20"/>
          <w:lang w:val="en-GB"/>
        </w:rPr>
        <w:t>Method C</w:t>
      </w:r>
    </w:p>
    <w:p w:rsidR="0018792D" w:rsidRPr="00BF7F00" w:rsidRDefault="0018792D" w:rsidP="00BF7F00">
      <w:pPr>
        <w:tabs>
          <w:tab w:val="left" w:pos="1134"/>
          <w:tab w:val="left" w:pos="1871"/>
          <w:tab w:val="left" w:pos="2268"/>
        </w:tabs>
        <w:overflowPunct w:val="0"/>
        <w:autoSpaceDE w:val="0"/>
        <w:autoSpaceDN w:val="0"/>
        <w:adjustRightInd w:val="0"/>
        <w:spacing w:before="120" w:afterLines="50" w:after="120"/>
        <w:ind w:leftChars="118" w:left="283"/>
        <w:textAlignment w:val="baseline"/>
        <w:rPr>
          <w:rFonts w:eastAsia="MS Mincho" w:cs="Times New Roman"/>
          <w:szCs w:val="20"/>
          <w:lang w:val="en-GB" w:eastAsia="ja-JP"/>
        </w:rPr>
      </w:pPr>
      <w:r w:rsidRPr="00BF7F00">
        <w:rPr>
          <w:rFonts w:eastAsia="MS Mincho" w:cs="Times New Roman"/>
          <w:iCs/>
          <w:szCs w:val="20"/>
          <w:lang w:val="en-GB"/>
        </w:rPr>
        <w:t xml:space="preserve">This method </w:t>
      </w:r>
      <w:r w:rsidR="00526FA1" w:rsidRPr="00BF7F00">
        <w:rPr>
          <w:lang w:val="en-NZ"/>
        </w:rPr>
        <w:t xml:space="preserve">is based on frequency plan alternative 2 </w:t>
      </w:r>
      <w:r w:rsidRPr="00BF7F00">
        <w:rPr>
          <w:rFonts w:eastAsia="MS Mincho" w:cs="Times New Roman"/>
          <w:iCs/>
          <w:szCs w:val="20"/>
          <w:lang w:val="en-GB"/>
        </w:rPr>
        <w:t xml:space="preserve">but with </w:t>
      </w:r>
      <w:r w:rsidRPr="00BF7F00">
        <w:rPr>
          <w:rFonts w:eastAsia="MS Mincho" w:cs="Times New Roman"/>
          <w:szCs w:val="20"/>
          <w:lang w:val="en-GB" w:eastAsia="ja-JP"/>
        </w:rPr>
        <w:t>new secondary allocation for the MMSS (Earth</w:t>
      </w:r>
      <w:r w:rsidRPr="00BF7F00">
        <w:rPr>
          <w:rFonts w:eastAsia="MS Mincho" w:cs="Times New Roman"/>
          <w:szCs w:val="20"/>
          <w:lang w:val="en-GB" w:eastAsia="ja-JP"/>
        </w:rPr>
        <w:noBreakHyphen/>
      </w:r>
      <w:r w:rsidR="00FA45C5" w:rsidRPr="00BF7F00">
        <w:rPr>
          <w:rFonts w:eastAsia="MS Mincho" w:cs="Times New Roman"/>
          <w:szCs w:val="20"/>
          <w:lang w:val="en-GB" w:eastAsia="ja-JP"/>
        </w:rPr>
        <w:t>to-space) and (space-to-Earth).</w:t>
      </w:r>
    </w:p>
    <w:p w:rsidR="0018792D" w:rsidRPr="00BF7F00" w:rsidRDefault="0018792D" w:rsidP="00BF7F00">
      <w:pPr>
        <w:tabs>
          <w:tab w:val="left" w:pos="1134"/>
          <w:tab w:val="left" w:pos="1871"/>
          <w:tab w:val="left" w:pos="2268"/>
        </w:tabs>
        <w:overflowPunct w:val="0"/>
        <w:autoSpaceDE w:val="0"/>
        <w:autoSpaceDN w:val="0"/>
        <w:adjustRightInd w:val="0"/>
        <w:spacing w:before="120" w:afterLines="50" w:after="120"/>
        <w:ind w:leftChars="118" w:left="283"/>
        <w:textAlignment w:val="baseline"/>
        <w:rPr>
          <w:rFonts w:eastAsia="MS Mincho" w:cs="Times New Roman"/>
          <w:szCs w:val="20"/>
          <w:lang w:val="en-GB" w:eastAsia="ja-JP"/>
        </w:rPr>
      </w:pPr>
      <w:r w:rsidRPr="00BF7F00">
        <w:rPr>
          <w:rFonts w:eastAsia="MS Mincho" w:cs="Times New Roman"/>
          <w:szCs w:val="20"/>
          <w:lang w:val="en-GB" w:eastAsia="ja-JP"/>
        </w:rPr>
        <w:t>Due to the secondary allocation status for the VDE-SAT, there is no coordination between MMSS and terrestrial services and therefore there is no need to introduce a specific power flux-density (</w:t>
      </w:r>
      <w:proofErr w:type="spellStart"/>
      <w:r w:rsidRPr="00BF7F00">
        <w:rPr>
          <w:rFonts w:eastAsia="MS Mincho" w:cs="Times New Roman"/>
          <w:szCs w:val="20"/>
          <w:lang w:val="en-GB" w:eastAsia="ja-JP"/>
        </w:rPr>
        <w:t>pfd</w:t>
      </w:r>
      <w:proofErr w:type="spellEnd"/>
      <w:r w:rsidRPr="00BF7F00">
        <w:rPr>
          <w:rFonts w:eastAsia="MS Mincho" w:cs="Times New Roman"/>
          <w:szCs w:val="20"/>
          <w:lang w:val="en-GB" w:eastAsia="ja-JP"/>
        </w:rPr>
        <w:t>) mask in the RR.</w:t>
      </w:r>
    </w:p>
    <w:p w:rsidR="0018792D" w:rsidRPr="00BF7F00" w:rsidRDefault="0018792D" w:rsidP="00BF7F00">
      <w:pPr>
        <w:tabs>
          <w:tab w:val="left" w:pos="1134"/>
          <w:tab w:val="left" w:pos="1871"/>
          <w:tab w:val="left" w:pos="2268"/>
        </w:tabs>
        <w:overflowPunct w:val="0"/>
        <w:autoSpaceDE w:val="0"/>
        <w:autoSpaceDN w:val="0"/>
        <w:adjustRightInd w:val="0"/>
        <w:spacing w:before="160" w:afterLines="50" w:after="120"/>
        <w:ind w:leftChars="118" w:left="283"/>
        <w:textAlignment w:val="baseline"/>
        <w:rPr>
          <w:rFonts w:ascii="Times New Roman Bold" w:eastAsia="MS Mincho" w:hAnsi="Times New Roman Bold" w:cs="Times New Roman Bold"/>
          <w:b/>
          <w:szCs w:val="20"/>
          <w:lang w:val="en-GB"/>
        </w:rPr>
      </w:pPr>
      <w:r w:rsidRPr="00BF7F00">
        <w:rPr>
          <w:rFonts w:ascii="Times New Roman Bold" w:eastAsia="MS Mincho" w:hAnsi="Times New Roman Bold" w:cs="Times New Roman Bold"/>
          <w:b/>
          <w:szCs w:val="20"/>
          <w:lang w:val="en-GB"/>
        </w:rPr>
        <w:t>Method D</w:t>
      </w:r>
    </w:p>
    <w:p w:rsidR="0018792D" w:rsidRPr="00BF7F00" w:rsidRDefault="00526FA1" w:rsidP="00BF7F00">
      <w:pPr>
        <w:tabs>
          <w:tab w:val="left" w:pos="1134"/>
          <w:tab w:val="left" w:pos="1871"/>
          <w:tab w:val="left" w:pos="2268"/>
        </w:tabs>
        <w:overflowPunct w:val="0"/>
        <w:autoSpaceDE w:val="0"/>
        <w:autoSpaceDN w:val="0"/>
        <w:adjustRightInd w:val="0"/>
        <w:spacing w:afterLines="50" w:after="120"/>
        <w:ind w:leftChars="118" w:left="283"/>
        <w:textAlignment w:val="baseline"/>
        <w:rPr>
          <w:rFonts w:eastAsia="MS Mincho" w:cs="Times New Roman"/>
          <w:szCs w:val="20"/>
          <w:lang w:val="en-GB"/>
        </w:rPr>
      </w:pPr>
      <w:r w:rsidRPr="00BF7F00">
        <w:rPr>
          <w:rFonts w:eastAsia="MS Mincho" w:cs="Times New Roman"/>
          <w:iCs/>
          <w:szCs w:val="20"/>
          <w:lang w:val="en-GB"/>
        </w:rPr>
        <w:t xml:space="preserve">This method </w:t>
      </w:r>
      <w:r w:rsidRPr="00BF7F00">
        <w:rPr>
          <w:lang w:val="en-NZ"/>
        </w:rPr>
        <w:t xml:space="preserve">is based on frequency plan alternative 2 </w:t>
      </w:r>
      <w:r w:rsidR="0018792D" w:rsidRPr="00BF7F00">
        <w:rPr>
          <w:rFonts w:eastAsia="MS Mincho" w:cs="Times New Roman"/>
          <w:szCs w:val="20"/>
          <w:lang w:val="en-GB"/>
        </w:rPr>
        <w:t xml:space="preserve">with the addition of a </w:t>
      </w:r>
      <w:proofErr w:type="spellStart"/>
      <w:r w:rsidR="0018792D" w:rsidRPr="00BF7F00">
        <w:rPr>
          <w:rFonts w:eastAsia="MS Mincho" w:cs="Times New Roman"/>
          <w:szCs w:val="20"/>
          <w:lang w:val="en-GB"/>
        </w:rPr>
        <w:t>pfd</w:t>
      </w:r>
      <w:proofErr w:type="spellEnd"/>
      <w:r w:rsidR="0018792D" w:rsidRPr="00BF7F00">
        <w:rPr>
          <w:rFonts w:eastAsia="MS Mincho" w:cs="Times New Roman"/>
          <w:szCs w:val="20"/>
          <w:lang w:val="en-GB"/>
        </w:rPr>
        <w:t xml:space="preserve"> limit in RR Article 5 in order to protect the terrestrial service. The description of the </w:t>
      </w:r>
      <w:proofErr w:type="spellStart"/>
      <w:r w:rsidR="0018792D" w:rsidRPr="00BF7F00">
        <w:rPr>
          <w:rFonts w:eastAsia="MS Mincho" w:cs="Times New Roman"/>
          <w:szCs w:val="20"/>
          <w:lang w:val="en-GB"/>
        </w:rPr>
        <w:t>pfd</w:t>
      </w:r>
      <w:proofErr w:type="spellEnd"/>
      <w:r w:rsidR="0018792D" w:rsidRPr="00BF7F00">
        <w:rPr>
          <w:rFonts w:eastAsia="MS Mincho" w:cs="Times New Roman"/>
          <w:szCs w:val="20"/>
          <w:lang w:val="en-GB"/>
        </w:rPr>
        <w:t xml:space="preserve"> mask is given in the Report ITU-R M</w:t>
      </w:r>
      <w:r w:rsidR="007C05ED" w:rsidRPr="00BF7F00">
        <w:rPr>
          <w:rFonts w:eastAsia="MS Mincho" w:cs="Times New Roman"/>
          <w:szCs w:val="20"/>
          <w:lang w:val="en-GB"/>
        </w:rPr>
        <w:t>.2435-0</w:t>
      </w:r>
      <w:r w:rsidR="0018792D" w:rsidRPr="00BF7F00">
        <w:rPr>
          <w:rFonts w:eastAsia="MS Mincho" w:cs="Times New Roman"/>
          <w:szCs w:val="20"/>
          <w:lang w:val="en-GB"/>
        </w:rPr>
        <w:t>.</w:t>
      </w:r>
    </w:p>
    <w:p w:rsidR="0018792D" w:rsidRPr="00BF7F00" w:rsidRDefault="0018792D" w:rsidP="00BF7F00">
      <w:pPr>
        <w:tabs>
          <w:tab w:val="left" w:pos="1134"/>
          <w:tab w:val="left" w:pos="1871"/>
          <w:tab w:val="left" w:pos="2268"/>
        </w:tabs>
        <w:overflowPunct w:val="0"/>
        <w:autoSpaceDE w:val="0"/>
        <w:autoSpaceDN w:val="0"/>
        <w:adjustRightInd w:val="0"/>
        <w:spacing w:afterLines="50" w:after="120"/>
        <w:ind w:leftChars="118" w:left="283"/>
        <w:textAlignment w:val="baseline"/>
        <w:rPr>
          <w:rFonts w:ascii="Times New Roman Bold" w:eastAsia="MS Mincho" w:hAnsi="Times New Roman Bold" w:cs="Times New Roman Bold"/>
          <w:b/>
          <w:szCs w:val="20"/>
          <w:lang w:val="en-GB"/>
        </w:rPr>
      </w:pPr>
      <w:r w:rsidRPr="00BF7F00">
        <w:rPr>
          <w:rFonts w:ascii="Times New Roman Bold" w:eastAsia="MS Mincho" w:hAnsi="Times New Roman Bold" w:cs="Times New Roman Bold"/>
          <w:b/>
          <w:szCs w:val="20"/>
          <w:lang w:val="en-GB"/>
        </w:rPr>
        <w:t xml:space="preserve">Method </w:t>
      </w:r>
      <w:r w:rsidRPr="00BF7F00">
        <w:rPr>
          <w:rFonts w:ascii="Times New Roman Bold" w:eastAsia="MS Mincho" w:hAnsi="Times New Roman Bold" w:cs="Times New Roman Bold"/>
          <w:b/>
          <w:szCs w:val="20"/>
          <w:lang w:val="en-GB" w:eastAsia="zh-CN"/>
        </w:rPr>
        <w:t>E</w:t>
      </w:r>
    </w:p>
    <w:p w:rsidR="0018792D" w:rsidRPr="00BF7F00" w:rsidRDefault="0018792D" w:rsidP="00BF7F00">
      <w:pPr>
        <w:tabs>
          <w:tab w:val="left" w:pos="1134"/>
          <w:tab w:val="left" w:pos="1871"/>
          <w:tab w:val="left" w:pos="2268"/>
        </w:tabs>
        <w:overflowPunct w:val="0"/>
        <w:autoSpaceDE w:val="0"/>
        <w:autoSpaceDN w:val="0"/>
        <w:adjustRightInd w:val="0"/>
        <w:spacing w:before="120" w:afterLines="50" w:after="120"/>
        <w:ind w:leftChars="118" w:left="283"/>
        <w:textAlignment w:val="baseline"/>
        <w:rPr>
          <w:rFonts w:eastAsia="MS Mincho" w:cs="Times New Roman"/>
          <w:szCs w:val="20"/>
          <w:lang w:val="en-GB"/>
        </w:rPr>
      </w:pPr>
      <w:r w:rsidRPr="00BF7F00">
        <w:rPr>
          <w:rFonts w:eastAsia="MS Mincho" w:cs="Times New Roman"/>
          <w:szCs w:val="20"/>
          <w:lang w:val="en-GB"/>
        </w:rPr>
        <w:t xml:space="preserve">This method </w:t>
      </w:r>
      <w:r w:rsidR="00526FA1" w:rsidRPr="00BF7F00">
        <w:rPr>
          <w:lang w:val="en-NZ"/>
        </w:rPr>
        <w:t xml:space="preserve">is based on frequency plan alternative 2 </w:t>
      </w:r>
      <w:r w:rsidR="00526FA1" w:rsidRPr="00BF7F00">
        <w:rPr>
          <w:rFonts w:eastAsia="MS Mincho" w:cs="Times New Roman"/>
          <w:szCs w:val="20"/>
          <w:lang w:val="en-GB"/>
        </w:rPr>
        <w:t>but uses</w:t>
      </w:r>
      <w:r w:rsidRPr="00BF7F00">
        <w:rPr>
          <w:rFonts w:eastAsia="MS Mincho" w:cs="Times New Roman"/>
          <w:szCs w:val="20"/>
          <w:lang w:val="en-GB"/>
        </w:rPr>
        <w:t xml:space="preserve"> a </w:t>
      </w:r>
      <w:proofErr w:type="spellStart"/>
      <w:r w:rsidRPr="00BF7F00">
        <w:rPr>
          <w:rFonts w:eastAsia="MS Mincho" w:cs="Times New Roman"/>
          <w:szCs w:val="20"/>
          <w:lang w:val="en-GB"/>
        </w:rPr>
        <w:t>pfd</w:t>
      </w:r>
      <w:proofErr w:type="spellEnd"/>
      <w:r w:rsidRPr="00BF7F00">
        <w:rPr>
          <w:rFonts w:eastAsia="MS Mincho" w:cs="Times New Roman"/>
          <w:szCs w:val="20"/>
          <w:lang w:val="en-GB"/>
        </w:rPr>
        <w:t xml:space="preserve"> mask different from that contained in Recommendation ITU-R M.2092</w:t>
      </w:r>
      <w:r w:rsidR="007C05ED" w:rsidRPr="00BF7F00">
        <w:rPr>
          <w:rFonts w:eastAsia="MS Mincho" w:cs="Times New Roman"/>
          <w:szCs w:val="20"/>
          <w:lang w:val="en-GB"/>
        </w:rPr>
        <w:t>-0</w:t>
      </w:r>
      <w:r w:rsidRPr="00BF7F00">
        <w:rPr>
          <w:rFonts w:eastAsia="MS Mincho" w:cs="Times New Roman"/>
          <w:szCs w:val="20"/>
          <w:lang w:val="en-GB"/>
        </w:rPr>
        <w:t xml:space="preserve">. The description of the </w:t>
      </w:r>
      <w:proofErr w:type="spellStart"/>
      <w:r w:rsidRPr="00BF7F00">
        <w:rPr>
          <w:rFonts w:eastAsia="MS Mincho" w:cs="Times New Roman"/>
          <w:szCs w:val="20"/>
          <w:lang w:val="en-GB"/>
        </w:rPr>
        <w:t>pfd</w:t>
      </w:r>
      <w:proofErr w:type="spellEnd"/>
      <w:r w:rsidRPr="00BF7F00">
        <w:rPr>
          <w:rFonts w:eastAsia="MS Mincho" w:cs="Times New Roman"/>
          <w:szCs w:val="20"/>
          <w:lang w:val="en-GB"/>
        </w:rPr>
        <w:t xml:space="preserve"> mask is given in A</w:t>
      </w:r>
      <w:r w:rsidR="00D61516" w:rsidRPr="00BF7F00">
        <w:rPr>
          <w:rFonts w:eastAsia="MS Mincho" w:cs="Times New Roman"/>
          <w:szCs w:val="20"/>
          <w:lang w:val="en-GB"/>
        </w:rPr>
        <w:t>nnex</w:t>
      </w:r>
      <w:r w:rsidRPr="00BF7F00">
        <w:rPr>
          <w:rFonts w:eastAsia="MS Mincho" w:cs="Times New Roman"/>
          <w:szCs w:val="20"/>
          <w:lang w:val="en-GB"/>
        </w:rPr>
        <w:t xml:space="preserve"> </w:t>
      </w:r>
      <w:r w:rsidRPr="00BF7F00">
        <w:rPr>
          <w:rFonts w:eastAsia="MS Mincho" w:cs="Times New Roman"/>
          <w:b/>
          <w:bCs/>
          <w:szCs w:val="20"/>
          <w:lang w:val="en-GB"/>
        </w:rPr>
        <w:t>2</w:t>
      </w:r>
      <w:r w:rsidRPr="00BF7F00">
        <w:rPr>
          <w:rFonts w:eastAsia="MS Mincho" w:cs="Times New Roman"/>
          <w:szCs w:val="20"/>
          <w:lang w:val="en-GB"/>
        </w:rPr>
        <w:t xml:space="preserve"> of the Report ITU-R M</w:t>
      </w:r>
      <w:r w:rsidR="007C05ED" w:rsidRPr="00BF7F00">
        <w:rPr>
          <w:rFonts w:eastAsia="MS Mincho" w:cs="Times New Roman"/>
          <w:szCs w:val="20"/>
          <w:lang w:val="en-GB"/>
        </w:rPr>
        <w:t>2435-0</w:t>
      </w:r>
      <w:r w:rsidRPr="00BF7F00">
        <w:rPr>
          <w:rFonts w:eastAsia="MS Mincho" w:cs="Times New Roman"/>
          <w:szCs w:val="20"/>
          <w:lang w:val="en-GB"/>
        </w:rPr>
        <w:t>.</w:t>
      </w:r>
    </w:p>
    <w:p w:rsidR="0018792D" w:rsidRPr="00BF7F00" w:rsidRDefault="0018792D" w:rsidP="00BF7F00">
      <w:pPr>
        <w:spacing w:afterLines="50" w:after="120"/>
        <w:ind w:leftChars="118" w:left="283"/>
        <w:jc w:val="both"/>
        <w:rPr>
          <w:rFonts w:ascii="Times New Roman Bold" w:eastAsia="MS Mincho" w:hAnsi="Times New Roman Bold" w:cs="Times New Roman Bold"/>
          <w:b/>
          <w:szCs w:val="20"/>
          <w:lang w:val="en-GB"/>
        </w:rPr>
      </w:pPr>
      <w:r w:rsidRPr="00BF7F00">
        <w:rPr>
          <w:rFonts w:eastAsiaTheme="minorEastAsia"/>
          <w:b/>
          <w:lang w:val="en-NZ" w:eastAsia="zh-CN"/>
        </w:rPr>
        <w:t>Method</w:t>
      </w:r>
      <w:r w:rsidRPr="00BF7F00">
        <w:rPr>
          <w:rFonts w:ascii="Times New Roman Bold" w:eastAsia="MS Mincho" w:hAnsi="Times New Roman Bold" w:cs="Times New Roman Bold"/>
          <w:b/>
          <w:szCs w:val="20"/>
          <w:lang w:val="en-GB"/>
        </w:rPr>
        <w:t xml:space="preserve"> </w:t>
      </w:r>
      <w:r w:rsidRPr="00BF7F00">
        <w:rPr>
          <w:rFonts w:ascii="Times New Roman Bold" w:eastAsia="MS Mincho" w:hAnsi="Times New Roman Bold" w:cs="Times New Roman Bold"/>
          <w:b/>
          <w:szCs w:val="20"/>
          <w:lang w:val="en-GB" w:eastAsia="zh-CN"/>
        </w:rPr>
        <w:t>F</w:t>
      </w:r>
    </w:p>
    <w:p w:rsidR="0018792D" w:rsidRPr="00BF7F00" w:rsidRDefault="00D71164" w:rsidP="00BF7F00">
      <w:pPr>
        <w:tabs>
          <w:tab w:val="left" w:pos="1134"/>
          <w:tab w:val="left" w:pos="1871"/>
          <w:tab w:val="left" w:pos="2268"/>
        </w:tabs>
        <w:overflowPunct w:val="0"/>
        <w:autoSpaceDE w:val="0"/>
        <w:autoSpaceDN w:val="0"/>
        <w:adjustRightInd w:val="0"/>
        <w:spacing w:afterLines="50" w:after="120"/>
        <w:ind w:leftChars="118" w:left="283"/>
        <w:textAlignment w:val="baseline"/>
        <w:rPr>
          <w:rFonts w:eastAsia="MS Mincho" w:cs="Times New Roman"/>
          <w:szCs w:val="20"/>
          <w:lang w:val="en-GB"/>
        </w:rPr>
      </w:pPr>
      <w:r w:rsidRPr="00BF7F00">
        <w:rPr>
          <w:rFonts w:eastAsia="MS Mincho" w:cs="Times New Roman"/>
          <w:noProof/>
          <w:szCs w:val="20"/>
        </w:rPr>
        <mc:AlternateContent>
          <mc:Choice Requires="wpg">
            <w:drawing>
              <wp:anchor distT="71755" distB="71755" distL="114300" distR="114300" simplePos="0" relativeHeight="251659264" behindDoc="0" locked="0" layoutInCell="1" allowOverlap="1" wp14:anchorId="04CFF7C0" wp14:editId="396030C8">
                <wp:simplePos x="0" y="0"/>
                <wp:positionH relativeFrom="margin">
                  <wp:posOffset>92075</wp:posOffset>
                </wp:positionH>
                <wp:positionV relativeFrom="paragraph">
                  <wp:posOffset>356870</wp:posOffset>
                </wp:positionV>
                <wp:extent cx="5762160" cy="2378880"/>
                <wp:effectExtent l="0" t="0" r="0" b="2540"/>
                <wp:wrapTopAndBottom/>
                <wp:docPr id="10" name="グループ化 10"/>
                <wp:cNvGraphicFramePr/>
                <a:graphic xmlns:a="http://schemas.openxmlformats.org/drawingml/2006/main">
                  <a:graphicData uri="http://schemas.microsoft.com/office/word/2010/wordprocessingGroup">
                    <wpg:wgp>
                      <wpg:cNvGrpSpPr/>
                      <wpg:grpSpPr>
                        <a:xfrm>
                          <a:off x="0" y="0"/>
                          <a:ext cx="5762160" cy="2378880"/>
                          <a:chOff x="0" y="0"/>
                          <a:chExt cx="5762160" cy="2379677"/>
                        </a:xfrm>
                      </wpg:grpSpPr>
                      <wpg:grpSp>
                        <wpg:cNvPr id="4" name="グループ化 4"/>
                        <wpg:cNvGrpSpPr/>
                        <wpg:grpSpPr>
                          <a:xfrm>
                            <a:off x="0" y="0"/>
                            <a:ext cx="5762160" cy="2147760"/>
                            <a:chOff x="0" y="0"/>
                            <a:chExt cx="5763533" cy="2147570"/>
                          </a:xfrm>
                        </wpg:grpSpPr>
                        <pic:pic xmlns:pic="http://schemas.openxmlformats.org/drawingml/2006/picture">
                          <pic:nvPicPr>
                            <pic:cNvPr id="3" name="図 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BFAD8C0-A577-4EAD-A4D1-4DF581252C78}"/>
                                </a:ext>
                              </a:extLst>
                            </pic:cNvPr>
                            <pic:cNvPicPr>
                              <a:picLocks noChangeAspect="1"/>
                            </pic:cNvPicPr>
                          </pic:nvPicPr>
                          <pic:blipFill>
                            <a:blip r:embed="rId9"/>
                            <a:stretch>
                              <a:fillRect/>
                            </a:stretch>
                          </pic:blipFill>
                          <pic:spPr>
                            <a:xfrm>
                              <a:off x="0" y="0"/>
                              <a:ext cx="3838575" cy="2147570"/>
                            </a:xfrm>
                            <a:prstGeom prst="rect">
                              <a:avLst/>
                            </a:prstGeom>
                          </pic:spPr>
                        </pic:pic>
                        <pic:pic xmlns:pic="http://schemas.openxmlformats.org/drawingml/2006/picture">
                          <pic:nvPicPr>
                            <pic:cNvPr id="11" name="図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1E0F0B3-78BD-488F-A93A-369969FE8CA1}"/>
                                </a:ext>
                              </a:extLst>
                            </pic:cNvPr>
                            <pic:cNvPicPr>
                              <a:picLocks noChangeAspect="1"/>
                            </pic:cNvPicPr>
                          </pic:nvPicPr>
                          <pic:blipFill>
                            <a:blip r:embed="rId10"/>
                            <a:stretch>
                              <a:fillRect/>
                            </a:stretch>
                          </pic:blipFill>
                          <pic:spPr>
                            <a:xfrm>
                              <a:off x="3690258" y="92528"/>
                              <a:ext cx="2073275" cy="1316355"/>
                            </a:xfrm>
                            <a:prstGeom prst="rect">
                              <a:avLst/>
                            </a:prstGeom>
                          </pic:spPr>
                        </pic:pic>
                      </wpg:grpSp>
                      <wps:wsp>
                        <wps:cNvPr id="5" name="テキスト ボックス 5"/>
                        <wps:cNvSpPr txBox="1"/>
                        <wps:spPr>
                          <a:xfrm>
                            <a:off x="0" y="2204357"/>
                            <a:ext cx="5762160" cy="175320"/>
                          </a:xfrm>
                          <a:prstGeom prst="rect">
                            <a:avLst/>
                          </a:prstGeom>
                          <a:solidFill>
                            <a:prstClr val="white"/>
                          </a:solidFill>
                          <a:ln>
                            <a:noFill/>
                          </a:ln>
                        </wps:spPr>
                        <wps:txbx>
                          <w:txbxContent>
                            <w:p w:rsidR="00806C18" w:rsidRPr="0087739D" w:rsidRDefault="00806C18" w:rsidP="00D71164">
                              <w:pPr>
                                <w:pStyle w:val="Caption"/>
                                <w:jc w:val="center"/>
                                <w:rPr>
                                  <w:rFonts w:eastAsia="MS Mincho" w:cs="Times New Roman"/>
                                  <w:noProof/>
                                  <w:sz w:val="24"/>
                                  <w:szCs w:val="24"/>
                                  <w:lang w:val="en-GB"/>
                                </w:rPr>
                              </w:pPr>
                              <w:r w:rsidRPr="0087739D">
                                <w:rPr>
                                  <w:sz w:val="24"/>
                                  <w:szCs w:val="24"/>
                                </w:rPr>
                                <w:t>Comparison of frequency plans from the Draft CPM Report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04CFF7C0" id="グループ化 10" o:spid="_x0000_s1026" style="position:absolute;left:0;text-align:left;margin-left:7.25pt;margin-top:28.1pt;width:453.7pt;height:187.3pt;z-index:251659264;mso-wrap-distance-top:5.65pt;mso-wrap-distance-bottom:5.65pt;mso-position-horizontal-relative:margin;mso-width-relative:margin;mso-height-relative:margin" coordsize="57621,2379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">
                <v:group id="グループ化 4" o:spid="_x0000_s1027" style="position:absolute;width:57621;height:21477" coordsize="57635,21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width:38385;height:214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uRmbEAAAA2gAAAA8AAABkcnMvZG93bnJldi54bWxEj09rwkAUxO9Cv8PyhN7MxraUGF2lKIXi&#10;QWkqnp/Z1yQ0+zZkN3/aT+8KBY/DzPyGWW1GU4ueWldZVjCPYhDEudUVFwpOX++zBITzyBpry6Tg&#10;lxxs1g+TFabaDvxJfeYLESDsUlRQet+kUrq8JIMusg1x8L5ta9AH2RZStzgEuKnlUxy/SoMVh4US&#10;G9qWlP9knVGwOO939LL/k+PheNklp4r6ZNsp9Tgd35YgPI3+Hv5vf2gFz3C7Em6AXF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ouRmbEAAAA2gAAAA8AAAAAAAAAAAAAAAAA&#10;nwIAAGRycy9kb3ducmV2LnhtbFBLBQYAAAAABAAEAPcAAACQAwAAAAA=&#10;">
                    <v:imagedata r:id="rId11" o:title=""/>
                    <v:path arrowok="t"/>
                  </v:shape>
                  <v:shape id="図 10" o:spid="_x0000_s1029" type="#_x0000_t75" style="position:absolute;left:36902;top:925;width:20733;height:131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McwPFAAAA2wAAAA8AAABkcnMvZG93bnJldi54bWxET01PwkAQvZPwHzZD4oXIFgNEK9tGQIwn&#10;E6kavY3dsW3sztbdBcq/d0lMvM3L+5xl3ptWHMj5xrKC6SQBQVxa3XCl4KXYXl6D8AFZY2uZFJzI&#10;Q54NB0tMtT3yMx12oRIxhH2KCuoQulRKX9Zk0E9sRxy5L+sMhghdJbXDYww3rbxKkoU02HBsqLGj&#10;dU3l925vFCxO92/jp81DMXv9+Rh/us37an5jlboY9Xe3IAL14V/8537Ucf4Uzr/EA2T2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jHMDxQAAANsAAAAPAAAAAAAAAAAAAAAA&#10;AJ8CAABkcnMvZG93bnJldi54bWxQSwUGAAAAAAQABAD3AAAAkQMAAAAA&#10;">
                    <v:imagedata r:id="rId12" o:title=""/>
                    <v:path arrowok="t"/>
                  </v:shape>
                </v:group>
                <v:shapetype id="_x0000_t202" coordsize="21600,21600" o:spt="202" path="m,l,21600r21600,l21600,xe">
                  <v:stroke joinstyle="miter"/>
                  <v:path gradientshapeok="t" o:connecttype="rect"/>
                </v:shapetype>
                <v:shape id="テキスト ボックス 5" o:spid="_x0000_s1030" type="#_x0000_t202" style="position:absolute;top:22043;width:57621;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Cp8UA&#10;AADaAAAADwAAAGRycy9kb3ducmV2LnhtbESPQWsCMRSE74X+h/AKvZSarVqRrVFELFgv0q0Xb4/N&#10;c7Pt5mVJsrr+e1MQPA4z8w0zW/S2ESfyoXas4G2QgSAuna65UrD/+XydgggRWWPjmBRcKMBi/vgw&#10;w1y7M3/TqYiVSBAOOSowMba5lKE0ZDEMXEucvKPzFmOSvpLa4znBbSOHWTaRFmtOCwZbWhkq/4rO&#10;KtiNDzvz0h3X2+V45L/23WryWxVKPT/1yw8Qkfp4D9/aG63gHf6vpBs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cKnxQAAANoAAAAPAAAAAAAAAAAAAAAAAJgCAABkcnMv&#10;ZG93bnJldi54bWxQSwUGAAAAAAQABAD1AAAAigMAAAAA&#10;" stroked="f">
                  <v:textbox style="mso-fit-shape-to-text:t" inset="0,0,0,0">
                    <w:txbxContent>
                      <w:p w:rsidR="00806C18" w:rsidRPr="0087739D" w:rsidRDefault="00806C18" w:rsidP="00D71164">
                        <w:pPr>
                          <w:pStyle w:val="Caption"/>
                          <w:jc w:val="center"/>
                          <w:rPr>
                            <w:rFonts w:eastAsia="MS Mincho" w:cs="Times New Roman"/>
                            <w:noProof/>
                            <w:sz w:val="24"/>
                            <w:szCs w:val="24"/>
                            <w:lang w:val="en-GB"/>
                          </w:rPr>
                        </w:pPr>
                        <w:r w:rsidRPr="0087739D">
                          <w:rPr>
                            <w:sz w:val="24"/>
                            <w:szCs w:val="24"/>
                          </w:rPr>
                          <w:t>Comparison of frequency plans from the Draft CPM Report</w:t>
                        </w:r>
                      </w:p>
                    </w:txbxContent>
                  </v:textbox>
                </v:shape>
                <w10:wrap type="topAndBottom" anchorx="margin"/>
              </v:group>
            </w:pict>
          </mc:Fallback>
        </mc:AlternateContent>
      </w:r>
      <w:r w:rsidR="00526FA1" w:rsidRPr="00BF7F00">
        <w:rPr>
          <w:rFonts w:eastAsia="MS Mincho" w:cs="Times New Roman"/>
          <w:szCs w:val="20"/>
          <w:lang w:val="en-GB"/>
        </w:rPr>
        <w:t xml:space="preserve">This method </w:t>
      </w:r>
      <w:r w:rsidR="00526FA1" w:rsidRPr="00BF7F00">
        <w:rPr>
          <w:lang w:val="en-NZ"/>
        </w:rPr>
        <w:t>is based on frequency plan alternative 3</w:t>
      </w:r>
      <w:r w:rsidR="0018792D" w:rsidRPr="00BF7F00">
        <w:rPr>
          <w:rFonts w:eastAsia="MS Mincho" w:cs="Times New Roman"/>
          <w:szCs w:val="20"/>
          <w:lang w:val="en-GB"/>
        </w:rPr>
        <w:t>.</w:t>
      </w:r>
    </w:p>
    <w:p w:rsidR="00D63230" w:rsidRPr="00BF7F00" w:rsidRDefault="00D63230" w:rsidP="00D85CC8">
      <w:pPr>
        <w:spacing w:afterLines="50" w:after="120"/>
        <w:rPr>
          <w:lang w:eastAsia="ru-RU"/>
        </w:rPr>
      </w:pPr>
      <w:r w:rsidRPr="00BF7F00">
        <w:rPr>
          <w:lang w:eastAsia="ru-RU"/>
        </w:rPr>
        <w:t xml:space="preserve">During its November meeting, WP 5B considered the questions on the draft CPM text for agenda item 1.9.2, raised by the CPM-19 management team, and some comments were </w:t>
      </w:r>
      <w:r w:rsidRPr="00BF7F00">
        <w:rPr>
          <w:lang w:eastAsia="ru-RU"/>
        </w:rPr>
        <w:lastRenderedPageBreak/>
        <w:t>developed and incorporated into the WP 5B Chairman’s Report, aiming to provide assistance to the administrations for their preparation of input contributions on this agenda item to CPM19-2.</w:t>
      </w:r>
    </w:p>
    <w:p w:rsidR="00D85CC8" w:rsidRPr="00BF7F00" w:rsidRDefault="00D85CC8" w:rsidP="0018792D">
      <w:pPr>
        <w:spacing w:after="120"/>
        <w:jc w:val="both"/>
        <w:rPr>
          <w:rFonts w:eastAsiaTheme="minorEastAsia"/>
          <w:b/>
          <w:lang w:val="en-NZ" w:eastAsia="zh-CN"/>
        </w:rPr>
      </w:pPr>
      <w:r w:rsidRPr="00BF7F00">
        <w:rPr>
          <w:rFonts w:eastAsiaTheme="minorEastAsia"/>
          <w:b/>
          <w:lang w:val="en-NZ" w:eastAsia="zh-CN"/>
        </w:rPr>
        <w:t>1.2.</w:t>
      </w:r>
      <w:r w:rsidR="00CA24EB" w:rsidRPr="00BF7F00">
        <w:rPr>
          <w:rFonts w:eastAsiaTheme="minorEastAsia"/>
          <w:b/>
          <w:lang w:val="en-NZ" w:eastAsia="zh-CN"/>
        </w:rPr>
        <w:t>2</w:t>
      </w:r>
      <w:r w:rsidRPr="00BF7F00">
        <w:rPr>
          <w:rFonts w:eastAsiaTheme="minorEastAsia"/>
          <w:b/>
          <w:lang w:val="en-NZ" w:eastAsia="zh-CN"/>
        </w:rPr>
        <w:tab/>
      </w:r>
      <w:r w:rsidR="00CA24EB" w:rsidRPr="00BF7F00">
        <w:rPr>
          <w:rFonts w:eastAsiaTheme="minorEastAsia"/>
          <w:b/>
          <w:lang w:val="en-NZ" w:eastAsia="zh-CN"/>
        </w:rPr>
        <w:t>Studies on the supporting material</w:t>
      </w:r>
    </w:p>
    <w:p w:rsidR="00CA24EB" w:rsidRPr="00BF7F00" w:rsidRDefault="00CA24EB" w:rsidP="00CA24EB">
      <w:pPr>
        <w:spacing w:afterLines="50" w:after="120"/>
        <w:rPr>
          <w:lang w:eastAsia="ru-RU"/>
        </w:rPr>
      </w:pPr>
      <w:r w:rsidRPr="00BF7F00">
        <w:rPr>
          <w:lang w:eastAsia="ru-RU"/>
        </w:rPr>
        <w:t>Report ITU-R M.</w:t>
      </w:r>
      <w:bookmarkStart w:id="1" w:name="_Hlk534815112"/>
      <w:r w:rsidRPr="00BF7F00">
        <w:rPr>
          <w:lang w:eastAsia="ru-RU"/>
        </w:rPr>
        <w:t>2435-0</w:t>
      </w:r>
      <w:bookmarkEnd w:id="1"/>
      <w:r w:rsidRPr="00BF7F00">
        <w:rPr>
          <w:lang w:eastAsia="ru-RU"/>
        </w:rPr>
        <w:t xml:space="preserve"> was issued in November 2018, which provides technical description of the VDE-SAT and the compilation of results of the sharing and compatibility studies. During the WP 5B and SG 5 meeting, the Administration of Russian Federation indicate the views that the </w:t>
      </w:r>
      <w:proofErr w:type="spellStart"/>
      <w:r w:rsidRPr="00BF7F00">
        <w:rPr>
          <w:lang w:eastAsia="ru-RU"/>
        </w:rPr>
        <w:t>pfd</w:t>
      </w:r>
      <w:proofErr w:type="spellEnd"/>
      <w:r w:rsidRPr="00BF7F00">
        <w:rPr>
          <w:lang w:eastAsia="ru-RU"/>
        </w:rPr>
        <w:t xml:space="preserve"> mask derived from Recommendation ITU-R M.2092-0 does not protect land mobile and fixed service systems operating in accordance with existing allocations because it is based on an arithmetical mistake and objected to approve it. According to Resolution </w:t>
      </w:r>
      <w:r w:rsidR="007C05ED" w:rsidRPr="00BF7F00">
        <w:rPr>
          <w:lang w:eastAsia="ru-RU"/>
        </w:rPr>
        <w:t xml:space="preserve">ITU-R </w:t>
      </w:r>
      <w:r w:rsidRPr="00BF7F00">
        <w:rPr>
          <w:lang w:eastAsia="ru-RU"/>
        </w:rPr>
        <w:t>1-7 of Radio Assembly, one statement provided by Russian Federation was added to the Report.</w:t>
      </w:r>
    </w:p>
    <w:p w:rsidR="00CA24EB" w:rsidRPr="00BF7F00" w:rsidRDefault="00CA24EB" w:rsidP="00CA24EB">
      <w:pPr>
        <w:spacing w:afterLines="50" w:after="120"/>
        <w:rPr>
          <w:lang w:eastAsia="ru-RU"/>
        </w:rPr>
      </w:pPr>
      <w:r w:rsidRPr="00BF7F00">
        <w:rPr>
          <w:rFonts w:hint="eastAsia"/>
          <w:lang w:eastAsia="ru-RU"/>
        </w:rPr>
        <w:t>I</w:t>
      </w:r>
      <w:r w:rsidRPr="00BF7F00">
        <w:rPr>
          <w:lang w:eastAsia="ru-RU"/>
        </w:rPr>
        <w:t xml:space="preserve">n the Report </w:t>
      </w:r>
      <w:r w:rsidR="00F55050" w:rsidRPr="00BF7F00">
        <w:rPr>
          <w:lang w:eastAsia="ru-RU"/>
        </w:rPr>
        <w:t xml:space="preserve">ITU-R </w:t>
      </w:r>
      <w:r w:rsidRPr="00BF7F00">
        <w:rPr>
          <w:lang w:eastAsia="ru-RU"/>
        </w:rPr>
        <w:t xml:space="preserve">M.2435-0, four different </w:t>
      </w:r>
      <w:proofErr w:type="spellStart"/>
      <w:r w:rsidRPr="00BF7F00">
        <w:rPr>
          <w:lang w:eastAsia="ru-RU"/>
        </w:rPr>
        <w:t>pfd</w:t>
      </w:r>
      <w:proofErr w:type="spellEnd"/>
      <w:r w:rsidRPr="00BF7F00">
        <w:rPr>
          <w:lang w:eastAsia="ru-RU"/>
        </w:rPr>
        <w:t xml:space="preserve"> masks of VDE-SAT downlink were developed based on studies from administrations, who had different interpretation of protection criteria to land mobile service contained in the Recommendation ITU-R M.1808-0.</w:t>
      </w:r>
    </w:p>
    <w:p w:rsidR="00CA24EB" w:rsidRPr="00BF7F00" w:rsidRDefault="00CA24EB" w:rsidP="00CA24EB">
      <w:pPr>
        <w:spacing w:afterLines="50" w:after="120"/>
        <w:rPr>
          <w:lang w:eastAsia="ru-RU"/>
        </w:rPr>
      </w:pPr>
      <w:r w:rsidRPr="00BF7F00">
        <w:rPr>
          <w:rFonts w:hint="eastAsia"/>
          <w:lang w:eastAsia="ru-RU"/>
        </w:rPr>
        <w:t>I</w:t>
      </w:r>
      <w:r w:rsidRPr="00BF7F00">
        <w:rPr>
          <w:lang w:eastAsia="ru-RU"/>
        </w:rPr>
        <w:t xml:space="preserve">n the Report </w:t>
      </w:r>
      <w:r w:rsidR="00F55050" w:rsidRPr="00BF7F00">
        <w:rPr>
          <w:lang w:eastAsia="ru-RU"/>
        </w:rPr>
        <w:t xml:space="preserve">ITU-R </w:t>
      </w:r>
      <w:r w:rsidRPr="00BF7F00">
        <w:rPr>
          <w:lang w:eastAsia="ru-RU"/>
        </w:rPr>
        <w:t>M.2435-0, three alternative frequency utilization plans were developed based on studies from administrations.</w:t>
      </w:r>
    </w:p>
    <w:p w:rsidR="00736F20" w:rsidRPr="00BF7F00" w:rsidRDefault="00857913" w:rsidP="00736F20">
      <w:pPr>
        <w:spacing w:after="120"/>
        <w:jc w:val="both"/>
        <w:rPr>
          <w:rFonts w:eastAsiaTheme="minorEastAsia"/>
          <w:b/>
          <w:lang w:eastAsia="ja-JP"/>
        </w:rPr>
      </w:pPr>
      <w:r w:rsidRPr="00BF7F00">
        <w:rPr>
          <w:rFonts w:eastAsiaTheme="minorEastAsia" w:hint="eastAsia"/>
          <w:b/>
          <w:lang w:val="en-NZ" w:eastAsia="zh-CN"/>
        </w:rPr>
        <w:t>1</w:t>
      </w:r>
      <w:r w:rsidRPr="00BF7F00">
        <w:rPr>
          <w:rFonts w:eastAsiaTheme="minorEastAsia"/>
          <w:b/>
          <w:lang w:val="en-NZ" w:eastAsia="zh-CN"/>
        </w:rPr>
        <w:t>.3</w:t>
      </w:r>
      <w:r w:rsidRPr="00BF7F00">
        <w:rPr>
          <w:rFonts w:eastAsiaTheme="minorEastAsia"/>
          <w:b/>
          <w:lang w:val="en-NZ" w:eastAsia="zh-CN"/>
        </w:rPr>
        <w:tab/>
      </w:r>
      <w:r w:rsidR="00736F20" w:rsidRPr="00BF7F00">
        <w:rPr>
          <w:rFonts w:eastAsiaTheme="minorEastAsia"/>
          <w:b/>
          <w:lang w:eastAsia="ja-JP"/>
        </w:rPr>
        <w:t>List of relevant ITU-R Reports/Recommendations</w:t>
      </w:r>
    </w:p>
    <w:p w:rsidR="00736F20" w:rsidRPr="00BF7F00" w:rsidRDefault="00736F20" w:rsidP="00736F20">
      <w:pPr>
        <w:pStyle w:val="ListParagraph"/>
        <w:spacing w:after="120"/>
        <w:ind w:left="709" w:hanging="426"/>
        <w:jc w:val="both"/>
        <w:rPr>
          <w:lang w:val="en-NZ"/>
        </w:rPr>
      </w:pPr>
      <w:r w:rsidRPr="00BF7F00">
        <w:rPr>
          <w:lang w:val="en-NZ"/>
        </w:rPr>
        <w:t>-</w:t>
      </w:r>
      <w:r w:rsidRPr="00BF7F00">
        <w:rPr>
          <w:lang w:val="en-NZ"/>
        </w:rPr>
        <w:tab/>
      </w:r>
      <w:r w:rsidRPr="00BF7F00">
        <w:rPr>
          <w:rFonts w:hint="eastAsia"/>
          <w:lang w:val="en-NZ"/>
        </w:rPr>
        <w:t>Recommendation ITU-R M.2092-0</w:t>
      </w:r>
      <w:r w:rsidRPr="00BF7F00">
        <w:rPr>
          <w:lang w:val="en-NZ"/>
        </w:rPr>
        <w:t>: Technical characteristics for a VHF data exchange system in the VHF maritime mobile band</w:t>
      </w:r>
    </w:p>
    <w:p w:rsidR="00736F20" w:rsidRPr="00BF7F00" w:rsidRDefault="00736F20" w:rsidP="007746DB">
      <w:pPr>
        <w:spacing w:afterLines="50" w:after="120"/>
        <w:ind w:leftChars="119" w:left="708" w:hangingChars="176" w:hanging="422"/>
        <w:jc w:val="both"/>
        <w:rPr>
          <w:lang w:val="en-NZ"/>
        </w:rPr>
      </w:pPr>
      <w:r w:rsidRPr="00BF7F00">
        <w:rPr>
          <w:lang w:val="en-NZ"/>
        </w:rPr>
        <w:t>-</w:t>
      </w:r>
      <w:r w:rsidRPr="00BF7F00">
        <w:rPr>
          <w:lang w:val="en-NZ"/>
        </w:rPr>
        <w:tab/>
      </w:r>
      <w:r w:rsidR="00857913" w:rsidRPr="00BF7F00">
        <w:rPr>
          <w:lang w:val="en-NZ"/>
        </w:rPr>
        <w:t>Report ITU-R M.2435-0: Technical studies on the satellite component of the VHF data exchange system</w:t>
      </w:r>
    </w:p>
    <w:p w:rsidR="00736F20" w:rsidRPr="00BF7F00" w:rsidRDefault="00736F20" w:rsidP="00736F20">
      <w:pPr>
        <w:spacing w:after="120"/>
        <w:jc w:val="both"/>
        <w:rPr>
          <w:b/>
          <w:lang w:val="en-NZ" w:eastAsia="ko-KR"/>
        </w:rPr>
      </w:pPr>
      <w:r w:rsidRPr="00BF7F00">
        <w:rPr>
          <w:b/>
          <w:lang w:val="en-NZ" w:eastAsia="ko-KR"/>
        </w:rPr>
        <w:t>2.</w:t>
      </w:r>
      <w:r w:rsidRPr="00BF7F00">
        <w:rPr>
          <w:b/>
          <w:lang w:val="en-NZ" w:eastAsia="ko-KR"/>
        </w:rPr>
        <w:tab/>
        <w:t>Documents</w:t>
      </w:r>
    </w:p>
    <w:p w:rsidR="00736F20" w:rsidRPr="00BF7F00" w:rsidRDefault="00736F20" w:rsidP="007746DB">
      <w:pPr>
        <w:spacing w:afterLines="50" w:after="120"/>
        <w:ind w:left="2977" w:hanging="2977"/>
        <w:rPr>
          <w:lang w:val="en-NZ"/>
        </w:rPr>
      </w:pPr>
      <w:r w:rsidRPr="00BF7F00">
        <w:rPr>
          <w:lang w:val="en-NZ"/>
        </w:rPr>
        <w:t>Input Documents:</w:t>
      </w:r>
      <w:r w:rsidRPr="00BF7F00">
        <w:rPr>
          <w:lang w:val="en-NZ"/>
        </w:rPr>
        <w:tab/>
      </w:r>
      <w:r w:rsidR="0053053C" w:rsidRPr="00BF7F00">
        <w:rPr>
          <w:lang w:val="en-NZ"/>
        </w:rPr>
        <w:t>A</w:t>
      </w:r>
      <w:r w:rsidRPr="00BF7F00">
        <w:rPr>
          <w:lang w:val="en-NZ"/>
        </w:rPr>
        <w:t>PG19-4/INP-19(Rev.1) (AUS), APG19-4/INP-26 (NZL),</w:t>
      </w:r>
      <w:r w:rsidRPr="00BF7F00">
        <w:rPr>
          <w:lang w:val="en-NZ"/>
        </w:rPr>
        <w:br/>
      </w:r>
      <w:bookmarkStart w:id="2" w:name="_Hlk534719706"/>
      <w:r w:rsidRPr="00BF7F00">
        <w:rPr>
          <w:lang w:val="en-NZ"/>
        </w:rPr>
        <w:t>APG19-4/INP-33</w:t>
      </w:r>
      <w:bookmarkEnd w:id="2"/>
      <w:r w:rsidRPr="00BF7F00">
        <w:rPr>
          <w:lang w:val="en-NZ"/>
        </w:rPr>
        <w:t xml:space="preserve"> (THA), PG19-4/INP-63 (J),</w:t>
      </w:r>
      <w:r w:rsidR="006A3C58" w:rsidRPr="00BF7F00">
        <w:rPr>
          <w:lang w:val="en-NZ"/>
        </w:rPr>
        <w:br/>
      </w:r>
      <w:r w:rsidRPr="00BF7F00">
        <w:rPr>
          <w:lang w:val="en-NZ"/>
        </w:rPr>
        <w:t>APG19-4/INP-80 (KOR),</w:t>
      </w:r>
      <w:r w:rsidR="00BF7F00">
        <w:rPr>
          <w:lang w:val="en-NZ"/>
        </w:rPr>
        <w:t xml:space="preserve"> </w:t>
      </w:r>
      <w:r w:rsidRPr="00BF7F00">
        <w:rPr>
          <w:lang w:val="en-NZ"/>
        </w:rPr>
        <w:t>APG19-4/INP-99 (CHN),</w:t>
      </w:r>
      <w:r w:rsidR="006A3C58" w:rsidRPr="00BF7F00">
        <w:rPr>
          <w:lang w:val="en-NZ"/>
        </w:rPr>
        <w:br/>
      </w:r>
      <w:r w:rsidRPr="00BF7F00">
        <w:rPr>
          <w:lang w:val="en-NZ"/>
        </w:rPr>
        <w:t>APG19-4/INP-122 (INS)</w:t>
      </w:r>
    </w:p>
    <w:p w:rsidR="00736F20" w:rsidRPr="00BF7F00" w:rsidRDefault="00736F20" w:rsidP="007746DB">
      <w:pPr>
        <w:spacing w:afterLines="50" w:after="120"/>
        <w:ind w:left="2880" w:hanging="2880"/>
        <w:rPr>
          <w:lang w:val="en-NZ"/>
        </w:rPr>
      </w:pPr>
      <w:r w:rsidRPr="00BF7F00">
        <w:rPr>
          <w:lang w:val="en-NZ"/>
        </w:rPr>
        <w:t>Information Documents:</w:t>
      </w:r>
      <w:r w:rsidRPr="00BF7F00">
        <w:rPr>
          <w:lang w:val="en-NZ"/>
        </w:rPr>
        <w:tab/>
      </w:r>
      <w:r w:rsidR="00250740" w:rsidRPr="00BF7F00">
        <w:rPr>
          <w:lang w:val="en-NZ"/>
        </w:rPr>
        <w:t>APG19-4/INP-09(Rev.1) (APG chairman),</w:t>
      </w:r>
      <w:r w:rsidR="00250740" w:rsidRPr="00BF7F00">
        <w:rPr>
          <w:lang w:val="en-NZ"/>
        </w:rPr>
        <w:br/>
      </w:r>
      <w:r w:rsidRPr="00BF7F00">
        <w:rPr>
          <w:lang w:val="en-NZ"/>
        </w:rPr>
        <w:t>APG19-4/INF-04 (ICAO), APG19-4/INF-22 (CITEL),</w:t>
      </w:r>
      <w:r w:rsidRPr="00BF7F00">
        <w:rPr>
          <w:lang w:val="en-NZ"/>
        </w:rPr>
        <w:br/>
        <w:t>APG19-4/INF-23 (CEPT), APG19-4/INF-24 (RCC)</w:t>
      </w:r>
    </w:p>
    <w:p w:rsidR="00736F20" w:rsidRPr="00BF7F00" w:rsidRDefault="00736F20" w:rsidP="00736F20">
      <w:pPr>
        <w:rPr>
          <w:b/>
          <w:lang w:val="en-NZ" w:eastAsia="ko-KR"/>
        </w:rPr>
      </w:pPr>
      <w:r w:rsidRPr="00BF7F00">
        <w:rPr>
          <w:b/>
          <w:lang w:val="en-NZ" w:eastAsia="ko-KR"/>
        </w:rPr>
        <w:t>3.</w:t>
      </w:r>
      <w:r w:rsidRPr="00BF7F00">
        <w:rPr>
          <w:b/>
          <w:lang w:val="en-NZ" w:eastAsia="ko-KR"/>
        </w:rPr>
        <w:tab/>
        <w:t>Summary of discussions</w:t>
      </w:r>
    </w:p>
    <w:p w:rsidR="008B6D97" w:rsidRPr="00BF7F00" w:rsidRDefault="00736F20" w:rsidP="00736F20">
      <w:pPr>
        <w:spacing w:after="120"/>
        <w:jc w:val="both"/>
        <w:rPr>
          <w:b/>
          <w:lang w:val="en-NZ" w:eastAsia="ko-KR"/>
        </w:rPr>
      </w:pPr>
      <w:r w:rsidRPr="00BF7F00">
        <w:rPr>
          <w:b/>
          <w:lang w:val="en-NZ" w:eastAsia="ko-KR"/>
        </w:rPr>
        <w:t>3.1</w:t>
      </w:r>
      <w:r w:rsidRPr="00BF7F00">
        <w:rPr>
          <w:b/>
          <w:lang w:val="en-NZ" w:eastAsia="ko-KR"/>
        </w:rPr>
        <w:tab/>
        <w:t>S</w:t>
      </w:r>
      <w:r w:rsidRPr="00BF7F00">
        <w:rPr>
          <w:rFonts w:hint="eastAsia"/>
          <w:b/>
          <w:lang w:val="en-NZ" w:eastAsia="ko-KR"/>
        </w:rPr>
        <w:t xml:space="preserve">ummary </w:t>
      </w:r>
      <w:r w:rsidRPr="00BF7F00">
        <w:rPr>
          <w:b/>
          <w:lang w:val="en-NZ" w:eastAsia="ko-KR"/>
        </w:rPr>
        <w:t>of APT Members’ views</w:t>
      </w:r>
    </w:p>
    <w:p w:rsidR="008B6D97" w:rsidRPr="00BF7F00" w:rsidRDefault="008B6D97" w:rsidP="006C0485">
      <w:pPr>
        <w:spacing w:after="120"/>
        <w:jc w:val="both"/>
        <w:rPr>
          <w:b/>
          <w:lang w:val="en-NZ" w:eastAsia="ko-KR"/>
        </w:rPr>
      </w:pPr>
      <w:r w:rsidRPr="00BF7F00">
        <w:rPr>
          <w:b/>
          <w:lang w:val="en-NZ" w:eastAsia="ko-KR"/>
        </w:rPr>
        <w:t>3.1.1</w:t>
      </w:r>
      <w:r w:rsidRPr="00BF7F00">
        <w:rPr>
          <w:b/>
          <w:lang w:val="en-NZ" w:eastAsia="ko-KR"/>
        </w:rPr>
        <w:tab/>
      </w:r>
      <w:r w:rsidR="006C0485" w:rsidRPr="00BF7F00">
        <w:rPr>
          <w:b/>
          <w:lang w:val="en-NZ" w:eastAsia="ko-KR"/>
        </w:rPr>
        <w:t>Australia - Document APG19-4/INP-19(Rev.1)</w:t>
      </w:r>
    </w:p>
    <w:p w:rsidR="006C0485" w:rsidRPr="00BF7F00" w:rsidRDefault="006C0485" w:rsidP="006C0485">
      <w:pPr>
        <w:rPr>
          <w:lang w:val="en-AU"/>
        </w:rPr>
      </w:pPr>
      <w:r w:rsidRPr="00BF7F00">
        <w:rPr>
          <w:lang w:val="en-AU"/>
        </w:rPr>
        <w:t xml:space="preserve">Australia supports facilitating the introduction of a new VHF data exchange system (VDES) satellite component consistent with Resolution </w:t>
      </w:r>
      <w:r w:rsidRPr="00BF7F00">
        <w:rPr>
          <w:b/>
          <w:lang w:val="en-AU"/>
        </w:rPr>
        <w:t>360 (Rev.WRC-15)</w:t>
      </w:r>
      <w:r w:rsidRPr="00BF7F00">
        <w:rPr>
          <w:lang w:val="en-AU"/>
        </w:rPr>
        <w:t>.</w:t>
      </w:r>
    </w:p>
    <w:p w:rsidR="006C0485" w:rsidRPr="00BF7F00" w:rsidRDefault="006C0485" w:rsidP="006C0485">
      <w:pPr>
        <w:rPr>
          <w:lang w:val="en-AU"/>
        </w:rPr>
      </w:pPr>
    </w:p>
    <w:p w:rsidR="006C0485" w:rsidRPr="00BF7F00" w:rsidRDefault="006C0485" w:rsidP="006C0485">
      <w:pPr>
        <w:rPr>
          <w:lang w:val="en-AU"/>
        </w:rPr>
      </w:pPr>
      <w:bookmarkStart w:id="3" w:name="_Hlk534754403"/>
      <w:r w:rsidRPr="00BF7F00">
        <w:rPr>
          <w:lang w:val="en-AU"/>
        </w:rPr>
        <w:t>Any new allocation for the satellite component of VDES should coexist and be compatible with the systems in the radiocommunication services allocated in the same and adjacent frequency bands without imposing any additional constraints on those services.</w:t>
      </w:r>
      <w:bookmarkEnd w:id="3"/>
    </w:p>
    <w:p w:rsidR="006C0485" w:rsidRPr="00BF7F00" w:rsidRDefault="006C0485" w:rsidP="006C0485">
      <w:pPr>
        <w:rPr>
          <w:lang w:val="en-AU"/>
        </w:rPr>
      </w:pPr>
    </w:p>
    <w:p w:rsidR="006C0485" w:rsidRPr="00BF7F00" w:rsidRDefault="006C0485" w:rsidP="006C0485">
      <w:pPr>
        <w:rPr>
          <w:lang w:val="en-AU"/>
        </w:rPr>
      </w:pPr>
      <w:r w:rsidRPr="00BF7F00">
        <w:rPr>
          <w:lang w:val="en-AU"/>
        </w:rPr>
        <w:t xml:space="preserve">Australia supports </w:t>
      </w:r>
      <w:r w:rsidR="003F0075" w:rsidRPr="00BF7F00">
        <w:rPr>
          <w:rFonts w:eastAsiaTheme="minorEastAsia" w:hint="eastAsia"/>
          <w:lang w:val="en-AU" w:eastAsia="ja-JP"/>
        </w:rPr>
        <w:t xml:space="preserve">elements </w:t>
      </w:r>
      <w:r w:rsidRPr="00BF7F00">
        <w:rPr>
          <w:lang w:val="en-AU"/>
        </w:rPr>
        <w:t>of Methods E and F in the Draft CPM Report</w:t>
      </w:r>
      <w:r w:rsidR="003F0075" w:rsidRPr="00BF7F00">
        <w:rPr>
          <w:lang w:val="en-AU"/>
        </w:rPr>
        <w:t xml:space="preserve"> subject to further consideration</w:t>
      </w:r>
      <w:r w:rsidRPr="00BF7F00">
        <w:rPr>
          <w:lang w:val="en-AU"/>
        </w:rPr>
        <w:t>.</w:t>
      </w:r>
    </w:p>
    <w:p w:rsidR="006C0485" w:rsidRPr="00BF7F00" w:rsidRDefault="006C0485" w:rsidP="006C0485">
      <w:pPr>
        <w:rPr>
          <w:lang w:val="en-AU"/>
        </w:rPr>
      </w:pPr>
    </w:p>
    <w:p w:rsidR="006C0485" w:rsidRPr="00BF7F00" w:rsidRDefault="006C0485" w:rsidP="006C0485">
      <w:pPr>
        <w:rPr>
          <w:lang w:val="en-AU"/>
        </w:rPr>
      </w:pPr>
      <w:r w:rsidRPr="00BF7F00">
        <w:rPr>
          <w:lang w:val="en-AU"/>
        </w:rPr>
        <w:t>Australia supports the APT Preliminary View on this agenda item from the APG19-3 meeting.</w:t>
      </w:r>
    </w:p>
    <w:p w:rsidR="00054E7C" w:rsidRPr="00BF7F00" w:rsidRDefault="00054E7C" w:rsidP="00054E7C">
      <w:pPr>
        <w:rPr>
          <w:lang w:val="en-AU"/>
        </w:rPr>
      </w:pPr>
    </w:p>
    <w:p w:rsidR="00054E7C" w:rsidRPr="00BF7F00" w:rsidRDefault="001449D5" w:rsidP="00054E7C">
      <w:pPr>
        <w:spacing w:after="120"/>
        <w:jc w:val="both"/>
        <w:rPr>
          <w:b/>
          <w:lang w:val="en-NZ" w:eastAsia="ko-KR"/>
        </w:rPr>
      </w:pPr>
      <w:r w:rsidRPr="00BF7F00">
        <w:rPr>
          <w:b/>
          <w:lang w:val="en-NZ" w:eastAsia="ko-KR"/>
        </w:rPr>
        <w:t>3.1.2</w:t>
      </w:r>
      <w:r w:rsidR="00054E7C" w:rsidRPr="00BF7F00">
        <w:rPr>
          <w:b/>
          <w:lang w:val="en-NZ" w:eastAsia="ko-KR"/>
        </w:rPr>
        <w:tab/>
      </w:r>
      <w:r w:rsidR="007E1432" w:rsidRPr="00BF7F00">
        <w:rPr>
          <w:b/>
          <w:lang w:val="en-NZ" w:eastAsia="ko-KR"/>
        </w:rPr>
        <w:t>New Zealand</w:t>
      </w:r>
      <w:r w:rsidR="00054E7C" w:rsidRPr="00BF7F00">
        <w:rPr>
          <w:b/>
          <w:lang w:val="en-NZ" w:eastAsia="ko-KR"/>
        </w:rPr>
        <w:t xml:space="preserve"> - Document </w:t>
      </w:r>
      <w:r w:rsidRPr="00BF7F00">
        <w:rPr>
          <w:b/>
          <w:lang w:val="en-NZ" w:eastAsia="ko-KR"/>
        </w:rPr>
        <w:t>APG19-4/INP-26</w:t>
      </w:r>
    </w:p>
    <w:p w:rsidR="007E1432" w:rsidRPr="00BF7F00" w:rsidRDefault="007E1432" w:rsidP="007E1432">
      <w:pPr>
        <w:tabs>
          <w:tab w:val="left" w:pos="600"/>
        </w:tabs>
        <w:jc w:val="both"/>
        <w:rPr>
          <w:lang w:val="en-NZ"/>
        </w:rPr>
      </w:pPr>
      <w:r w:rsidRPr="00BF7F00">
        <w:rPr>
          <w:lang w:val="en-NZ"/>
        </w:rPr>
        <w:lastRenderedPageBreak/>
        <w:t xml:space="preserve">New Zealand supports the studies undertaken in accordance with Resolution </w:t>
      </w:r>
      <w:r w:rsidRPr="00BF7F00">
        <w:rPr>
          <w:b/>
          <w:lang w:val="en-NZ"/>
        </w:rPr>
        <w:t>360 (Rev. WRC-15)</w:t>
      </w:r>
      <w:r w:rsidRPr="00BF7F00">
        <w:rPr>
          <w:lang w:val="en-NZ"/>
        </w:rPr>
        <w:t xml:space="preserve"> to identify possible new allocations to the maritime mobile-satellite servic</w:t>
      </w:r>
      <w:r w:rsidR="00C313BA" w:rsidRPr="00BF7F00">
        <w:rPr>
          <w:lang w:val="en-NZ"/>
        </w:rPr>
        <w:t>e for VDES satellite component.</w:t>
      </w:r>
    </w:p>
    <w:p w:rsidR="007E1432" w:rsidRPr="00BF7F00" w:rsidRDefault="007E1432" w:rsidP="007E1432">
      <w:pPr>
        <w:tabs>
          <w:tab w:val="left" w:pos="600"/>
        </w:tabs>
        <w:jc w:val="both"/>
        <w:rPr>
          <w:lang w:val="en-NZ"/>
        </w:rPr>
      </w:pPr>
    </w:p>
    <w:p w:rsidR="007E1432" w:rsidRPr="00BF7F00" w:rsidRDefault="007E1432" w:rsidP="007E1432">
      <w:pPr>
        <w:tabs>
          <w:tab w:val="left" w:pos="600"/>
        </w:tabs>
        <w:jc w:val="both"/>
        <w:rPr>
          <w:lang w:val="en-NZ"/>
        </w:rPr>
      </w:pPr>
      <w:r w:rsidRPr="00BF7F00">
        <w:rPr>
          <w:lang w:val="en-NZ"/>
        </w:rPr>
        <w:t xml:space="preserve">New Zealand is of the view that the candidate band for this possible new allocation to the maritime mobile-satellite service should be within the existing frequency range already assigned to VHF maritime mobile channels in accordance with RR Appendix </w:t>
      </w:r>
      <w:r w:rsidRPr="00BF7F00">
        <w:rPr>
          <w:b/>
          <w:lang w:val="en-NZ"/>
        </w:rPr>
        <w:t>18</w:t>
      </w:r>
      <w:r w:rsidRPr="00BF7F00">
        <w:rPr>
          <w:lang w:val="en-NZ"/>
        </w:rPr>
        <w:t>. Therefore, New Zealand supports Method F</w:t>
      </w:r>
      <w:r w:rsidRPr="00BF7F00">
        <w:t xml:space="preserve"> </w:t>
      </w:r>
      <w:r w:rsidRPr="00BF7F00">
        <w:rPr>
          <w:lang w:val="en-NZ"/>
        </w:rPr>
        <w:t>as outlined in the draft CPM text for WRC-19 Agenda item 1.9.2.</w:t>
      </w:r>
    </w:p>
    <w:p w:rsidR="001449D5" w:rsidRPr="00BF7F00" w:rsidRDefault="001449D5" w:rsidP="00054E7C">
      <w:pPr>
        <w:rPr>
          <w:lang w:val="en-NZ"/>
        </w:rPr>
      </w:pPr>
    </w:p>
    <w:p w:rsidR="001449D5" w:rsidRPr="00BF7F00" w:rsidRDefault="001449D5" w:rsidP="001449D5">
      <w:pPr>
        <w:spacing w:after="120"/>
        <w:jc w:val="both"/>
        <w:rPr>
          <w:b/>
          <w:lang w:val="en-NZ" w:eastAsia="ko-KR"/>
        </w:rPr>
      </w:pPr>
      <w:r w:rsidRPr="00BF7F00">
        <w:rPr>
          <w:b/>
          <w:lang w:val="en-NZ" w:eastAsia="ko-KR"/>
        </w:rPr>
        <w:t>3.1.3</w:t>
      </w:r>
      <w:r w:rsidRPr="00BF7F00">
        <w:rPr>
          <w:b/>
          <w:lang w:val="en-NZ" w:eastAsia="ko-KR"/>
        </w:rPr>
        <w:tab/>
        <w:t>T</w:t>
      </w:r>
      <w:r w:rsidR="007E1432" w:rsidRPr="00BF7F00">
        <w:rPr>
          <w:b/>
          <w:lang w:val="en-NZ" w:eastAsia="ko-KR"/>
        </w:rPr>
        <w:t>hailand</w:t>
      </w:r>
      <w:r w:rsidRPr="00BF7F00">
        <w:rPr>
          <w:b/>
          <w:lang w:val="en-NZ" w:eastAsia="ko-KR"/>
        </w:rPr>
        <w:t xml:space="preserve"> - Document APG19-4/INP-33</w:t>
      </w:r>
    </w:p>
    <w:p w:rsidR="007E1432" w:rsidRPr="00BF7F00" w:rsidRDefault="007E1432" w:rsidP="007E1432">
      <w:pPr>
        <w:spacing w:before="120"/>
        <w:contextualSpacing/>
        <w:jc w:val="thaiDistribute"/>
        <w:rPr>
          <w:szCs w:val="22"/>
        </w:rPr>
      </w:pPr>
      <w:r w:rsidRPr="00BF7F00">
        <w:rPr>
          <w:szCs w:val="22"/>
        </w:rPr>
        <w:t xml:space="preserve">Thailand supports </w:t>
      </w:r>
      <w:bookmarkStart w:id="4" w:name="_Hlk534755128"/>
      <w:r w:rsidRPr="00BF7F00">
        <w:rPr>
          <w:szCs w:val="22"/>
        </w:rPr>
        <w:t xml:space="preserve">a new primary allocation for the MMSS (Earth-to-space) in the frequency band 157.1875-157.3375 MHz and a new primary allocation for the MMSS (space-to-Earth) in the frequency band 161.7875-161.9375 </w:t>
      </w:r>
      <w:proofErr w:type="spellStart"/>
      <w:r w:rsidRPr="00BF7F00">
        <w:rPr>
          <w:szCs w:val="22"/>
        </w:rPr>
        <w:t>MHz.</w:t>
      </w:r>
      <w:bookmarkEnd w:id="4"/>
      <w:proofErr w:type="spellEnd"/>
    </w:p>
    <w:p w:rsidR="007E1432" w:rsidRPr="00BF7F00" w:rsidRDefault="007E1432" w:rsidP="007E1432">
      <w:pPr>
        <w:spacing w:before="120"/>
        <w:contextualSpacing/>
        <w:jc w:val="thaiDistribute"/>
        <w:rPr>
          <w:szCs w:val="22"/>
        </w:rPr>
      </w:pPr>
      <w:r w:rsidRPr="00BF7F00">
        <w:rPr>
          <w:szCs w:val="22"/>
        </w:rPr>
        <w:t>Tha</w:t>
      </w:r>
      <w:r w:rsidR="00C313BA" w:rsidRPr="00BF7F00">
        <w:rPr>
          <w:szCs w:val="22"/>
        </w:rPr>
        <w:t>iland is also of the view that:</w:t>
      </w:r>
    </w:p>
    <w:p w:rsidR="007E1432" w:rsidRPr="00BF7F00" w:rsidRDefault="007E1432" w:rsidP="007E1432">
      <w:pPr>
        <w:spacing w:before="120"/>
        <w:contextualSpacing/>
        <w:jc w:val="thaiDistribute"/>
        <w:rPr>
          <w:szCs w:val="22"/>
        </w:rPr>
      </w:pPr>
      <w:r w:rsidRPr="00BF7F00">
        <w:rPr>
          <w:szCs w:val="22"/>
        </w:rPr>
        <w:t>- Existing services in the same and adjacent bands should be protected from harmful interference, and no any addition</w:t>
      </w:r>
      <w:r w:rsidR="00C313BA" w:rsidRPr="00BF7F00">
        <w:rPr>
          <w:szCs w:val="22"/>
        </w:rPr>
        <w:t>al constraints are imposed; and</w:t>
      </w:r>
    </w:p>
    <w:p w:rsidR="007E1432" w:rsidRPr="00BF7F00" w:rsidRDefault="007E1432" w:rsidP="007E1432">
      <w:pPr>
        <w:spacing w:before="120"/>
        <w:contextualSpacing/>
        <w:jc w:val="thaiDistribute"/>
        <w:rPr>
          <w:szCs w:val="22"/>
        </w:rPr>
      </w:pPr>
      <w:r w:rsidRPr="00BF7F00">
        <w:rPr>
          <w:szCs w:val="22"/>
        </w:rPr>
        <w:t xml:space="preserve">- In order to protect the RAS, Annex 1 to Resolution </w:t>
      </w:r>
      <w:r w:rsidRPr="00BF7F00">
        <w:rPr>
          <w:b/>
          <w:szCs w:val="22"/>
        </w:rPr>
        <w:t>739 (Rev.WRC-15)</w:t>
      </w:r>
      <w:r w:rsidRPr="00BF7F00">
        <w:rPr>
          <w:szCs w:val="22"/>
        </w:rPr>
        <w:t xml:space="preserve"> should be revised.</w:t>
      </w:r>
    </w:p>
    <w:p w:rsidR="001449D5" w:rsidRPr="00BF7F00" w:rsidRDefault="001449D5" w:rsidP="001449D5">
      <w:pPr>
        <w:rPr>
          <w:lang w:val="en-NZ"/>
        </w:rPr>
      </w:pPr>
    </w:p>
    <w:p w:rsidR="001449D5" w:rsidRPr="00BF7F00" w:rsidRDefault="001449D5" w:rsidP="001449D5">
      <w:pPr>
        <w:spacing w:after="120"/>
        <w:jc w:val="both"/>
        <w:rPr>
          <w:b/>
          <w:lang w:val="en-NZ" w:eastAsia="ko-KR"/>
        </w:rPr>
      </w:pPr>
      <w:r w:rsidRPr="00BF7F00">
        <w:rPr>
          <w:b/>
          <w:lang w:val="en-NZ" w:eastAsia="ko-KR"/>
        </w:rPr>
        <w:t>3.1.4</w:t>
      </w:r>
      <w:r w:rsidRPr="00BF7F00">
        <w:rPr>
          <w:b/>
          <w:lang w:val="en-NZ" w:eastAsia="ko-KR"/>
        </w:rPr>
        <w:tab/>
        <w:t>Japan - Document PG19-4/INP-63</w:t>
      </w:r>
    </w:p>
    <w:p w:rsidR="001449D5" w:rsidRPr="00BF7F00" w:rsidRDefault="007E1432" w:rsidP="001449D5">
      <w:pPr>
        <w:rPr>
          <w:lang w:val="en-NZ"/>
        </w:rPr>
      </w:pPr>
      <w:r w:rsidRPr="00BF7F00">
        <w:rPr>
          <w:lang w:val="en-NZ"/>
        </w:rPr>
        <w:t xml:space="preserve">Japan supports the introduction of VDES satellite component. Japan is of the view that only the frequencies in RR Appendix </w:t>
      </w:r>
      <w:r w:rsidRPr="00BF7F00">
        <w:rPr>
          <w:b/>
          <w:lang w:val="en-NZ"/>
        </w:rPr>
        <w:t>18</w:t>
      </w:r>
      <w:r w:rsidRPr="00BF7F00">
        <w:rPr>
          <w:lang w:val="en-NZ"/>
        </w:rPr>
        <w:t xml:space="preserve"> should be considered for the satellite component of the VDES. The frequencies, considered in ITU-R, not in RR Appendix </w:t>
      </w:r>
      <w:r w:rsidRPr="00BF7F00">
        <w:rPr>
          <w:b/>
          <w:lang w:val="en-NZ"/>
        </w:rPr>
        <w:t>18</w:t>
      </w:r>
      <w:r w:rsidRPr="00BF7F00">
        <w:rPr>
          <w:lang w:val="en-NZ"/>
        </w:rPr>
        <w:t xml:space="preserve"> are used for terrestrial services other than maritime mobile service, and existing stations in these services need to be protected. Therefore, Japan supports Method F in the methods currently raised to allocate VDES satellite component frequencies in the draft CPM Report, in the view that the satellite component of the VDES in the frequency bands should be channelized in RR Appendix </w:t>
      </w:r>
      <w:r w:rsidRPr="00BF7F00">
        <w:rPr>
          <w:b/>
          <w:lang w:val="en-NZ"/>
        </w:rPr>
        <w:t>18</w:t>
      </w:r>
      <w:r w:rsidRPr="00BF7F00">
        <w:rPr>
          <w:lang w:val="en-NZ"/>
        </w:rPr>
        <w:t xml:space="preserve"> which is already identified for VHF maritime mobile.</w:t>
      </w:r>
    </w:p>
    <w:p w:rsidR="001449D5" w:rsidRPr="00BF7F00" w:rsidRDefault="001449D5" w:rsidP="001449D5">
      <w:pPr>
        <w:rPr>
          <w:lang w:val="en-NZ"/>
        </w:rPr>
      </w:pPr>
    </w:p>
    <w:p w:rsidR="001449D5" w:rsidRPr="00BF7F00" w:rsidRDefault="001449D5" w:rsidP="001449D5">
      <w:pPr>
        <w:spacing w:after="120"/>
        <w:jc w:val="both"/>
        <w:rPr>
          <w:b/>
          <w:lang w:val="en-NZ" w:eastAsia="ko-KR"/>
        </w:rPr>
      </w:pPr>
      <w:r w:rsidRPr="00BF7F00">
        <w:rPr>
          <w:b/>
          <w:lang w:val="en-NZ" w:eastAsia="ko-KR"/>
        </w:rPr>
        <w:t>3.1.5</w:t>
      </w:r>
      <w:r w:rsidRPr="00BF7F00">
        <w:rPr>
          <w:b/>
          <w:lang w:val="en-NZ" w:eastAsia="ko-KR"/>
        </w:rPr>
        <w:tab/>
      </w:r>
      <w:r w:rsidR="007E1432" w:rsidRPr="00BF7F00">
        <w:rPr>
          <w:b/>
          <w:lang w:val="en-NZ" w:eastAsia="ko-KR"/>
        </w:rPr>
        <w:t>Korea (Rep. of)</w:t>
      </w:r>
      <w:r w:rsidRPr="00BF7F00">
        <w:rPr>
          <w:b/>
          <w:lang w:val="en-NZ" w:eastAsia="ko-KR"/>
        </w:rPr>
        <w:t xml:space="preserve"> - Document APG19-4/INP-80</w:t>
      </w:r>
    </w:p>
    <w:p w:rsidR="007E1432" w:rsidRPr="00BF7F00" w:rsidRDefault="007E1432" w:rsidP="007E1432">
      <w:pPr>
        <w:spacing w:after="120"/>
        <w:rPr>
          <w:rFonts w:eastAsia="MS Mincho"/>
          <w:lang w:val="en-NZ" w:eastAsia="ja-JP"/>
        </w:rPr>
      </w:pPr>
      <w:r w:rsidRPr="00BF7F00">
        <w:rPr>
          <w:rFonts w:eastAsia="MS Mincho"/>
          <w:lang w:val="en-NZ" w:eastAsia="ja-JP"/>
        </w:rPr>
        <w:t xml:space="preserve">APT Members support the ITU-R studies undertaken in accordance with Resolution </w:t>
      </w:r>
      <w:r w:rsidRPr="00BF7F00">
        <w:rPr>
          <w:rFonts w:eastAsia="MS Mincho"/>
          <w:b/>
          <w:lang w:val="en-NZ" w:eastAsia="ja-JP"/>
        </w:rPr>
        <w:t>360 (Rev. WRC-15)</w:t>
      </w:r>
      <w:r w:rsidRPr="00BF7F00">
        <w:rPr>
          <w:rFonts w:eastAsia="MS Mincho"/>
          <w:lang w:val="en-NZ" w:eastAsia="ja-JP"/>
        </w:rPr>
        <w:t xml:space="preserve"> to identify possible new allocations to the maritime mobile-satellite service for VDE satellite component.</w:t>
      </w:r>
    </w:p>
    <w:p w:rsidR="007E1432" w:rsidRPr="00BF7F00" w:rsidRDefault="007E1432" w:rsidP="007E1432">
      <w:pPr>
        <w:spacing w:after="120"/>
        <w:rPr>
          <w:lang w:val="en-NZ"/>
        </w:rPr>
      </w:pPr>
      <w:r w:rsidRPr="00BF7F00">
        <w:rPr>
          <w:lang w:val="en-NZ"/>
        </w:rPr>
        <w:t>In regard</w:t>
      </w:r>
      <w:r w:rsidRPr="00BF7F00">
        <w:rPr>
          <w:rFonts w:eastAsia="MS Mincho"/>
          <w:lang w:val="en-NZ" w:eastAsia="ja-JP"/>
        </w:rPr>
        <w:t>s to</w:t>
      </w:r>
      <w:r w:rsidRPr="00BF7F00">
        <w:rPr>
          <w:lang w:val="en-NZ"/>
        </w:rPr>
        <w:t xml:space="preserve"> the possible modification of the Radio Regulations under WRC-19 Agenda Item 1.9.2, APT Members are of the view that:</w:t>
      </w:r>
    </w:p>
    <w:p w:rsidR="007E1432" w:rsidRPr="00BF7F00" w:rsidRDefault="007E1432" w:rsidP="007E1432">
      <w:pPr>
        <w:pStyle w:val="ListParagraph"/>
        <w:spacing w:after="120"/>
        <w:ind w:left="426" w:hanging="425"/>
        <w:rPr>
          <w:lang w:val="en-NZ"/>
        </w:rPr>
      </w:pPr>
      <w:r w:rsidRPr="00BF7F00">
        <w:rPr>
          <w:lang w:val="en-NZ"/>
        </w:rPr>
        <w:t>-</w:t>
      </w:r>
      <w:r w:rsidRPr="00BF7F00">
        <w:rPr>
          <w:lang w:val="en-NZ"/>
        </w:rPr>
        <w:tab/>
        <w:t>Existing allocations and systems in the same and adjacent bands, especially the AIS, must be protected from harmful interference or any constraints, which include but are not limited to, any modification requested to existing AIS equipment;</w:t>
      </w:r>
    </w:p>
    <w:p w:rsidR="007E1432" w:rsidRPr="00BF7F00" w:rsidRDefault="007E1432" w:rsidP="007E1432">
      <w:pPr>
        <w:pStyle w:val="ListParagraph"/>
        <w:spacing w:after="120"/>
        <w:ind w:left="426" w:hanging="425"/>
        <w:rPr>
          <w:lang w:val="en-NZ"/>
        </w:rPr>
      </w:pPr>
      <w:r w:rsidRPr="00BF7F00">
        <w:rPr>
          <w:lang w:val="en-NZ"/>
        </w:rPr>
        <w:t>-</w:t>
      </w:r>
      <w:r w:rsidRPr="00BF7F00">
        <w:rPr>
          <w:lang w:val="en-NZ"/>
        </w:rPr>
        <w:tab/>
        <w:t>Search and rescue aircraft system operating in maritime frequencies must be protected;</w:t>
      </w:r>
    </w:p>
    <w:p w:rsidR="007E1432" w:rsidRPr="00BF7F00" w:rsidRDefault="007E1432" w:rsidP="007E1432">
      <w:pPr>
        <w:pStyle w:val="ListParagraph"/>
        <w:spacing w:after="120"/>
        <w:ind w:left="426" w:hanging="425"/>
        <w:rPr>
          <w:lang w:val="en-NZ"/>
        </w:rPr>
      </w:pPr>
      <w:r w:rsidRPr="00BF7F00">
        <w:rPr>
          <w:lang w:val="en-NZ"/>
        </w:rPr>
        <w:t>-</w:t>
      </w:r>
      <w:r w:rsidRPr="00BF7F00">
        <w:rPr>
          <w:lang w:val="en-NZ"/>
        </w:rPr>
        <w:tab/>
        <w:t>VDE satellite components downlink transmission should not degrade the VDE terrestrial components, ASM and AIS operations;</w:t>
      </w:r>
    </w:p>
    <w:p w:rsidR="007E1432" w:rsidRPr="00BF7F00" w:rsidRDefault="007E1432" w:rsidP="007E1432">
      <w:pPr>
        <w:pStyle w:val="ListParagraph"/>
        <w:spacing w:after="120"/>
        <w:ind w:left="426" w:hanging="425"/>
        <w:rPr>
          <w:lang w:val="en-NZ"/>
        </w:rPr>
      </w:pPr>
      <w:r w:rsidRPr="00BF7F00">
        <w:rPr>
          <w:lang w:val="en-NZ"/>
        </w:rPr>
        <w:t>-</w:t>
      </w:r>
      <w:r w:rsidRPr="00BF7F00">
        <w:rPr>
          <w:lang w:val="en-NZ"/>
        </w:rPr>
        <w:tab/>
        <w:t>VDE satellite components should not claim protection from harmful interference caused by stations of a land mobile service to which frequencies are already assigned; and</w:t>
      </w:r>
    </w:p>
    <w:p w:rsidR="007E1432" w:rsidRPr="00BF7F00" w:rsidRDefault="007E1432" w:rsidP="007E1432">
      <w:pPr>
        <w:ind w:left="448" w:hanging="448"/>
        <w:rPr>
          <w:lang w:val="en-NZ"/>
        </w:rPr>
      </w:pPr>
      <w:r w:rsidRPr="00BF7F00">
        <w:rPr>
          <w:lang w:val="en-NZ"/>
        </w:rPr>
        <w:t>-</w:t>
      </w:r>
      <w:r w:rsidRPr="00BF7F00">
        <w:rPr>
          <w:lang w:val="en-NZ"/>
        </w:rPr>
        <w:tab/>
        <w:t>If the spectrum needs were appropriately justified, new spectrum allocations could be identified to the maritime mobile-satellite service (MMSS) (Earth-to-space and space-to-Earth) with the provisions ensuring not to cause harmful interference and no claim of protection from incumbent service on a primary basis in the same and adjacent frequency bands.</w:t>
      </w:r>
    </w:p>
    <w:p w:rsidR="001449D5" w:rsidRPr="00BF7F00" w:rsidRDefault="001449D5" w:rsidP="001449D5">
      <w:pPr>
        <w:rPr>
          <w:lang w:val="en-NZ"/>
        </w:rPr>
      </w:pPr>
    </w:p>
    <w:p w:rsidR="001449D5" w:rsidRPr="00BF7F00" w:rsidRDefault="001449D5" w:rsidP="001449D5">
      <w:pPr>
        <w:spacing w:after="120"/>
        <w:jc w:val="both"/>
        <w:rPr>
          <w:b/>
          <w:lang w:val="en-NZ" w:eastAsia="ko-KR"/>
        </w:rPr>
      </w:pPr>
      <w:r w:rsidRPr="00BF7F00">
        <w:rPr>
          <w:b/>
          <w:lang w:val="en-NZ" w:eastAsia="ko-KR"/>
        </w:rPr>
        <w:lastRenderedPageBreak/>
        <w:t>3.1.6</w:t>
      </w:r>
      <w:r w:rsidRPr="00BF7F00">
        <w:rPr>
          <w:b/>
          <w:lang w:val="en-NZ" w:eastAsia="ko-KR"/>
        </w:rPr>
        <w:tab/>
      </w:r>
      <w:r w:rsidR="007E1432" w:rsidRPr="00BF7F00">
        <w:rPr>
          <w:b/>
          <w:lang w:val="en-NZ" w:eastAsia="ko-KR"/>
        </w:rPr>
        <w:t>China (People’s Republic of)</w:t>
      </w:r>
      <w:r w:rsidRPr="00BF7F00">
        <w:rPr>
          <w:b/>
          <w:lang w:val="en-NZ" w:eastAsia="ko-KR"/>
        </w:rPr>
        <w:t xml:space="preserve"> - Document APG19-4/INP-99</w:t>
      </w:r>
    </w:p>
    <w:p w:rsidR="00B81CCC" w:rsidRPr="00BF7F00" w:rsidRDefault="00B81CCC" w:rsidP="00B81CCC">
      <w:pPr>
        <w:snapToGrid w:val="0"/>
        <w:spacing w:beforeLines="50" w:before="120"/>
        <w:jc w:val="both"/>
        <w:rPr>
          <w:lang w:val="en-NZ"/>
        </w:rPr>
      </w:pPr>
      <w:r w:rsidRPr="00BF7F00">
        <w:rPr>
          <w:rFonts w:eastAsia="SimSun" w:hint="eastAsia"/>
          <w:lang w:eastAsia="zh-CN"/>
        </w:rPr>
        <w:t>T</w:t>
      </w:r>
      <w:r w:rsidRPr="00BF7F00">
        <w:rPr>
          <w:rFonts w:eastAsia="SimSun"/>
          <w:lang w:eastAsia="zh-CN"/>
        </w:rPr>
        <w:t>his administration supports to consider frequency allocation to MMSS, recognizing VDES could provide broadband communications to shore and ship stations in maritime environment to meet the demand of the maritime community, and also considering that the VDE-SAT could provide communication capability in the sea area not available for VDE-TER.  And this administration also agrees with the APT preliminary views that the VDE-SAT should</w:t>
      </w:r>
      <w:r w:rsidRPr="00BF7F00">
        <w:rPr>
          <w:lang w:val="en-NZ"/>
        </w:rPr>
        <w:t xml:space="preserve"> not cause harmful interference to, and not claim of protection from incumbent services on a primary basis in the same and adjacent frequency bands, therefore, the secondary allocation should be considered.</w:t>
      </w:r>
    </w:p>
    <w:p w:rsidR="00B81CCC" w:rsidRPr="00BF7F00" w:rsidRDefault="00B81CCC" w:rsidP="00B81CCC">
      <w:pPr>
        <w:snapToGrid w:val="0"/>
        <w:spacing w:beforeLines="50" w:before="120"/>
        <w:jc w:val="both"/>
        <w:rPr>
          <w:rFonts w:eastAsia="SimSun"/>
          <w:lang w:eastAsia="zh-CN"/>
        </w:rPr>
      </w:pPr>
      <w:r w:rsidRPr="00BF7F00">
        <w:rPr>
          <w:rFonts w:eastAsia="SimSun" w:hint="eastAsia"/>
          <w:lang w:eastAsia="zh-CN"/>
        </w:rPr>
        <w:t>T</w:t>
      </w:r>
      <w:r w:rsidRPr="00BF7F00">
        <w:rPr>
          <w:rFonts w:eastAsia="SimSun"/>
          <w:lang w:eastAsia="zh-CN"/>
        </w:rPr>
        <w:t xml:space="preserve">wo frequency plans are used in current methods in Draft CPM Text, which referred to </w:t>
      </w:r>
      <w:bookmarkStart w:id="5" w:name="OLE_LINK6"/>
      <w:r w:rsidRPr="00BF7F00">
        <w:rPr>
          <w:rFonts w:eastAsia="SimSun"/>
          <w:lang w:eastAsia="zh-CN"/>
        </w:rPr>
        <w:t>frequency plan alternative 2</w:t>
      </w:r>
      <w:bookmarkEnd w:id="5"/>
      <w:r w:rsidRPr="00BF7F00">
        <w:rPr>
          <w:rFonts w:eastAsia="SimSun"/>
          <w:lang w:eastAsia="zh-CN"/>
        </w:rPr>
        <w:t xml:space="preserve"> and 3 in section 3.3 of the Report ITU-R M.[VDE-SAT]. Considering </w:t>
      </w:r>
      <w:r w:rsidRPr="00BF7F00">
        <w:t xml:space="preserve">frequency plan alternative 2 offers significant advantages in terms of higher available bandwidth, improved system capacity and link robustness for both the terrestrial and the satellite components of the VDES, this administration supports </w:t>
      </w:r>
      <w:r w:rsidRPr="00BF7F00">
        <w:rPr>
          <w:rFonts w:eastAsia="SimSun"/>
          <w:lang w:eastAsia="zh-CN"/>
        </w:rPr>
        <w:t>frequency plan alternative 2.</w:t>
      </w:r>
    </w:p>
    <w:p w:rsidR="00B81CCC" w:rsidRPr="00BF7F00" w:rsidRDefault="00B81CCC" w:rsidP="00B81CCC">
      <w:pPr>
        <w:snapToGrid w:val="0"/>
        <w:spacing w:beforeLines="50" w:before="120"/>
        <w:jc w:val="both"/>
        <w:rPr>
          <w:rFonts w:eastAsia="SimSun"/>
          <w:lang w:eastAsia="zh-CN"/>
        </w:rPr>
      </w:pPr>
      <w:r w:rsidRPr="00BF7F00">
        <w:rPr>
          <w:rFonts w:eastAsia="SimSun"/>
          <w:lang w:eastAsia="zh-CN"/>
        </w:rPr>
        <w:t xml:space="preserve">Additionally, the </w:t>
      </w:r>
      <w:proofErr w:type="spellStart"/>
      <w:r w:rsidRPr="00BF7F00">
        <w:rPr>
          <w:rFonts w:eastAsia="SimSun"/>
          <w:lang w:eastAsia="zh-CN"/>
        </w:rPr>
        <w:t>pfd</w:t>
      </w:r>
      <w:proofErr w:type="spellEnd"/>
      <w:r w:rsidRPr="00BF7F00">
        <w:rPr>
          <w:rFonts w:eastAsia="SimSun"/>
          <w:lang w:eastAsia="zh-CN"/>
        </w:rPr>
        <w:t xml:space="preserve"> mask 4 is supported in order to provide protection to incumbent servi</w:t>
      </w:r>
      <w:r w:rsidR="00C313BA" w:rsidRPr="00BF7F00">
        <w:rPr>
          <w:rFonts w:eastAsia="SimSun"/>
          <w:lang w:eastAsia="zh-CN"/>
        </w:rPr>
        <w:t>ce in the same frequency band.</w:t>
      </w:r>
    </w:p>
    <w:p w:rsidR="00B81CCC" w:rsidRPr="00BF7F00" w:rsidRDefault="00B81CCC" w:rsidP="00B81CCC">
      <w:pPr>
        <w:snapToGrid w:val="0"/>
        <w:spacing w:beforeLines="50" w:before="120"/>
        <w:jc w:val="both"/>
        <w:rPr>
          <w:rFonts w:eastAsia="SimSun"/>
          <w:lang w:eastAsia="zh-CN"/>
        </w:rPr>
      </w:pPr>
      <w:r w:rsidRPr="00BF7F00">
        <w:rPr>
          <w:rFonts w:eastAsia="SimSun"/>
          <w:lang w:eastAsia="zh-CN"/>
        </w:rPr>
        <w:t xml:space="preserve">Therefore, one new method was proposed, which is variant of method D but using </w:t>
      </w:r>
      <w:proofErr w:type="spellStart"/>
      <w:r w:rsidRPr="00BF7F00">
        <w:rPr>
          <w:rFonts w:eastAsia="SimSun"/>
          <w:lang w:eastAsia="zh-CN"/>
        </w:rPr>
        <w:t>pfd</w:t>
      </w:r>
      <w:proofErr w:type="spellEnd"/>
      <w:r w:rsidRPr="00BF7F00">
        <w:rPr>
          <w:rFonts w:eastAsia="SimSun"/>
          <w:lang w:eastAsia="zh-CN"/>
        </w:rPr>
        <w:t xml:space="preserve"> mask 4.</w:t>
      </w:r>
    </w:p>
    <w:p w:rsidR="00B81CCC" w:rsidRPr="00BF7F00" w:rsidRDefault="00B81CCC" w:rsidP="00B81CCC">
      <w:pPr>
        <w:pStyle w:val="ListParagraph"/>
        <w:numPr>
          <w:ilvl w:val="0"/>
          <w:numId w:val="17"/>
        </w:numPr>
        <w:spacing w:beforeLines="50" w:before="120"/>
        <w:jc w:val="both"/>
        <w:rPr>
          <w:lang w:eastAsia="ja-JP"/>
        </w:rPr>
      </w:pPr>
      <w:r w:rsidRPr="00BF7F00">
        <w:rPr>
          <w:lang w:eastAsia="ja-JP"/>
        </w:rPr>
        <w:t>This method is based on frequency plan alternative 2 and proposes a new secondary allocation for the MMSS (Earth</w:t>
      </w:r>
      <w:r w:rsidRPr="00BF7F00">
        <w:rPr>
          <w:lang w:eastAsia="ja-JP"/>
        </w:rPr>
        <w:noBreakHyphen/>
        <w:t xml:space="preserve">to-space)in the </w:t>
      </w:r>
      <w:r w:rsidRPr="00BF7F00">
        <w:t xml:space="preserve">frequency band </w:t>
      </w:r>
      <w:r w:rsidRPr="00BF7F00">
        <w:rPr>
          <w:lang w:eastAsia="ja-JP"/>
        </w:rPr>
        <w:t xml:space="preserve">157.1875-157.3375 MHz (channels 1024, 1084, 1025, 1085, 1026 and 1086) and the frequency band 161.7875-161.9375 (channels 2024, 2084, 2025, 2085 2026 and 2086). The channels 1026, 1086, 2026 and 2086 </w:t>
      </w:r>
      <w:r w:rsidRPr="00BF7F00">
        <w:t>are identified for ship-to</w:t>
      </w:r>
      <w:r w:rsidRPr="00BF7F00">
        <w:noBreakHyphen/>
        <w:t>satellite (VDE-SAT uplink) communications. The channels 1024, 1084, 1025 and 1085 are identified for ship-to-shore communications, but ship-to-satellite (VDE-SAT uplink) communications are possible without imposing constraints on ship-to-shore communications.</w:t>
      </w:r>
    </w:p>
    <w:p w:rsidR="00B81CCC" w:rsidRPr="00BF7F00" w:rsidRDefault="00B81CCC" w:rsidP="00B81CCC">
      <w:pPr>
        <w:pStyle w:val="ListParagraph"/>
        <w:numPr>
          <w:ilvl w:val="0"/>
          <w:numId w:val="17"/>
        </w:numPr>
        <w:snapToGrid w:val="0"/>
        <w:spacing w:beforeLines="50" w:before="120"/>
        <w:jc w:val="both"/>
        <w:rPr>
          <w:lang w:eastAsia="zh-CN"/>
        </w:rPr>
      </w:pPr>
      <w:r w:rsidRPr="00BF7F00">
        <w:rPr>
          <w:lang w:eastAsia="ja-JP"/>
        </w:rPr>
        <w:t xml:space="preserve">The method proposes a new secondary allocation for the MMSS (space-to-Earth) in the </w:t>
      </w:r>
      <w:r w:rsidRPr="00BF7F00">
        <w:t>frequency band 160.9625-161.4875 MHz</w:t>
      </w:r>
      <w:r w:rsidRPr="00BF7F00">
        <w:rPr>
          <w:lang w:eastAsia="ja-JP"/>
        </w:rPr>
        <w:t>,</w:t>
      </w:r>
      <w:r w:rsidRPr="00BF7F00">
        <w:t xml:space="preserve"> for i</w:t>
      </w:r>
      <w:r w:rsidRPr="00BF7F00">
        <w:rPr>
          <w:lang w:eastAsia="ja-JP"/>
        </w:rPr>
        <w:t xml:space="preserve">mproved VDE communication capacity and coverage. The </w:t>
      </w:r>
      <w:proofErr w:type="spellStart"/>
      <w:r w:rsidRPr="00BF7F00">
        <w:rPr>
          <w:lang w:eastAsia="ja-JP"/>
        </w:rPr>
        <w:t>pfd</w:t>
      </w:r>
      <w:proofErr w:type="spellEnd"/>
      <w:r w:rsidRPr="00BF7F00">
        <w:rPr>
          <w:lang w:eastAsia="ja-JP"/>
        </w:rPr>
        <w:t xml:space="preserve"> mask of VDE-SAT downlink should be applied, </w:t>
      </w:r>
      <w:r w:rsidRPr="00BF7F00">
        <w:rPr>
          <w:lang w:eastAsia="zh-CN"/>
        </w:rPr>
        <w:t>which is described as the following equation.</w:t>
      </w:r>
    </w:p>
    <w:p w:rsidR="00B81CCC" w:rsidRPr="00BF7F00" w:rsidRDefault="00B81CCC" w:rsidP="00B81CCC">
      <w:pPr>
        <w:pStyle w:val="ListParagraph"/>
        <w:tabs>
          <w:tab w:val="left" w:pos="1134"/>
          <w:tab w:val="center" w:pos="4820"/>
          <w:tab w:val="right" w:pos="9639"/>
        </w:tabs>
        <w:overflowPunct w:val="0"/>
        <w:autoSpaceDE w:val="0"/>
        <w:autoSpaceDN w:val="0"/>
        <w:adjustRightInd w:val="0"/>
        <w:spacing w:before="120"/>
        <w:ind w:left="1140"/>
        <w:textAlignment w:val="baseline"/>
        <w:rPr>
          <w:rFonts w:eastAsia="SimSun"/>
          <w:sz w:val="22"/>
          <w:szCs w:val="22"/>
          <w:lang w:val="nb-NO" w:eastAsia="zh-CN"/>
        </w:rPr>
      </w:pPr>
      <m:oMathPara>
        <m:oMath>
          <m:r>
            <m:rPr>
              <m:sty m:val="p"/>
            </m:rPr>
            <w:rPr>
              <w:rFonts w:ascii="Cambria Math" w:eastAsia="TimesNewRoman" w:hAnsi="Cambria Math"/>
              <w:sz w:val="22"/>
              <w:szCs w:val="22"/>
              <w:lang w:val="nb-NO"/>
            </w:rPr>
            <m:t>pfd(</m:t>
          </m:r>
          <m:r>
            <m:rPr>
              <m:sty m:val="p"/>
            </m:rPr>
            <w:rPr>
              <w:rFonts w:ascii="Cambria Math" w:eastAsia="TimesNewRoman" w:hAnsi="Cambria Math" w:hint="cs"/>
              <w:sz w:val="22"/>
              <w:szCs w:val="22"/>
              <w:lang w:val="en-GB"/>
            </w:rPr>
            <m:t>θ</m:t>
          </m:r>
          <m:r>
            <m:rPr>
              <m:sty m:val="p"/>
            </m:rPr>
            <w:rPr>
              <w:rFonts w:ascii="Cambria Math" w:eastAsia="TimesNewRoman" w:hAnsi="Cambria Math"/>
              <w:sz w:val="22"/>
              <w:szCs w:val="22"/>
              <w:lang w:val="nb-NO"/>
            </w:rPr>
            <m:t>)=</m:t>
          </m:r>
          <m:d>
            <m:dPr>
              <m:begChr m:val="{"/>
              <m:endChr m:val=""/>
              <m:ctrlPr>
                <w:rPr>
                  <w:rFonts w:ascii="Cambria Math" w:eastAsia="TimesNewRoman" w:hAnsi="Cambria Math"/>
                  <w:sz w:val="22"/>
                  <w:szCs w:val="22"/>
                  <w:lang w:val="en-GB"/>
                </w:rPr>
              </m:ctrlPr>
            </m:dPr>
            <m:e>
              <m:m>
                <m:mPr>
                  <m:mcs>
                    <m:mc>
                      <m:mcPr>
                        <m:count m:val="2"/>
                        <m:mcJc m:val="center"/>
                      </m:mcPr>
                    </m:mc>
                  </m:mcs>
                  <m:ctrlPr>
                    <w:rPr>
                      <w:rFonts w:ascii="Cambria Math" w:eastAsia="TimesNewRoman" w:hAnsi="Cambria Math"/>
                      <w:sz w:val="22"/>
                      <w:szCs w:val="22"/>
                      <w:lang w:val="en-GB"/>
                    </w:rPr>
                  </m:ctrlPr>
                </m:mPr>
                <m:mr>
                  <m:e>
                    <m:r>
                      <m:rPr>
                        <m:sty m:val="p"/>
                      </m:rPr>
                      <w:rPr>
                        <w:rFonts w:ascii="Cambria Math" w:eastAsia="TimesNewRoman" w:hAnsi="Cambria Math"/>
                        <w:sz w:val="22"/>
                        <w:szCs w:val="22"/>
                        <w:lang w:val="nb-NO"/>
                      </w:rPr>
                      <m:t>-158.</m:t>
                    </m:r>
                    <m:r>
                      <m:rPr>
                        <m:sty m:val="p"/>
                      </m:rPr>
                      <w:rPr>
                        <w:rFonts w:ascii="Cambria Math" w:eastAsia="SimSun" w:hAnsi="Cambria Math"/>
                        <w:sz w:val="22"/>
                        <w:szCs w:val="22"/>
                        <w:lang w:val="nb-NO" w:eastAsia="zh-CN"/>
                      </w:rPr>
                      <m:t>5</m:t>
                    </m:r>
                    <m:r>
                      <m:rPr>
                        <m:sty m:val="p"/>
                      </m:rPr>
                      <w:rPr>
                        <w:rFonts w:ascii="Cambria Math" w:eastAsia="TimesNewRoman" w:hAnsi="Cambria Math"/>
                        <w:sz w:val="22"/>
                        <w:szCs w:val="22"/>
                        <w:lang w:val="nb-NO"/>
                      </w:rPr>
                      <m:t>+12</m:t>
                    </m:r>
                    <m:sSup>
                      <m:sSupPr>
                        <m:ctrlPr>
                          <w:rPr>
                            <w:rFonts w:ascii="Cambria Math" w:eastAsia="TimesNewRoman" w:hAnsi="Cambria Math"/>
                            <w:sz w:val="22"/>
                            <w:szCs w:val="22"/>
                            <w:lang w:val="en-GB"/>
                          </w:rPr>
                        </m:ctrlPr>
                      </m:sSupPr>
                      <m:e>
                        <m:d>
                          <m:dPr>
                            <m:ctrlPr>
                              <w:rPr>
                                <w:rFonts w:ascii="Cambria Math" w:eastAsia="TimesNewRoman" w:hAnsi="Cambria Math"/>
                                <w:sz w:val="22"/>
                                <w:szCs w:val="22"/>
                                <w:lang w:val="en-GB"/>
                              </w:rPr>
                            </m:ctrlPr>
                          </m:dPr>
                          <m:e>
                            <m:f>
                              <m:fPr>
                                <m:ctrlPr>
                                  <w:rPr>
                                    <w:rFonts w:ascii="Cambria Math" w:eastAsia="TimesNewRoman" w:hAnsi="Cambria Math"/>
                                    <w:sz w:val="22"/>
                                    <w:szCs w:val="22"/>
                                    <w:lang w:val="en-GB"/>
                                  </w:rPr>
                                </m:ctrlPr>
                              </m:fPr>
                              <m:num>
                                <m:r>
                                  <m:rPr>
                                    <m:sty m:val="p"/>
                                  </m:rPr>
                                  <w:rPr>
                                    <w:rFonts w:ascii="Cambria Math" w:eastAsia="TimesNewRoman" w:hAnsi="Cambria Math" w:hint="cs"/>
                                    <w:sz w:val="22"/>
                                    <w:szCs w:val="22"/>
                                    <w:lang w:val="en-GB"/>
                                  </w:rPr>
                                  <m:t>θ</m:t>
                                </m:r>
                              </m:num>
                              <m:den>
                                <m:sSub>
                                  <m:sSubPr>
                                    <m:ctrlPr>
                                      <w:rPr>
                                        <w:rFonts w:ascii="Cambria Math" w:eastAsia="TimesNewRoman" w:hAnsi="Cambria Math"/>
                                        <w:sz w:val="22"/>
                                        <w:szCs w:val="22"/>
                                        <w:lang w:val="en-GB"/>
                                      </w:rPr>
                                    </m:ctrlPr>
                                  </m:sSubPr>
                                  <m:e>
                                    <m:r>
                                      <m:rPr>
                                        <m:sty m:val="p"/>
                                      </m:rPr>
                                      <w:rPr>
                                        <w:rFonts w:ascii="Cambria Math" w:eastAsia="TimesNewRoman" w:hAnsi="Cambria Math" w:hint="cs"/>
                                        <w:sz w:val="22"/>
                                        <w:szCs w:val="22"/>
                                        <w:lang w:val="en-GB"/>
                                      </w:rPr>
                                      <m:t>θ</m:t>
                                    </m:r>
                                  </m:e>
                                  <m:sub>
                                    <m:r>
                                      <m:rPr>
                                        <m:sty m:val="p"/>
                                      </m:rPr>
                                      <w:rPr>
                                        <w:rFonts w:ascii="Cambria Math" w:eastAsia="TimesNewRoman" w:hAnsi="Cambria Math"/>
                                        <w:sz w:val="22"/>
                                        <w:szCs w:val="22"/>
                                        <w:lang w:val="nb-NO"/>
                                      </w:rPr>
                                      <m:t>3</m:t>
                                    </m:r>
                                  </m:sub>
                                </m:sSub>
                              </m:den>
                            </m:f>
                          </m:e>
                        </m:d>
                      </m:e>
                      <m:sup>
                        <m:r>
                          <m:rPr>
                            <m:sty m:val="p"/>
                          </m:rPr>
                          <w:rPr>
                            <w:rFonts w:ascii="Cambria Math" w:eastAsia="TimesNewRoman" w:hAnsi="Cambria Math"/>
                            <w:sz w:val="22"/>
                            <w:szCs w:val="22"/>
                            <w:lang w:val="nb-NO"/>
                          </w:rPr>
                          <m:t>2</m:t>
                        </m:r>
                      </m:sup>
                    </m:sSup>
                    <m:r>
                      <m:rPr>
                        <m:sty m:val="p"/>
                      </m:rPr>
                      <w:rPr>
                        <w:rFonts w:ascii="Cambria Math" w:eastAsia="TimesNewRoman" w:hAnsi="Cambria Math"/>
                        <w:sz w:val="22"/>
                        <w:szCs w:val="22"/>
                        <w:lang w:val="nb-NO"/>
                      </w:rPr>
                      <m:t xml:space="preserve">                   </m:t>
                    </m:r>
                  </m:e>
                  <m:e>
                    <m:r>
                      <m:rPr>
                        <m:nor/>
                      </m:rPr>
                      <w:rPr>
                        <w:rFonts w:eastAsia="TimesNewRoman"/>
                        <w:sz w:val="22"/>
                        <w:szCs w:val="22"/>
                        <w:lang w:val="nb-NO"/>
                      </w:rPr>
                      <m:t xml:space="preserve"> for</m:t>
                    </m:r>
                    <m:r>
                      <m:rPr>
                        <m:sty m:val="p"/>
                      </m:rPr>
                      <w:rPr>
                        <w:rFonts w:ascii="Cambria Math" w:eastAsia="TimesNewRoman" w:hAnsi="Cambria Math"/>
                        <w:sz w:val="22"/>
                        <w:szCs w:val="22"/>
                        <w:lang w:val="nb-NO"/>
                      </w:rPr>
                      <m:t xml:space="preserve"> 0&lt;</m:t>
                    </m:r>
                    <m:d>
                      <m:dPr>
                        <m:begChr m:val="|"/>
                        <m:endChr m:val="|"/>
                        <m:ctrlPr>
                          <w:rPr>
                            <w:rFonts w:ascii="Cambria Math" w:eastAsia="TimesNewRoman" w:hAnsi="Cambria Math"/>
                            <w:sz w:val="22"/>
                            <w:szCs w:val="22"/>
                            <w:lang w:val="en-GB"/>
                          </w:rPr>
                        </m:ctrlPr>
                      </m:dPr>
                      <m:e>
                        <m:r>
                          <m:rPr>
                            <m:sty m:val="p"/>
                          </m:rPr>
                          <w:rPr>
                            <w:rFonts w:ascii="Cambria Math" w:eastAsia="TimesNewRoman" w:hAnsi="Cambria Math" w:hint="cs"/>
                            <w:sz w:val="22"/>
                            <w:szCs w:val="22"/>
                            <w:lang w:val="en-GB"/>
                          </w:rPr>
                          <m:t>θ</m:t>
                        </m:r>
                      </m:e>
                    </m:d>
                    <m:r>
                      <m:rPr>
                        <m:sty m:val="p"/>
                      </m:rPr>
                      <w:rPr>
                        <w:rFonts w:ascii="Cambria Math" w:eastAsia="TimesNewRoman" w:hAnsi="Cambria Math"/>
                        <w:sz w:val="22"/>
                        <w:szCs w:val="22"/>
                        <w:lang w:val="nb-NO"/>
                      </w:rPr>
                      <m:t>&lt;</m:t>
                    </m:r>
                    <m:sSub>
                      <m:sSubPr>
                        <m:ctrlPr>
                          <w:rPr>
                            <w:rFonts w:ascii="Cambria Math" w:eastAsia="TimesNewRoman" w:hAnsi="Cambria Math"/>
                            <w:sz w:val="22"/>
                            <w:szCs w:val="22"/>
                            <w:lang w:val="en-GB"/>
                          </w:rPr>
                        </m:ctrlPr>
                      </m:sSubPr>
                      <m:e>
                        <m:r>
                          <m:rPr>
                            <m:sty m:val="p"/>
                          </m:rPr>
                          <w:rPr>
                            <w:rFonts w:ascii="Cambria Math" w:eastAsia="TimesNewRoman" w:hAnsi="Cambria Math" w:hint="cs"/>
                            <w:sz w:val="22"/>
                            <w:szCs w:val="22"/>
                            <w:lang w:val="en-GB"/>
                          </w:rPr>
                          <m:t>θ</m:t>
                        </m:r>
                      </m:e>
                      <m:sub>
                        <m:r>
                          <m:rPr>
                            <m:sty m:val="p"/>
                          </m:rPr>
                          <w:rPr>
                            <w:rFonts w:ascii="Cambria Math" w:eastAsia="TimesNewRoman" w:hAnsi="Cambria Math"/>
                            <w:sz w:val="22"/>
                            <w:szCs w:val="22"/>
                            <w:lang w:val="nb-NO"/>
                          </w:rPr>
                          <m:t>3</m:t>
                        </m:r>
                      </m:sub>
                    </m:sSub>
                  </m:e>
                </m:mr>
                <m:mr>
                  <m:e>
                    <m:r>
                      <m:rPr>
                        <m:sty m:val="p"/>
                      </m:rPr>
                      <w:rPr>
                        <w:rFonts w:ascii="Cambria Math" w:eastAsia="TimesNewRoman" w:hAnsi="Cambria Math"/>
                        <w:sz w:val="22"/>
                        <w:szCs w:val="22"/>
                        <w:lang w:val="nb-NO"/>
                      </w:rPr>
                      <m:t>-143.</m:t>
                    </m:r>
                    <m:r>
                      <m:rPr>
                        <m:sty m:val="p"/>
                      </m:rPr>
                      <w:rPr>
                        <w:rFonts w:ascii="Cambria Math" w:eastAsia="SimSun" w:hAnsi="Cambria Math"/>
                        <w:sz w:val="22"/>
                        <w:szCs w:val="22"/>
                        <w:lang w:val="nb-NO" w:eastAsia="zh-CN"/>
                      </w:rPr>
                      <m:t>5</m:t>
                    </m:r>
                    <m:r>
                      <m:rPr>
                        <m:sty m:val="p"/>
                      </m:rPr>
                      <w:rPr>
                        <w:rFonts w:ascii="Cambria Math" w:eastAsia="TimesNewRoman" w:hAnsi="Cambria Math"/>
                        <w:sz w:val="22"/>
                        <w:szCs w:val="22"/>
                        <w:lang w:val="nb-NO"/>
                      </w:rPr>
                      <m:t>-10</m:t>
                    </m:r>
                    <m:func>
                      <m:funcPr>
                        <m:ctrlPr>
                          <w:rPr>
                            <w:rFonts w:ascii="Cambria Math" w:eastAsia="TimesNewRoman" w:hAnsi="Cambria Math"/>
                            <w:sz w:val="22"/>
                            <w:szCs w:val="22"/>
                            <w:lang w:val="en-GB"/>
                          </w:rPr>
                        </m:ctrlPr>
                      </m:funcPr>
                      <m:fName>
                        <m:sSub>
                          <m:sSubPr>
                            <m:ctrlPr>
                              <w:rPr>
                                <w:rFonts w:ascii="Cambria Math" w:eastAsia="TimesNewRoman" w:hAnsi="Cambria Math"/>
                                <w:sz w:val="22"/>
                                <w:szCs w:val="22"/>
                                <w:lang w:val="en-GB"/>
                              </w:rPr>
                            </m:ctrlPr>
                          </m:sSubPr>
                          <m:e>
                            <m:r>
                              <m:rPr>
                                <m:sty m:val="p"/>
                              </m:rPr>
                              <w:rPr>
                                <w:rFonts w:ascii="Cambria Math" w:eastAsia="TimesNewRoman" w:hAnsi="Cambria Math"/>
                                <w:sz w:val="22"/>
                                <w:szCs w:val="22"/>
                                <w:lang w:val="nb-NO"/>
                              </w:rPr>
                              <m:t>log</m:t>
                            </m:r>
                          </m:e>
                          <m:sub>
                            <m:r>
                              <m:rPr>
                                <m:sty m:val="p"/>
                              </m:rPr>
                              <w:rPr>
                                <w:rFonts w:ascii="Cambria Math" w:eastAsia="TimesNewRoman" w:hAnsi="Cambria Math"/>
                                <w:sz w:val="22"/>
                                <w:szCs w:val="22"/>
                                <w:lang w:val="nb-NO"/>
                              </w:rPr>
                              <m:t>10</m:t>
                            </m:r>
                          </m:sub>
                        </m:sSub>
                      </m:fName>
                      <m:e>
                        <m:d>
                          <m:dPr>
                            <m:ctrlPr>
                              <w:rPr>
                                <w:rFonts w:ascii="Cambria Math" w:eastAsia="TimesNewRoman" w:hAnsi="Cambria Math"/>
                                <w:sz w:val="22"/>
                                <w:szCs w:val="22"/>
                                <w:lang w:val="en-GB"/>
                              </w:rPr>
                            </m:ctrlPr>
                          </m:dPr>
                          <m:e>
                            <m:r>
                              <m:rPr>
                                <m:sty m:val="p"/>
                              </m:rPr>
                              <w:rPr>
                                <w:rFonts w:ascii="Cambria Math" w:eastAsia="TimesNewRoman" w:hAnsi="Cambria Math"/>
                                <w:sz w:val="22"/>
                                <w:szCs w:val="22"/>
                                <w:lang w:val="nb-NO"/>
                              </w:rPr>
                              <m:t>k+1</m:t>
                            </m:r>
                          </m:e>
                        </m:d>
                      </m:e>
                    </m:func>
                    <m:r>
                      <m:rPr>
                        <m:sty m:val="p"/>
                      </m:rPr>
                      <w:rPr>
                        <w:rFonts w:ascii="Cambria Math" w:eastAsia="TimesNewRoman" w:hAnsi="Cambria Math"/>
                        <w:sz w:val="22"/>
                        <w:szCs w:val="22"/>
                        <w:lang w:val="nb-NO"/>
                      </w:rPr>
                      <m:t xml:space="preserve">       </m:t>
                    </m:r>
                  </m:e>
                  <m:e>
                    <m:r>
                      <m:rPr>
                        <m:nor/>
                      </m:rPr>
                      <w:rPr>
                        <w:rFonts w:eastAsia="TimesNewRoman"/>
                        <w:sz w:val="22"/>
                        <w:szCs w:val="22"/>
                        <w:lang w:val="nb-NO"/>
                      </w:rPr>
                      <m:t xml:space="preserve"> for</m:t>
                    </m:r>
                    <m:r>
                      <m:rPr>
                        <m:sty m:val="p"/>
                      </m:rPr>
                      <w:rPr>
                        <w:rFonts w:ascii="Cambria Math" w:eastAsia="TimesNewRoman" w:hAnsi="Cambria Math"/>
                        <w:sz w:val="22"/>
                        <w:szCs w:val="22"/>
                        <w:lang w:val="nb-NO"/>
                      </w:rPr>
                      <m:t xml:space="preserve"> </m:t>
                    </m:r>
                    <m:sSub>
                      <m:sSubPr>
                        <m:ctrlPr>
                          <w:rPr>
                            <w:rFonts w:ascii="Cambria Math" w:eastAsia="TimesNewRoman" w:hAnsi="Cambria Math"/>
                            <w:sz w:val="22"/>
                            <w:szCs w:val="22"/>
                            <w:lang w:val="en-GB"/>
                          </w:rPr>
                        </m:ctrlPr>
                      </m:sSubPr>
                      <m:e>
                        <m:r>
                          <m:rPr>
                            <m:sty m:val="p"/>
                          </m:rPr>
                          <w:rPr>
                            <w:rFonts w:ascii="Cambria Math" w:eastAsia="TimesNewRoman" w:hAnsi="Cambria Math" w:hint="cs"/>
                            <w:sz w:val="22"/>
                            <w:szCs w:val="22"/>
                            <w:lang w:val="en-GB"/>
                          </w:rPr>
                          <m:t>θ</m:t>
                        </m:r>
                      </m:e>
                      <m:sub>
                        <m:r>
                          <m:rPr>
                            <m:sty m:val="p"/>
                          </m:rPr>
                          <w:rPr>
                            <w:rFonts w:ascii="Cambria Math" w:eastAsia="TimesNewRoman" w:hAnsi="Cambria Math"/>
                            <w:sz w:val="22"/>
                            <w:szCs w:val="22"/>
                            <w:lang w:val="nb-NO"/>
                          </w:rPr>
                          <m:t>3</m:t>
                        </m:r>
                      </m:sub>
                    </m:sSub>
                    <m:r>
                      <m:rPr>
                        <m:sty m:val="p"/>
                      </m:rPr>
                      <w:rPr>
                        <w:rFonts w:ascii="Cambria Math" w:eastAsia="TimesNewRoman" w:hAnsi="Cambria Math"/>
                        <w:sz w:val="22"/>
                        <w:szCs w:val="22"/>
                        <w:lang w:val="nb-NO"/>
                      </w:rPr>
                      <m:t>&lt;</m:t>
                    </m:r>
                    <m:d>
                      <m:dPr>
                        <m:begChr m:val="|"/>
                        <m:endChr m:val="|"/>
                        <m:ctrlPr>
                          <w:rPr>
                            <w:rFonts w:ascii="Cambria Math" w:eastAsia="TimesNewRoman" w:hAnsi="Cambria Math"/>
                            <w:sz w:val="22"/>
                            <w:szCs w:val="22"/>
                            <w:lang w:val="en-GB"/>
                          </w:rPr>
                        </m:ctrlPr>
                      </m:dPr>
                      <m:e>
                        <m:r>
                          <m:rPr>
                            <m:sty m:val="p"/>
                          </m:rPr>
                          <w:rPr>
                            <w:rFonts w:ascii="Cambria Math" w:eastAsia="TimesNewRoman" w:hAnsi="Cambria Math" w:hint="cs"/>
                            <w:sz w:val="22"/>
                            <w:szCs w:val="22"/>
                            <w:lang w:val="en-GB"/>
                          </w:rPr>
                          <m:t>θ</m:t>
                        </m:r>
                      </m:e>
                    </m:d>
                    <m:r>
                      <m:rPr>
                        <m:sty m:val="p"/>
                      </m:rPr>
                      <w:rPr>
                        <w:rFonts w:ascii="Cambria Math" w:eastAsia="TimesNewRoman" w:hAnsi="Cambria Math"/>
                        <w:sz w:val="22"/>
                        <w:szCs w:val="22"/>
                        <w:lang w:val="nb-NO"/>
                      </w:rPr>
                      <m:t>&lt;</m:t>
                    </m:r>
                    <m:sSub>
                      <m:sSubPr>
                        <m:ctrlPr>
                          <w:rPr>
                            <w:rFonts w:ascii="Cambria Math" w:eastAsia="TimesNewRoman" w:hAnsi="Cambria Math"/>
                            <w:sz w:val="22"/>
                            <w:szCs w:val="22"/>
                            <w:lang w:val="en-GB"/>
                          </w:rPr>
                        </m:ctrlPr>
                      </m:sSubPr>
                      <m:e>
                        <m:r>
                          <m:rPr>
                            <m:sty m:val="p"/>
                          </m:rPr>
                          <w:rPr>
                            <w:rFonts w:ascii="Cambria Math" w:eastAsia="TimesNewRoman" w:hAnsi="Cambria Math" w:hint="cs"/>
                            <w:sz w:val="22"/>
                            <w:szCs w:val="22"/>
                            <w:lang w:val="en-GB"/>
                          </w:rPr>
                          <m:t>θ</m:t>
                        </m:r>
                      </m:e>
                      <m:sub>
                        <m:r>
                          <m:rPr>
                            <m:sty m:val="p"/>
                          </m:rPr>
                          <w:rPr>
                            <w:rFonts w:ascii="Cambria Math" w:eastAsia="TimesNewRoman" w:hAnsi="Cambria Math"/>
                            <w:sz w:val="22"/>
                            <w:szCs w:val="22"/>
                            <w:lang w:val="nb-NO"/>
                          </w:rPr>
                          <m:t>5</m:t>
                        </m:r>
                      </m:sub>
                    </m:sSub>
                  </m:e>
                </m:mr>
                <m:mr>
                  <m:e>
                    <m:r>
                      <m:rPr>
                        <m:sty m:val="p"/>
                      </m:rPr>
                      <w:rPr>
                        <w:rFonts w:ascii="Cambria Math" w:eastAsia="TimesNewRoman" w:hAnsi="Cambria Math"/>
                        <w:sz w:val="22"/>
                        <w:szCs w:val="22"/>
                        <w:lang w:val="nb-NO"/>
                      </w:rPr>
                      <m:t>-143.</m:t>
                    </m:r>
                    <m:r>
                      <m:rPr>
                        <m:sty m:val="p"/>
                      </m:rPr>
                      <w:rPr>
                        <w:rFonts w:ascii="Cambria Math" w:eastAsia="SimSun" w:hAnsi="Cambria Math"/>
                        <w:sz w:val="22"/>
                        <w:szCs w:val="22"/>
                        <w:lang w:val="nb-NO" w:eastAsia="zh-CN"/>
                      </w:rPr>
                      <m:t>5</m:t>
                    </m:r>
                    <m:r>
                      <m:rPr>
                        <m:sty m:val="p"/>
                      </m:rPr>
                      <w:rPr>
                        <w:rFonts w:ascii="Cambria Math" w:eastAsia="TimesNewRoman" w:hAnsi="Cambria Math"/>
                        <w:sz w:val="22"/>
                        <w:szCs w:val="22"/>
                        <w:lang w:val="nb-NO"/>
                      </w:rPr>
                      <m:t>-10</m:t>
                    </m:r>
                    <m:func>
                      <m:funcPr>
                        <m:ctrlPr>
                          <w:rPr>
                            <w:rFonts w:ascii="Cambria Math" w:eastAsia="TimesNewRoman" w:hAnsi="Cambria Math"/>
                            <w:sz w:val="22"/>
                            <w:szCs w:val="22"/>
                            <w:lang w:val="en-GB"/>
                          </w:rPr>
                        </m:ctrlPr>
                      </m:funcPr>
                      <m:fName>
                        <m:sSub>
                          <m:sSubPr>
                            <m:ctrlPr>
                              <w:rPr>
                                <w:rFonts w:ascii="Cambria Math" w:eastAsia="TimesNewRoman" w:hAnsi="Cambria Math"/>
                                <w:sz w:val="22"/>
                                <w:szCs w:val="22"/>
                                <w:lang w:val="en-GB"/>
                              </w:rPr>
                            </m:ctrlPr>
                          </m:sSubPr>
                          <m:e>
                            <m:r>
                              <m:rPr>
                                <m:sty m:val="p"/>
                              </m:rPr>
                              <w:rPr>
                                <w:rFonts w:ascii="Cambria Math" w:eastAsia="TimesNewRoman" w:hAnsi="Cambria Math"/>
                                <w:sz w:val="22"/>
                                <w:szCs w:val="22"/>
                                <w:lang w:val="nb-NO"/>
                              </w:rPr>
                              <m:t>log</m:t>
                            </m:r>
                          </m:e>
                          <m:sub>
                            <m:r>
                              <m:rPr>
                                <m:sty m:val="p"/>
                              </m:rPr>
                              <w:rPr>
                                <w:rFonts w:ascii="Cambria Math" w:eastAsia="TimesNewRoman" w:hAnsi="Cambria Math"/>
                                <w:sz w:val="22"/>
                                <w:szCs w:val="22"/>
                                <w:lang w:val="nb-NO"/>
                              </w:rPr>
                              <m:t>10</m:t>
                            </m:r>
                          </m:sub>
                        </m:sSub>
                      </m:fName>
                      <m:e>
                        <m:d>
                          <m:dPr>
                            <m:ctrlPr>
                              <w:rPr>
                                <w:rFonts w:ascii="Cambria Math" w:eastAsia="TimesNewRoman" w:hAnsi="Cambria Math"/>
                                <w:sz w:val="22"/>
                                <w:szCs w:val="22"/>
                                <w:lang w:val="en-GB"/>
                              </w:rPr>
                            </m:ctrlPr>
                          </m:dPr>
                          <m:e>
                            <m:sSup>
                              <m:sSupPr>
                                <m:ctrlPr>
                                  <w:rPr>
                                    <w:rFonts w:ascii="Cambria Math" w:eastAsia="TimesNewRoman" w:hAnsi="Cambria Math"/>
                                    <w:sz w:val="22"/>
                                    <w:szCs w:val="22"/>
                                    <w:lang w:val="en-GB"/>
                                  </w:rPr>
                                </m:ctrlPr>
                              </m:sSupPr>
                              <m:e>
                                <m:d>
                                  <m:dPr>
                                    <m:ctrlPr>
                                      <w:rPr>
                                        <w:rFonts w:ascii="Cambria Math" w:eastAsia="TimesNewRoman" w:hAnsi="Cambria Math"/>
                                        <w:sz w:val="22"/>
                                        <w:szCs w:val="22"/>
                                        <w:lang w:val="en-GB"/>
                                      </w:rPr>
                                    </m:ctrlPr>
                                  </m:dPr>
                                  <m:e>
                                    <m:f>
                                      <m:fPr>
                                        <m:ctrlPr>
                                          <w:rPr>
                                            <w:rFonts w:ascii="Cambria Math" w:eastAsia="TimesNewRoman" w:hAnsi="Cambria Math"/>
                                            <w:sz w:val="22"/>
                                            <w:szCs w:val="22"/>
                                            <w:lang w:val="en-GB"/>
                                          </w:rPr>
                                        </m:ctrlPr>
                                      </m:fPr>
                                      <m:num>
                                        <m:d>
                                          <m:dPr>
                                            <m:begChr m:val="|"/>
                                            <m:endChr m:val="|"/>
                                            <m:ctrlPr>
                                              <w:rPr>
                                                <w:rFonts w:ascii="Cambria Math" w:eastAsia="TimesNewRoman" w:hAnsi="Cambria Math"/>
                                                <w:sz w:val="22"/>
                                                <w:szCs w:val="22"/>
                                                <w:lang w:val="en-GB"/>
                                              </w:rPr>
                                            </m:ctrlPr>
                                          </m:dPr>
                                          <m:e>
                                            <m:r>
                                              <m:rPr>
                                                <m:sty m:val="p"/>
                                              </m:rPr>
                                              <w:rPr>
                                                <w:rFonts w:ascii="Cambria Math" w:eastAsia="TimesNewRoman" w:hAnsi="Cambria Math" w:hint="cs"/>
                                                <w:sz w:val="22"/>
                                                <w:szCs w:val="22"/>
                                                <w:lang w:val="en-GB"/>
                                              </w:rPr>
                                              <m:t>θ</m:t>
                                            </m:r>
                                          </m:e>
                                        </m:d>
                                      </m:num>
                                      <m:den>
                                        <m:sSub>
                                          <m:sSubPr>
                                            <m:ctrlPr>
                                              <w:rPr>
                                                <w:rFonts w:ascii="Cambria Math" w:eastAsia="TimesNewRoman" w:hAnsi="Cambria Math"/>
                                                <w:sz w:val="22"/>
                                                <w:szCs w:val="22"/>
                                                <w:lang w:val="en-GB"/>
                                              </w:rPr>
                                            </m:ctrlPr>
                                          </m:sSubPr>
                                          <m:e>
                                            <m:r>
                                              <m:rPr>
                                                <m:sty m:val="p"/>
                                              </m:rPr>
                                              <w:rPr>
                                                <w:rFonts w:ascii="Cambria Math" w:eastAsia="TimesNewRoman" w:hAnsi="Cambria Math" w:hint="cs"/>
                                                <w:sz w:val="22"/>
                                                <w:szCs w:val="22"/>
                                                <w:lang w:val="en-GB"/>
                                              </w:rPr>
                                              <m:t>θ</m:t>
                                            </m:r>
                                          </m:e>
                                          <m:sub>
                                            <m:r>
                                              <m:rPr>
                                                <m:sty m:val="p"/>
                                              </m:rPr>
                                              <w:rPr>
                                                <w:rFonts w:ascii="Cambria Math" w:eastAsia="TimesNewRoman" w:hAnsi="Cambria Math"/>
                                                <w:sz w:val="22"/>
                                                <w:szCs w:val="22"/>
                                                <w:lang w:val="nb-NO"/>
                                              </w:rPr>
                                              <m:t>3</m:t>
                                            </m:r>
                                          </m:sub>
                                        </m:sSub>
                                      </m:den>
                                    </m:f>
                                  </m:e>
                                </m:d>
                              </m:e>
                              <m:sup>
                                <m:r>
                                  <m:rPr>
                                    <m:sty m:val="p"/>
                                  </m:rPr>
                                  <w:rPr>
                                    <w:rFonts w:ascii="Cambria Math" w:eastAsia="TimesNewRoman" w:hAnsi="Cambria Math"/>
                                    <w:sz w:val="22"/>
                                    <w:szCs w:val="22"/>
                                    <w:lang w:val="nb-NO"/>
                                  </w:rPr>
                                  <m:t>-1.5</m:t>
                                </m:r>
                              </m:sup>
                            </m:sSup>
                            <m:r>
                              <m:rPr>
                                <m:sty m:val="p"/>
                              </m:rPr>
                              <w:rPr>
                                <w:rFonts w:ascii="Cambria Math" w:eastAsia="TimesNewRoman" w:hAnsi="Cambria Math"/>
                                <w:sz w:val="22"/>
                                <w:szCs w:val="22"/>
                                <w:lang w:val="nb-NO"/>
                              </w:rPr>
                              <m:t>+k</m:t>
                            </m:r>
                          </m:e>
                        </m:d>
                      </m:e>
                    </m:func>
                  </m:e>
                  <m:e>
                    <m:r>
                      <m:rPr>
                        <m:nor/>
                      </m:rPr>
                      <w:rPr>
                        <w:rFonts w:eastAsia="TimesNewRoman"/>
                        <w:sz w:val="22"/>
                        <w:szCs w:val="22"/>
                        <w:lang w:val="nb-NO"/>
                      </w:rPr>
                      <m:t xml:space="preserve">  for</m:t>
                    </m:r>
                    <m:r>
                      <m:rPr>
                        <m:sty m:val="p"/>
                      </m:rPr>
                      <w:rPr>
                        <w:rFonts w:ascii="Cambria Math" w:eastAsia="TimesNewRoman" w:hAnsi="Cambria Math"/>
                        <w:sz w:val="22"/>
                        <w:szCs w:val="22"/>
                        <w:lang w:val="nb-NO"/>
                      </w:rPr>
                      <m:t xml:space="preserve"> </m:t>
                    </m:r>
                    <m:sSub>
                      <m:sSubPr>
                        <m:ctrlPr>
                          <w:rPr>
                            <w:rFonts w:ascii="Cambria Math" w:eastAsia="TimesNewRoman" w:hAnsi="Cambria Math"/>
                            <w:sz w:val="22"/>
                            <w:szCs w:val="22"/>
                            <w:lang w:val="en-GB"/>
                          </w:rPr>
                        </m:ctrlPr>
                      </m:sSubPr>
                      <m:e>
                        <m:r>
                          <m:rPr>
                            <m:sty m:val="p"/>
                          </m:rPr>
                          <w:rPr>
                            <w:rFonts w:ascii="Cambria Math" w:eastAsia="TimesNewRoman" w:hAnsi="Cambria Math" w:hint="cs"/>
                            <w:sz w:val="22"/>
                            <w:szCs w:val="22"/>
                            <w:lang w:val="en-GB"/>
                          </w:rPr>
                          <m:t>θ</m:t>
                        </m:r>
                      </m:e>
                      <m:sub>
                        <m:r>
                          <m:rPr>
                            <m:sty m:val="p"/>
                          </m:rPr>
                          <w:rPr>
                            <w:rFonts w:ascii="Cambria Math" w:eastAsia="TimesNewRoman" w:hAnsi="Cambria Math"/>
                            <w:sz w:val="22"/>
                            <w:szCs w:val="22"/>
                            <w:lang w:val="nb-NO"/>
                          </w:rPr>
                          <m:t>5</m:t>
                        </m:r>
                      </m:sub>
                    </m:sSub>
                    <m:r>
                      <m:rPr>
                        <m:sty m:val="p"/>
                      </m:rPr>
                      <w:rPr>
                        <w:rFonts w:ascii="Cambria Math" w:eastAsia="TimesNewRoman" w:hAnsi="Cambria Math"/>
                        <w:sz w:val="22"/>
                        <w:szCs w:val="22"/>
                        <w:lang w:val="nb-NO"/>
                      </w:rPr>
                      <m:t>&lt;</m:t>
                    </m:r>
                    <m:d>
                      <m:dPr>
                        <m:begChr m:val="|"/>
                        <m:endChr m:val="|"/>
                        <m:ctrlPr>
                          <w:rPr>
                            <w:rFonts w:ascii="Cambria Math" w:eastAsia="TimesNewRoman" w:hAnsi="Cambria Math"/>
                            <w:sz w:val="22"/>
                            <w:szCs w:val="22"/>
                            <w:lang w:val="en-GB"/>
                          </w:rPr>
                        </m:ctrlPr>
                      </m:dPr>
                      <m:e>
                        <m:r>
                          <m:rPr>
                            <m:sty m:val="p"/>
                          </m:rPr>
                          <w:rPr>
                            <w:rFonts w:ascii="Cambria Math" w:eastAsia="TimesNewRoman" w:hAnsi="Cambria Math" w:hint="cs"/>
                            <w:sz w:val="22"/>
                            <w:szCs w:val="22"/>
                            <w:lang w:val="en-GB"/>
                          </w:rPr>
                          <m:t>θ</m:t>
                        </m:r>
                      </m:e>
                    </m:d>
                    <m:r>
                      <m:rPr>
                        <m:sty m:val="p"/>
                      </m:rPr>
                      <w:rPr>
                        <w:rFonts w:ascii="Cambria Math" w:eastAsia="TimesNewRoman" w:hAnsi="Cambria Math"/>
                        <w:sz w:val="22"/>
                        <w:szCs w:val="22"/>
                        <w:lang w:val="nb-NO"/>
                      </w:rPr>
                      <m:t>&lt;</m:t>
                    </m:r>
                    <m:sSup>
                      <m:sSupPr>
                        <m:ctrlPr>
                          <w:rPr>
                            <w:rFonts w:ascii="Cambria Math" w:eastAsia="TimesNewRoman" w:hAnsi="Cambria Math"/>
                            <w:sz w:val="22"/>
                            <w:szCs w:val="22"/>
                            <w:lang w:val="en-GB"/>
                          </w:rPr>
                        </m:ctrlPr>
                      </m:sSupPr>
                      <m:e>
                        <m:r>
                          <m:rPr>
                            <m:sty m:val="p"/>
                          </m:rPr>
                          <w:rPr>
                            <w:rFonts w:ascii="Cambria Math" w:eastAsia="TimesNewRoman" w:hAnsi="Cambria Math"/>
                            <w:sz w:val="22"/>
                            <w:szCs w:val="22"/>
                            <w:lang w:val="nb-NO"/>
                          </w:rPr>
                          <m:t>90</m:t>
                        </m:r>
                      </m:e>
                      <m:sup>
                        <m:r>
                          <m:rPr>
                            <m:sty m:val="p"/>
                          </m:rPr>
                          <w:rPr>
                            <w:rFonts w:ascii="Cambria Math" w:eastAsia="TimesNewRoman" w:hAnsi="Cambria Math" w:hint="eastAsia"/>
                            <w:sz w:val="22"/>
                            <w:szCs w:val="22"/>
                            <w:lang w:val="nb-NO"/>
                          </w:rPr>
                          <m:t>°</m:t>
                        </m:r>
                      </m:sup>
                    </m:sSup>
                  </m:e>
                </m:mr>
              </m:m>
            </m:e>
          </m:d>
        </m:oMath>
      </m:oMathPara>
    </w:p>
    <w:p w:rsidR="00B81CCC" w:rsidRPr="00BF7F00" w:rsidRDefault="00B81CCC" w:rsidP="00B81CCC">
      <w:pPr>
        <w:pStyle w:val="ListParagraph"/>
        <w:spacing w:beforeLines="50" w:before="120"/>
        <w:ind w:left="1140"/>
        <w:jc w:val="both"/>
        <w:rPr>
          <w:lang w:eastAsia="ja-JP"/>
        </w:rPr>
      </w:pPr>
      <w:proofErr w:type="gramStart"/>
      <w:r w:rsidRPr="00BF7F00">
        <w:rPr>
          <w:rFonts w:eastAsia="SimSun"/>
          <w:lang w:val="en-GB"/>
        </w:rPr>
        <w:t>with</w:t>
      </w:r>
      <w:proofErr w:type="gramEnd"/>
      <w:r w:rsidRPr="00BF7F00">
        <w:rPr>
          <w:rFonts w:eastAsia="SimSun"/>
          <w:lang w:val="en-GB"/>
        </w:rPr>
        <w:t xml:space="preserve"> </w:t>
      </w:r>
      <m:oMath>
        <m:r>
          <m:rPr>
            <m:sty m:val="p"/>
          </m:rPr>
          <w:rPr>
            <w:rFonts w:ascii="Cambria Math" w:eastAsia="SimSun" w:hAnsi="Cambria Math" w:hint="eastAsia"/>
            <w:lang w:val="en-GB"/>
          </w:rPr>
          <m:t>θ</m:t>
        </m:r>
      </m:oMath>
      <w:r w:rsidRPr="00BF7F00">
        <w:rPr>
          <w:rFonts w:eastAsia="SimSun"/>
          <w:lang w:val="en-GB"/>
        </w:rPr>
        <w:t xml:space="preserve"> the elevation angle, </w:t>
      </w:r>
      <m:oMath>
        <m:sSub>
          <m:sSubPr>
            <m:ctrlPr>
              <w:rPr>
                <w:rFonts w:ascii="Cambria Math" w:eastAsia="SimSun" w:hAnsi="Cambria Math"/>
                <w:lang w:val="en-GB"/>
              </w:rPr>
            </m:ctrlPr>
          </m:sSubPr>
          <m:e>
            <m:r>
              <m:rPr>
                <m:sty m:val="p"/>
              </m:rPr>
              <w:rPr>
                <w:rFonts w:ascii="Cambria Math" w:eastAsia="SimSun" w:hAnsi="Cambria Math" w:hint="eastAsia"/>
                <w:lang w:val="en-GB"/>
              </w:rPr>
              <m:t>θ</m:t>
            </m:r>
          </m:e>
          <m:sub>
            <m:r>
              <m:rPr>
                <m:sty m:val="p"/>
              </m:rPr>
              <w:rPr>
                <w:rFonts w:ascii="Cambria Math" w:eastAsia="SimSun" w:hAnsi="Cambria Math"/>
                <w:lang w:val="en-GB"/>
              </w:rPr>
              <m:t>3</m:t>
            </m:r>
          </m:sub>
        </m:sSub>
        <m:r>
          <m:rPr>
            <m:sty m:val="p"/>
          </m:rPr>
          <w:rPr>
            <w:rFonts w:ascii="Cambria Math" w:eastAsia="SimSun" w:hAnsi="Cambria Math"/>
            <w:lang w:val="en-GB"/>
          </w:rPr>
          <m:t>=16.47</m:t>
        </m:r>
        <m:r>
          <m:rPr>
            <m:sty m:val="p"/>
          </m:rPr>
          <w:rPr>
            <w:rFonts w:ascii="Cambria Math" w:eastAsia="SimSun" w:hAnsi="Cambria Math" w:hint="eastAsia"/>
            <w:lang w:val="en-GB"/>
          </w:rPr>
          <m:t>°</m:t>
        </m:r>
      </m:oMath>
      <w:r w:rsidRPr="00BF7F00">
        <w:rPr>
          <w:rFonts w:eastAsia="SimSun"/>
          <w:lang w:val="en-GB"/>
        </w:rPr>
        <w:t xml:space="preserve">, </w:t>
      </w:r>
      <m:oMath>
        <m:sSub>
          <m:sSubPr>
            <m:ctrlPr>
              <w:rPr>
                <w:rFonts w:ascii="Cambria Math" w:eastAsia="SimSun" w:hAnsi="Cambria Math"/>
                <w:lang w:val="en-GB"/>
              </w:rPr>
            </m:ctrlPr>
          </m:sSubPr>
          <m:e>
            <m:r>
              <m:rPr>
                <m:sty m:val="p"/>
              </m:rPr>
              <w:rPr>
                <w:rFonts w:ascii="Cambria Math" w:eastAsia="SimSun" w:hAnsi="Cambria Math" w:hint="eastAsia"/>
                <w:lang w:val="en-GB"/>
              </w:rPr>
              <m:t>θ</m:t>
            </m:r>
          </m:e>
          <m:sub>
            <m:r>
              <m:rPr>
                <m:sty m:val="p"/>
              </m:rPr>
              <w:rPr>
                <w:rFonts w:ascii="Cambria Math" w:eastAsia="SimSun" w:hAnsi="Cambria Math"/>
                <w:lang w:val="en-GB"/>
              </w:rPr>
              <m:t>5</m:t>
            </m:r>
          </m:sub>
        </m:sSub>
        <m:r>
          <m:rPr>
            <m:sty m:val="p"/>
          </m:rPr>
          <w:rPr>
            <w:rFonts w:ascii="Cambria Math" w:eastAsia="SimSun" w:hAnsi="Cambria Math"/>
            <w:lang w:val="en-GB"/>
          </w:rPr>
          <m:t>=16.95</m:t>
        </m:r>
        <m:r>
          <m:rPr>
            <m:sty m:val="p"/>
          </m:rPr>
          <w:rPr>
            <w:rFonts w:ascii="Cambria Math" w:eastAsia="SimSun" w:hAnsi="Cambria Math" w:hint="eastAsia"/>
            <w:lang w:val="en-GB"/>
          </w:rPr>
          <m:t>°</m:t>
        </m:r>
      </m:oMath>
      <w:r w:rsidRPr="00BF7F00">
        <w:rPr>
          <w:rFonts w:eastAsia="SimSun"/>
          <w:lang w:val="en-GB"/>
        </w:rPr>
        <w:t xml:space="preserve"> and </w:t>
      </w:r>
      <m:oMath>
        <m:r>
          <m:rPr>
            <m:sty m:val="p"/>
          </m:rPr>
          <w:rPr>
            <w:rFonts w:ascii="Cambria Math" w:eastAsia="SimSun" w:hAnsi="Cambria Math"/>
            <w:lang w:val="en-GB"/>
          </w:rPr>
          <m:t>k=0.7</m:t>
        </m:r>
      </m:oMath>
      <w:r w:rsidRPr="00BF7F00">
        <w:rPr>
          <w:rFonts w:eastAsia="SimSun"/>
          <w:lang w:val="en-GB"/>
        </w:rPr>
        <w:t>.</w:t>
      </w:r>
    </w:p>
    <w:p w:rsidR="00B81CCC" w:rsidRPr="00BF7F00" w:rsidRDefault="00B81CCC" w:rsidP="00B81CCC">
      <w:pPr>
        <w:pStyle w:val="ListParagraph"/>
        <w:numPr>
          <w:ilvl w:val="0"/>
          <w:numId w:val="17"/>
        </w:numPr>
        <w:spacing w:beforeLines="50" w:before="120"/>
        <w:jc w:val="both"/>
        <w:rPr>
          <w:lang w:eastAsia="ja-JP"/>
        </w:rPr>
      </w:pPr>
      <w:r w:rsidRPr="00BF7F00">
        <w:rPr>
          <w:lang w:eastAsia="zh-CN"/>
        </w:rPr>
        <w:t xml:space="preserve">The method proposes to modify provisions RR Nos. </w:t>
      </w:r>
      <w:r w:rsidRPr="00BF7F00">
        <w:rPr>
          <w:rStyle w:val="Artref"/>
          <w:b/>
          <w:bCs/>
        </w:rPr>
        <w:t xml:space="preserve">5.208A </w:t>
      </w:r>
      <w:r w:rsidRPr="00BF7F00">
        <w:rPr>
          <w:lang w:eastAsia="zh-CN"/>
        </w:rPr>
        <w:t xml:space="preserve">and </w:t>
      </w:r>
      <w:r w:rsidRPr="00BF7F00">
        <w:rPr>
          <w:rStyle w:val="Artref"/>
          <w:b/>
          <w:bCs/>
        </w:rPr>
        <w:t xml:space="preserve">5.208B </w:t>
      </w:r>
      <w:r w:rsidRPr="00BF7F00">
        <w:rPr>
          <w:lang w:eastAsia="zh-CN"/>
        </w:rPr>
        <w:t>in order to ensure the protection of the RAS in the nearest frequency band.</w:t>
      </w:r>
    </w:p>
    <w:p w:rsidR="00B81CCC" w:rsidRPr="00BF7F00" w:rsidRDefault="00B81CCC" w:rsidP="00B81CCC">
      <w:pPr>
        <w:pStyle w:val="ListParagraph"/>
        <w:numPr>
          <w:ilvl w:val="0"/>
          <w:numId w:val="17"/>
        </w:numPr>
        <w:snapToGrid w:val="0"/>
        <w:spacing w:beforeLines="50" w:before="120"/>
        <w:jc w:val="both"/>
        <w:rPr>
          <w:rFonts w:eastAsia="SimSun"/>
          <w:lang w:eastAsia="zh-CN"/>
        </w:rPr>
      </w:pPr>
      <w:r w:rsidRPr="00BF7F00">
        <w:rPr>
          <w:lang w:eastAsia="ja-JP"/>
        </w:rPr>
        <w:t>In order to protect the RAS, Annex 1 to Resolution</w:t>
      </w:r>
      <w:r w:rsidRPr="00BF7F00">
        <w:rPr>
          <w:b/>
          <w:bCs/>
          <w:lang w:eastAsia="ja-JP"/>
        </w:rPr>
        <w:t xml:space="preserve"> </w:t>
      </w:r>
      <w:r w:rsidRPr="00BF7F00">
        <w:rPr>
          <w:b/>
          <w:lang w:eastAsia="ja-JP"/>
        </w:rPr>
        <w:t>739</w:t>
      </w:r>
      <w:r w:rsidRPr="00BF7F00">
        <w:rPr>
          <w:lang w:eastAsia="ja-JP"/>
        </w:rPr>
        <w:t xml:space="preserve"> </w:t>
      </w:r>
      <w:r w:rsidRPr="00BF7F00">
        <w:rPr>
          <w:b/>
          <w:bCs/>
          <w:lang w:eastAsia="ja-JP"/>
        </w:rPr>
        <w:t>(Rev.WRC-07)</w:t>
      </w:r>
      <w:r w:rsidRPr="00BF7F00">
        <w:rPr>
          <w:lang w:eastAsia="ja-JP"/>
        </w:rPr>
        <w:t xml:space="preserve"> is revised to include MMSS in the frequency band </w:t>
      </w:r>
      <w:r w:rsidRPr="00BF7F00">
        <w:t xml:space="preserve">160.9625-161.4875 </w:t>
      </w:r>
      <w:proofErr w:type="spellStart"/>
      <w:r w:rsidRPr="00BF7F00">
        <w:t>MHz</w:t>
      </w:r>
      <w:r w:rsidRPr="00BF7F00">
        <w:rPr>
          <w:lang w:eastAsia="ja-JP"/>
        </w:rPr>
        <w:t>.</w:t>
      </w:r>
      <w:proofErr w:type="spellEnd"/>
    </w:p>
    <w:p w:rsidR="00B81CCC" w:rsidRPr="00BF7F00" w:rsidRDefault="00B81CCC" w:rsidP="00B81CCC">
      <w:pPr>
        <w:spacing w:beforeLines="50" w:before="120"/>
        <w:jc w:val="both"/>
        <w:rPr>
          <w:rFonts w:eastAsiaTheme="minorEastAsia"/>
          <w:lang w:eastAsia="zh-CN"/>
        </w:rPr>
      </w:pPr>
      <w:r w:rsidRPr="00BF7F00">
        <w:rPr>
          <w:rFonts w:eastAsiaTheme="minorEastAsia" w:hint="eastAsia"/>
          <w:lang w:eastAsia="zh-CN"/>
        </w:rPr>
        <w:t>T</w:t>
      </w:r>
      <w:r w:rsidRPr="00BF7F00">
        <w:rPr>
          <w:rFonts w:eastAsiaTheme="minorEastAsia"/>
          <w:lang w:eastAsia="zh-CN"/>
        </w:rPr>
        <w:t>he proposals to the Draft CPM Report is provided in another input contribution.</w:t>
      </w:r>
    </w:p>
    <w:p w:rsidR="001449D5" w:rsidRPr="00BF7F00" w:rsidRDefault="001449D5" w:rsidP="001449D5">
      <w:pPr>
        <w:rPr>
          <w:lang w:val="en-NZ"/>
        </w:rPr>
      </w:pPr>
    </w:p>
    <w:p w:rsidR="001449D5" w:rsidRPr="00BF7F00" w:rsidRDefault="001449D5" w:rsidP="001449D5">
      <w:pPr>
        <w:spacing w:after="120"/>
        <w:jc w:val="both"/>
        <w:rPr>
          <w:b/>
          <w:lang w:val="en-NZ" w:eastAsia="ko-KR"/>
        </w:rPr>
      </w:pPr>
      <w:r w:rsidRPr="00BF7F00">
        <w:rPr>
          <w:b/>
          <w:lang w:val="en-NZ" w:eastAsia="ko-KR"/>
        </w:rPr>
        <w:t>3.1.7</w:t>
      </w:r>
      <w:r w:rsidRPr="00BF7F00">
        <w:rPr>
          <w:b/>
          <w:lang w:val="en-NZ" w:eastAsia="ko-KR"/>
        </w:rPr>
        <w:tab/>
      </w:r>
      <w:r w:rsidR="00B81CCC" w:rsidRPr="00BF7F00">
        <w:rPr>
          <w:b/>
          <w:lang w:val="en-NZ" w:eastAsia="ko-KR"/>
        </w:rPr>
        <w:t>Indonesia (Republic of)</w:t>
      </w:r>
      <w:r w:rsidRPr="00BF7F00">
        <w:rPr>
          <w:b/>
          <w:lang w:val="en-NZ" w:eastAsia="ko-KR"/>
        </w:rPr>
        <w:t xml:space="preserve"> - Document APG19-4/INP-122</w:t>
      </w:r>
    </w:p>
    <w:p w:rsidR="001449D5" w:rsidRPr="00BF7F00" w:rsidRDefault="00B81CCC" w:rsidP="001449D5">
      <w:pPr>
        <w:rPr>
          <w:lang w:val="en-NZ"/>
        </w:rPr>
      </w:pPr>
      <w:r w:rsidRPr="00BF7F00">
        <w:rPr>
          <w:lang w:val="en-NZ"/>
        </w:rPr>
        <w:t xml:space="preserve">Indonesia supports that activities of WP 5B to consider regulatory provisions and spectrum allocations to the maritime mobile-satellite service to enable the satellite component of the VHF Data Exchange System and enhanced maritime radiocommunication. Indonesia also </w:t>
      </w:r>
      <w:r w:rsidRPr="00BF7F00">
        <w:rPr>
          <w:lang w:val="en-NZ"/>
        </w:rPr>
        <w:lastRenderedPageBreak/>
        <w:t>raises a concern that any modifications of VDES components should not impact the existing AIS equipment on-board which is already installed on the vessel.</w:t>
      </w:r>
    </w:p>
    <w:p w:rsidR="00E7578A" w:rsidRPr="00BF7F00" w:rsidRDefault="00E7578A" w:rsidP="001449D5">
      <w:pPr>
        <w:rPr>
          <w:lang w:val="en-NZ"/>
        </w:rPr>
      </w:pPr>
    </w:p>
    <w:p w:rsidR="00736F20" w:rsidRPr="00BF7F00" w:rsidRDefault="00AE718A" w:rsidP="00AE718A">
      <w:pPr>
        <w:spacing w:after="120"/>
        <w:jc w:val="both"/>
        <w:rPr>
          <w:b/>
          <w:lang w:val="en-NZ" w:eastAsia="ko-KR"/>
        </w:rPr>
      </w:pPr>
      <w:r w:rsidRPr="00BF7F00">
        <w:rPr>
          <w:b/>
          <w:lang w:val="en-NZ" w:eastAsia="ko-KR"/>
        </w:rPr>
        <w:t>3.2</w:t>
      </w:r>
      <w:r w:rsidRPr="00BF7F00">
        <w:rPr>
          <w:b/>
          <w:lang w:val="en-NZ" w:eastAsia="ko-KR"/>
        </w:rPr>
        <w:tab/>
      </w:r>
      <w:r w:rsidR="00736F20" w:rsidRPr="00BF7F00">
        <w:rPr>
          <w:b/>
          <w:lang w:val="en-NZ" w:eastAsia="ko-KR"/>
        </w:rPr>
        <w:t>Summary of issues raised during the meeting</w:t>
      </w:r>
    </w:p>
    <w:p w:rsidR="00736F20" w:rsidRPr="00BF7F00" w:rsidRDefault="00B96062" w:rsidP="00B96062">
      <w:pPr>
        <w:pStyle w:val="ListParagraph"/>
        <w:spacing w:afterLines="50" w:after="120"/>
        <w:ind w:left="426" w:hanging="425"/>
        <w:jc w:val="both"/>
        <w:rPr>
          <w:lang w:val="en-NZ"/>
        </w:rPr>
      </w:pPr>
      <w:r w:rsidRPr="00BF7F00">
        <w:rPr>
          <w:lang w:val="en-NZ"/>
        </w:rPr>
        <w:t>-</w:t>
      </w:r>
      <w:r w:rsidRPr="00BF7F00">
        <w:rPr>
          <w:lang w:val="en-NZ"/>
        </w:rPr>
        <w:tab/>
      </w:r>
      <w:r w:rsidR="00736F20" w:rsidRPr="00BF7F00">
        <w:rPr>
          <w:lang w:val="en-NZ"/>
        </w:rPr>
        <w:t>Existing services need to be protected from the VDES satellite component.</w:t>
      </w:r>
    </w:p>
    <w:p w:rsidR="000645C9" w:rsidRPr="00BF7F00" w:rsidRDefault="00B96062" w:rsidP="00B96062">
      <w:pPr>
        <w:pStyle w:val="ListParagraph"/>
        <w:spacing w:afterLines="50" w:after="120"/>
        <w:ind w:left="426" w:hanging="425"/>
        <w:jc w:val="both"/>
        <w:rPr>
          <w:lang w:val="en-NZ"/>
        </w:rPr>
      </w:pPr>
      <w:r w:rsidRPr="00BF7F00">
        <w:rPr>
          <w:lang w:val="en-NZ"/>
        </w:rPr>
        <w:t>-</w:t>
      </w:r>
      <w:r w:rsidRPr="00BF7F00">
        <w:rPr>
          <w:lang w:val="en-NZ"/>
        </w:rPr>
        <w:tab/>
      </w:r>
      <w:r w:rsidR="000645C9" w:rsidRPr="00BF7F00">
        <w:rPr>
          <w:rFonts w:hint="eastAsia"/>
          <w:lang w:val="en-NZ"/>
        </w:rPr>
        <w:t>Some APT members propose</w:t>
      </w:r>
      <w:r w:rsidR="00806C18" w:rsidRPr="00BF7F00">
        <w:rPr>
          <w:rFonts w:eastAsiaTheme="minorEastAsia" w:hint="eastAsia"/>
          <w:lang w:val="en-NZ" w:eastAsia="ja-JP"/>
        </w:rPr>
        <w:t>d</w:t>
      </w:r>
      <w:r w:rsidR="000645C9" w:rsidRPr="00BF7F00">
        <w:rPr>
          <w:rFonts w:hint="eastAsia"/>
          <w:lang w:val="en-NZ"/>
        </w:rPr>
        <w:t xml:space="preserve"> modification</w:t>
      </w:r>
      <w:r w:rsidR="004B053C" w:rsidRPr="00BF7F00">
        <w:rPr>
          <w:lang w:val="en-NZ"/>
        </w:rPr>
        <w:t>s</w:t>
      </w:r>
      <w:r w:rsidR="000645C9" w:rsidRPr="00BF7F00">
        <w:rPr>
          <w:rFonts w:hint="eastAsia"/>
          <w:lang w:val="en-NZ"/>
        </w:rPr>
        <w:t xml:space="preserve"> </w:t>
      </w:r>
      <w:r w:rsidR="00E22B92" w:rsidRPr="00BF7F00">
        <w:rPr>
          <w:lang w:val="en-NZ"/>
        </w:rPr>
        <w:t>to</w:t>
      </w:r>
      <w:r w:rsidR="000645C9" w:rsidRPr="00BF7F00">
        <w:rPr>
          <w:rFonts w:hint="eastAsia"/>
          <w:lang w:val="en-NZ"/>
        </w:rPr>
        <w:t xml:space="preserve"> </w:t>
      </w:r>
      <w:r w:rsidR="00092C6D" w:rsidRPr="00BF7F00">
        <w:rPr>
          <w:lang w:val="en-NZ"/>
        </w:rPr>
        <w:t xml:space="preserve">the </w:t>
      </w:r>
      <w:r w:rsidR="000645C9" w:rsidRPr="00BF7F00">
        <w:rPr>
          <w:lang w:val="en-NZ"/>
        </w:rPr>
        <w:t>D</w:t>
      </w:r>
      <w:r w:rsidR="000645C9" w:rsidRPr="00BF7F00">
        <w:rPr>
          <w:rFonts w:hint="eastAsia"/>
          <w:lang w:val="en-NZ"/>
        </w:rPr>
        <w:t>raft CPM Report.</w:t>
      </w:r>
    </w:p>
    <w:p w:rsidR="00736F20" w:rsidRPr="00BF7F00" w:rsidRDefault="00736F20" w:rsidP="00736F20">
      <w:pPr>
        <w:spacing w:after="120"/>
        <w:jc w:val="both"/>
        <w:rPr>
          <w:b/>
          <w:lang w:val="en-NZ" w:eastAsia="ko-KR"/>
        </w:rPr>
      </w:pPr>
      <w:r w:rsidRPr="00BF7F00">
        <w:rPr>
          <w:b/>
          <w:lang w:val="en-NZ" w:eastAsia="ko-KR"/>
        </w:rPr>
        <w:t>4.</w:t>
      </w:r>
      <w:r w:rsidRPr="00BF7F00">
        <w:rPr>
          <w:b/>
          <w:lang w:val="en-NZ" w:eastAsia="ko-KR"/>
        </w:rPr>
        <w:tab/>
        <w:t>APT Preliminary View(s)</w:t>
      </w:r>
    </w:p>
    <w:p w:rsidR="00736F20" w:rsidRPr="00BF7F00" w:rsidRDefault="00736F20" w:rsidP="00736F20">
      <w:pPr>
        <w:rPr>
          <w:rFonts w:eastAsia="MS Mincho"/>
          <w:lang w:val="en-NZ" w:eastAsia="ja-JP"/>
        </w:rPr>
      </w:pPr>
      <w:r w:rsidRPr="00BF7F00">
        <w:rPr>
          <w:rFonts w:eastAsia="MS Mincho"/>
          <w:lang w:val="en-NZ" w:eastAsia="ja-JP"/>
        </w:rPr>
        <w:t xml:space="preserve">APT Members support the ITU-R studies undertaken in accordance with Resolution </w:t>
      </w:r>
      <w:r w:rsidRPr="00BF7F00">
        <w:rPr>
          <w:rFonts w:eastAsia="MS Mincho"/>
          <w:b/>
          <w:lang w:val="en-NZ" w:eastAsia="ja-JP"/>
        </w:rPr>
        <w:t>360 (Rev. WRC-15)</w:t>
      </w:r>
      <w:r w:rsidRPr="00BF7F00">
        <w:rPr>
          <w:rFonts w:eastAsia="MS Mincho"/>
          <w:lang w:val="en-NZ" w:eastAsia="ja-JP"/>
        </w:rPr>
        <w:t xml:space="preserve"> to identify possible new allocations to the maritime mobile-satellite service for VDES satellite component</w:t>
      </w:r>
      <w:r w:rsidR="00863D9C" w:rsidRPr="00BF7F00">
        <w:rPr>
          <w:rFonts w:eastAsia="MS Mincho"/>
          <w:lang w:val="en-NZ" w:eastAsia="ja-JP"/>
        </w:rPr>
        <w:t xml:space="preserve"> (VDE-SAT)</w:t>
      </w:r>
      <w:r w:rsidRPr="00BF7F00">
        <w:rPr>
          <w:rFonts w:eastAsia="MS Mincho"/>
          <w:lang w:val="en-NZ" w:eastAsia="ja-JP"/>
        </w:rPr>
        <w:t>.</w:t>
      </w:r>
    </w:p>
    <w:p w:rsidR="00736F20" w:rsidRPr="00BF7F00" w:rsidRDefault="00736F20" w:rsidP="00736F20">
      <w:pPr>
        <w:rPr>
          <w:lang w:val="en-NZ"/>
        </w:rPr>
      </w:pPr>
    </w:p>
    <w:p w:rsidR="00736F20" w:rsidRPr="00BF7F00" w:rsidRDefault="00736F20" w:rsidP="00B96062">
      <w:pPr>
        <w:spacing w:afterLines="50" w:after="120"/>
        <w:rPr>
          <w:lang w:val="en-NZ"/>
        </w:rPr>
      </w:pPr>
      <w:r w:rsidRPr="00BF7F00">
        <w:rPr>
          <w:lang w:val="en-NZ"/>
        </w:rPr>
        <w:t>In regard</w:t>
      </w:r>
      <w:r w:rsidRPr="00BF7F00">
        <w:rPr>
          <w:rFonts w:eastAsia="MS Mincho" w:hint="eastAsia"/>
          <w:lang w:val="en-NZ" w:eastAsia="ja-JP"/>
        </w:rPr>
        <w:t xml:space="preserve">s </w:t>
      </w:r>
      <w:r w:rsidRPr="00BF7F00">
        <w:rPr>
          <w:rFonts w:eastAsia="MS Mincho"/>
          <w:lang w:val="en-NZ" w:eastAsia="ja-JP"/>
        </w:rPr>
        <w:t>to</w:t>
      </w:r>
      <w:r w:rsidRPr="00BF7F00">
        <w:rPr>
          <w:lang w:val="en-NZ"/>
        </w:rPr>
        <w:t xml:space="preserve"> the possible modification of the Radio Regulations under WRC-19 Agenda Item 1.9.2, APT Members are of the view that:</w:t>
      </w:r>
    </w:p>
    <w:p w:rsidR="00736F20" w:rsidRPr="00BF7F00" w:rsidRDefault="00736F20" w:rsidP="00B96062">
      <w:pPr>
        <w:pStyle w:val="ListParagraph"/>
        <w:spacing w:afterLines="50" w:after="120"/>
        <w:ind w:left="426" w:hanging="425"/>
        <w:jc w:val="both"/>
        <w:rPr>
          <w:lang w:val="en-NZ"/>
        </w:rPr>
      </w:pPr>
      <w:r w:rsidRPr="00BF7F00">
        <w:rPr>
          <w:lang w:val="en-NZ"/>
        </w:rPr>
        <w:t>-</w:t>
      </w:r>
      <w:r w:rsidRPr="00BF7F00">
        <w:rPr>
          <w:lang w:val="en-NZ"/>
        </w:rPr>
        <w:tab/>
        <w:t>Existing allocations and systems in the same and adjacent bands</w:t>
      </w:r>
      <w:r w:rsidR="00452F87" w:rsidRPr="00BF7F00">
        <w:rPr>
          <w:lang w:val="en-NZ"/>
        </w:rPr>
        <w:t xml:space="preserve">, especially </w:t>
      </w:r>
      <w:r w:rsidR="00DA269F" w:rsidRPr="00BF7F00">
        <w:rPr>
          <w:lang w:val="en-NZ"/>
        </w:rPr>
        <w:t>the current terrestrial VDES components, ASM and AIS operations</w:t>
      </w:r>
      <w:r w:rsidR="00452F87" w:rsidRPr="00BF7F00">
        <w:rPr>
          <w:lang w:val="en-NZ"/>
        </w:rPr>
        <w:t>,</w:t>
      </w:r>
      <w:r w:rsidRPr="00BF7F00">
        <w:rPr>
          <w:lang w:val="en-NZ"/>
        </w:rPr>
        <w:t xml:space="preserve"> should be protected</w:t>
      </w:r>
      <w:r w:rsidR="00D414DB" w:rsidRPr="00BF7F00">
        <w:rPr>
          <w:lang w:val="en-NZ"/>
        </w:rPr>
        <w:t xml:space="preserve">, not be degraded or subject to additional </w:t>
      </w:r>
      <w:r w:rsidR="00452F87" w:rsidRPr="00BF7F00">
        <w:rPr>
          <w:lang w:val="en-NZ"/>
        </w:rPr>
        <w:t>constraints, which include but are not limited to, any modification requested to existing AIS equipment</w:t>
      </w:r>
      <w:r w:rsidRPr="00BF7F00">
        <w:rPr>
          <w:lang w:val="en-NZ"/>
        </w:rPr>
        <w:t>;</w:t>
      </w:r>
    </w:p>
    <w:p w:rsidR="00736F20" w:rsidRPr="00BF7F00" w:rsidRDefault="00736F20" w:rsidP="00B96062">
      <w:pPr>
        <w:pStyle w:val="ListParagraph"/>
        <w:spacing w:afterLines="50" w:after="120"/>
        <w:ind w:left="426" w:hanging="425"/>
        <w:jc w:val="both"/>
        <w:rPr>
          <w:lang w:val="en-NZ"/>
        </w:rPr>
      </w:pPr>
      <w:r w:rsidRPr="00BF7F00">
        <w:rPr>
          <w:lang w:val="en-NZ"/>
        </w:rPr>
        <w:t>-</w:t>
      </w:r>
      <w:r w:rsidRPr="00BF7F00">
        <w:rPr>
          <w:lang w:val="en-NZ"/>
        </w:rPr>
        <w:tab/>
        <w:t>Search and rescue aircraft system</w:t>
      </w:r>
      <w:r w:rsidR="00D414DB" w:rsidRPr="00BF7F00">
        <w:rPr>
          <w:lang w:val="en-NZ"/>
        </w:rPr>
        <w:t>s</w:t>
      </w:r>
      <w:r w:rsidRPr="00BF7F00">
        <w:rPr>
          <w:lang w:val="en-NZ"/>
        </w:rPr>
        <w:t xml:space="preserve"> operating in maritime frequencies must be protected;</w:t>
      </w:r>
    </w:p>
    <w:p w:rsidR="00736F20" w:rsidRPr="00BF7F00" w:rsidRDefault="00736F20" w:rsidP="00B96062">
      <w:pPr>
        <w:pStyle w:val="ListParagraph"/>
        <w:spacing w:afterLines="50" w:after="120"/>
        <w:ind w:left="426" w:hanging="425"/>
        <w:jc w:val="both"/>
        <w:rPr>
          <w:lang w:val="en-NZ"/>
        </w:rPr>
      </w:pPr>
      <w:r w:rsidRPr="00BF7F00">
        <w:rPr>
          <w:rFonts w:eastAsia="MS Mincho" w:hint="eastAsia"/>
          <w:lang w:val="en-NZ" w:eastAsia="ja-JP"/>
        </w:rPr>
        <w:t>-</w:t>
      </w:r>
      <w:r w:rsidRPr="00BF7F00">
        <w:rPr>
          <w:lang w:val="en-NZ"/>
        </w:rPr>
        <w:tab/>
        <w:t>VDES satellite components should not claim protection from harmful interference caused by stations of a land mobile service to which frequencies are already assigned;</w:t>
      </w:r>
    </w:p>
    <w:p w:rsidR="00736F20" w:rsidRPr="00BF7F00" w:rsidRDefault="00736F20" w:rsidP="00B96062">
      <w:pPr>
        <w:pStyle w:val="ListParagraph"/>
        <w:spacing w:afterLines="50" w:after="120"/>
        <w:ind w:left="426" w:hanging="425"/>
        <w:jc w:val="both"/>
        <w:rPr>
          <w:lang w:val="en-NZ"/>
        </w:rPr>
      </w:pPr>
      <w:r w:rsidRPr="00BF7F00">
        <w:rPr>
          <w:rFonts w:eastAsia="MS Mincho" w:hint="eastAsia"/>
          <w:lang w:val="en-NZ" w:eastAsia="ja-JP"/>
        </w:rPr>
        <w:t>-</w:t>
      </w:r>
      <w:r w:rsidRPr="00BF7F00">
        <w:rPr>
          <w:lang w:val="en-NZ"/>
        </w:rPr>
        <w:tab/>
        <w:t>If the spectrum needs were appropriately justified, new spectrum allocations could be identified to the maritime mobile-satellite service (MMSS) (Earth-to-space and space-to-Earth), with the provision they do not cause harmful interference, and have no claim of protection from incumbent service on a primary basis in the same and adjacent frequency bands</w:t>
      </w:r>
      <w:r w:rsidR="00452F87" w:rsidRPr="00BF7F00">
        <w:rPr>
          <w:lang w:val="en-NZ"/>
        </w:rPr>
        <w:t>; and</w:t>
      </w:r>
    </w:p>
    <w:p w:rsidR="00863D9C" w:rsidRPr="00BF7F00" w:rsidRDefault="00863D9C" w:rsidP="00B96062">
      <w:pPr>
        <w:pStyle w:val="ListParagraph"/>
        <w:spacing w:afterLines="50" w:after="120"/>
        <w:ind w:left="425" w:hanging="425"/>
        <w:jc w:val="both"/>
        <w:rPr>
          <w:lang w:val="en-NZ"/>
        </w:rPr>
      </w:pPr>
      <w:r w:rsidRPr="00BF7F00">
        <w:rPr>
          <w:lang w:val="en-NZ"/>
        </w:rPr>
        <w:t>-</w:t>
      </w:r>
      <w:r w:rsidRPr="00BF7F00">
        <w:rPr>
          <w:lang w:val="en-NZ"/>
        </w:rPr>
        <w:tab/>
        <w:t xml:space="preserve">In order to protect the RAS, Annex 1 to Resolution </w:t>
      </w:r>
      <w:r w:rsidRPr="00BF7F00">
        <w:rPr>
          <w:b/>
          <w:lang w:val="en-NZ"/>
        </w:rPr>
        <w:t>739 (Rev.WRC-15)</w:t>
      </w:r>
      <w:r w:rsidRPr="00BF7F00">
        <w:rPr>
          <w:lang w:val="en-NZ"/>
        </w:rPr>
        <w:t xml:space="preserve"> should be revised.</w:t>
      </w:r>
    </w:p>
    <w:p w:rsidR="00736F20" w:rsidRPr="00BF7F00" w:rsidRDefault="004B4B5F" w:rsidP="00736F20">
      <w:pPr>
        <w:spacing w:after="120"/>
        <w:jc w:val="both"/>
        <w:rPr>
          <w:b/>
          <w:lang w:val="en-NZ" w:eastAsia="ko-KR"/>
        </w:rPr>
      </w:pPr>
      <w:r w:rsidRPr="00BF7F00">
        <w:rPr>
          <w:b/>
          <w:lang w:val="en-NZ" w:eastAsia="ko-KR"/>
        </w:rPr>
        <w:t>5.</w:t>
      </w:r>
      <w:r w:rsidR="00736F20" w:rsidRPr="00BF7F00">
        <w:rPr>
          <w:b/>
          <w:lang w:val="en-NZ" w:eastAsia="ko-KR"/>
        </w:rPr>
        <w:tab/>
        <w:t>Other View(s) from APT Members</w:t>
      </w:r>
    </w:p>
    <w:p w:rsidR="00D44BAA" w:rsidRPr="00BF7F00" w:rsidRDefault="00D44BAA" w:rsidP="00BF7F00">
      <w:pPr>
        <w:pStyle w:val="ListParagraph"/>
        <w:spacing w:afterLines="50" w:after="120"/>
        <w:ind w:left="425" w:hanging="425"/>
        <w:jc w:val="both"/>
        <w:rPr>
          <w:rFonts w:eastAsia="MS Mincho"/>
          <w:lang w:val="en-NZ" w:eastAsia="ja-JP"/>
        </w:rPr>
      </w:pPr>
      <w:r w:rsidRPr="00BF7F00">
        <w:rPr>
          <w:rFonts w:eastAsia="MS Mincho" w:hint="eastAsia"/>
          <w:lang w:val="en-NZ" w:eastAsia="ja-JP"/>
        </w:rPr>
        <w:t>-</w:t>
      </w:r>
      <w:r w:rsidRPr="00BF7F00">
        <w:rPr>
          <w:rFonts w:eastAsia="MS Mincho"/>
          <w:lang w:val="en-NZ" w:eastAsia="ja-JP"/>
        </w:rPr>
        <w:tab/>
        <w:t>Some APT Members support a new primary allocation for the MMSS (Earth-to-space) in the frequency band 157.1875-157.3375 MHz</w:t>
      </w:r>
      <w:r w:rsidR="005D06DE" w:rsidRPr="00BF7F00">
        <w:t xml:space="preserve"> </w:t>
      </w:r>
      <w:r w:rsidR="005D06DE" w:rsidRPr="00BF7F00">
        <w:rPr>
          <w:rFonts w:eastAsia="MS Mincho"/>
          <w:lang w:val="en-NZ" w:eastAsia="ja-JP"/>
        </w:rPr>
        <w:t>(channels 1024, 1084, 1025, 1085, 1026 and 1086)</w:t>
      </w:r>
      <w:r w:rsidRPr="00BF7F00">
        <w:rPr>
          <w:rFonts w:eastAsia="MS Mincho"/>
          <w:lang w:val="en-NZ" w:eastAsia="ja-JP"/>
        </w:rPr>
        <w:t xml:space="preserve"> and a new primary allocation for the MMSS (space-to-Earth) in the frequency band 161.7875-161.9375 MHz</w:t>
      </w:r>
      <w:r w:rsidR="005D06DE" w:rsidRPr="00BF7F00">
        <w:rPr>
          <w:rFonts w:eastAsia="MS Mincho"/>
          <w:lang w:val="en-NZ" w:eastAsia="ja-JP"/>
        </w:rPr>
        <w:t xml:space="preserve"> (channels 2024, 2084, 2025, 2085 2026 and 2086)</w:t>
      </w:r>
      <w:r w:rsidR="008A6BC4" w:rsidRPr="00BF7F00">
        <w:rPr>
          <w:rFonts w:eastAsia="MS Mincho"/>
          <w:lang w:val="en-NZ" w:eastAsia="ja-JP"/>
        </w:rPr>
        <w:t xml:space="preserve"> with </w:t>
      </w:r>
      <w:proofErr w:type="spellStart"/>
      <w:r w:rsidR="008A6BC4" w:rsidRPr="00BF7F00">
        <w:rPr>
          <w:rFonts w:eastAsia="MS Mincho"/>
          <w:lang w:val="en-NZ" w:eastAsia="ja-JP"/>
        </w:rPr>
        <w:t>pfd</w:t>
      </w:r>
      <w:proofErr w:type="spellEnd"/>
      <w:r w:rsidR="008A6BC4" w:rsidRPr="00BF7F00">
        <w:rPr>
          <w:rFonts w:eastAsia="MS Mincho"/>
          <w:lang w:val="en-NZ" w:eastAsia="ja-JP"/>
        </w:rPr>
        <w:t xml:space="preserve"> mask which is described in Recommendation ITU-R M.2092-0</w:t>
      </w:r>
      <w:r w:rsidRPr="00BF7F00">
        <w:rPr>
          <w:rFonts w:eastAsia="MS Mincho"/>
          <w:lang w:val="en-NZ" w:eastAsia="ja-JP"/>
        </w:rPr>
        <w:t>.</w:t>
      </w:r>
    </w:p>
    <w:p w:rsidR="00D44BAA" w:rsidRPr="00BF7F00" w:rsidRDefault="00D44BAA" w:rsidP="00BF7F00">
      <w:pPr>
        <w:pStyle w:val="ListParagraph"/>
        <w:spacing w:afterLines="50" w:after="120"/>
        <w:ind w:left="425" w:hanging="425"/>
        <w:jc w:val="both"/>
        <w:rPr>
          <w:rFonts w:eastAsia="MS Mincho"/>
          <w:lang w:val="en-NZ" w:eastAsia="ja-JP"/>
        </w:rPr>
      </w:pPr>
      <w:r w:rsidRPr="00BF7F00">
        <w:rPr>
          <w:rFonts w:eastAsia="MS Mincho" w:hint="eastAsia"/>
          <w:lang w:val="en-NZ" w:eastAsia="ja-JP"/>
        </w:rPr>
        <w:t>-</w:t>
      </w:r>
      <w:r w:rsidRPr="00BF7F00">
        <w:rPr>
          <w:rFonts w:eastAsia="MS Mincho"/>
          <w:lang w:val="en-NZ" w:eastAsia="ja-JP"/>
        </w:rPr>
        <w:tab/>
        <w:t xml:space="preserve">Some other APT Members support </w:t>
      </w:r>
      <w:bookmarkStart w:id="6" w:name="_Hlk534818478"/>
      <w:r w:rsidRPr="00BF7F00">
        <w:rPr>
          <w:rFonts w:eastAsia="MS Mincho"/>
          <w:lang w:val="en-NZ" w:eastAsia="ja-JP"/>
        </w:rPr>
        <w:t>a new secondary allocation for the MMSS (Earth to-space)</w:t>
      </w:r>
      <w:r w:rsidR="00DB5D13" w:rsidRPr="00BF7F00">
        <w:rPr>
          <w:rFonts w:eastAsia="MS Mincho"/>
          <w:lang w:val="en-NZ" w:eastAsia="ja-JP"/>
        </w:rPr>
        <w:t xml:space="preserve"> </w:t>
      </w:r>
      <w:r w:rsidR="00DB5D13" w:rsidRPr="00BF7F00">
        <w:rPr>
          <w:rFonts w:eastAsia="MS Mincho" w:hint="eastAsia"/>
          <w:lang w:val="en-NZ" w:eastAsia="ja-JP"/>
        </w:rPr>
        <w:t xml:space="preserve">in the frequency band </w:t>
      </w:r>
      <w:r w:rsidRPr="00BF7F00">
        <w:rPr>
          <w:rFonts w:eastAsia="MS Mincho"/>
          <w:lang w:val="en-NZ" w:eastAsia="ja-JP"/>
        </w:rPr>
        <w:t xml:space="preserve">157.1875-157.3375 MHz (channels 1024, 1084, 1025, 1085, 1026 and 1086) and the frequency band 161.7875-161.9375 (channels 2024, 2084, 2025, 2085 2026 and 2086). And </w:t>
      </w:r>
      <w:r w:rsidR="005D06DE" w:rsidRPr="00BF7F00">
        <w:rPr>
          <w:rFonts w:eastAsia="MS Mincho"/>
          <w:lang w:val="en-NZ" w:eastAsia="ja-JP"/>
        </w:rPr>
        <w:t xml:space="preserve">also </w:t>
      </w:r>
      <w:r w:rsidRPr="00BF7F00">
        <w:rPr>
          <w:rFonts w:eastAsia="MS Mincho"/>
          <w:lang w:val="en-NZ" w:eastAsia="ja-JP"/>
        </w:rPr>
        <w:t>support a new secondary allocation for the MMSS (space-to-Earth) in the frequency band 160.9625-161.4875 MHz</w:t>
      </w:r>
      <w:r w:rsidR="005D06DE" w:rsidRPr="00BF7F00">
        <w:rPr>
          <w:rFonts w:eastAsia="MS Mincho"/>
          <w:lang w:val="en-NZ" w:eastAsia="ja-JP"/>
        </w:rPr>
        <w:t xml:space="preserve"> (not channelized in RR Appendix </w:t>
      </w:r>
      <w:r w:rsidR="005D06DE" w:rsidRPr="00BF7F00">
        <w:rPr>
          <w:rFonts w:eastAsia="MS Mincho"/>
          <w:b/>
          <w:lang w:val="en-NZ" w:eastAsia="ja-JP"/>
        </w:rPr>
        <w:t>18</w:t>
      </w:r>
      <w:r w:rsidR="005D06DE" w:rsidRPr="00BF7F00">
        <w:rPr>
          <w:rFonts w:eastAsia="MS Mincho"/>
          <w:lang w:val="en-NZ" w:eastAsia="ja-JP"/>
        </w:rPr>
        <w:t>)</w:t>
      </w:r>
      <w:r w:rsidRPr="00BF7F00">
        <w:rPr>
          <w:rFonts w:eastAsia="MS Mincho"/>
          <w:lang w:val="en-NZ" w:eastAsia="ja-JP"/>
        </w:rPr>
        <w:t xml:space="preserve"> with new </w:t>
      </w:r>
      <w:proofErr w:type="spellStart"/>
      <w:r w:rsidRPr="00BF7F00">
        <w:rPr>
          <w:rFonts w:eastAsia="MS Mincho"/>
          <w:lang w:val="en-NZ" w:eastAsia="ja-JP"/>
        </w:rPr>
        <w:t>pfd</w:t>
      </w:r>
      <w:proofErr w:type="spellEnd"/>
      <w:r w:rsidRPr="00BF7F00">
        <w:rPr>
          <w:rFonts w:eastAsia="MS Mincho"/>
          <w:lang w:val="en-NZ" w:eastAsia="ja-JP"/>
        </w:rPr>
        <w:t xml:space="preserve"> mask which is described as the following equation.</w:t>
      </w:r>
      <w:bookmarkEnd w:id="6"/>
    </w:p>
    <w:p w:rsidR="00DB5D13" w:rsidRPr="00BF7F00" w:rsidRDefault="00DB5D13" w:rsidP="00DB5D13">
      <w:pPr>
        <w:pStyle w:val="ListParagraph"/>
        <w:tabs>
          <w:tab w:val="left" w:pos="1134"/>
          <w:tab w:val="center" w:pos="4820"/>
          <w:tab w:val="right" w:pos="9639"/>
        </w:tabs>
        <w:overflowPunct w:val="0"/>
        <w:autoSpaceDE w:val="0"/>
        <w:autoSpaceDN w:val="0"/>
        <w:adjustRightInd w:val="0"/>
        <w:spacing w:before="120"/>
        <w:ind w:left="1140"/>
        <w:textAlignment w:val="baseline"/>
        <w:rPr>
          <w:rFonts w:eastAsia="SimSun"/>
          <w:sz w:val="22"/>
          <w:szCs w:val="22"/>
          <w:lang w:val="nb-NO" w:eastAsia="zh-CN"/>
        </w:rPr>
      </w:pPr>
      <m:oMathPara>
        <m:oMath>
          <m:r>
            <m:rPr>
              <m:sty m:val="p"/>
            </m:rPr>
            <w:rPr>
              <w:rFonts w:ascii="Cambria Math" w:eastAsia="TimesNewRoman" w:hAnsi="Cambria Math"/>
              <w:sz w:val="22"/>
              <w:szCs w:val="22"/>
              <w:lang w:val="nb-NO"/>
            </w:rPr>
            <m:t>pfd(</m:t>
          </m:r>
          <m:r>
            <m:rPr>
              <m:sty m:val="p"/>
            </m:rPr>
            <w:rPr>
              <w:rFonts w:ascii="Cambria Math" w:eastAsia="TimesNewRoman" w:hAnsi="Cambria Math" w:hint="cs"/>
              <w:sz w:val="22"/>
              <w:szCs w:val="22"/>
              <w:lang w:val="en-GB"/>
            </w:rPr>
            <m:t>θ</m:t>
          </m:r>
          <m:r>
            <m:rPr>
              <m:sty m:val="p"/>
            </m:rPr>
            <w:rPr>
              <w:rFonts w:ascii="Cambria Math" w:eastAsia="TimesNewRoman" w:hAnsi="Cambria Math"/>
              <w:sz w:val="22"/>
              <w:szCs w:val="22"/>
              <w:lang w:val="nb-NO"/>
            </w:rPr>
            <m:t>)=</m:t>
          </m:r>
          <m:d>
            <m:dPr>
              <m:begChr m:val="{"/>
              <m:endChr m:val=""/>
              <m:ctrlPr>
                <w:rPr>
                  <w:rFonts w:ascii="Cambria Math" w:eastAsia="TimesNewRoman" w:hAnsi="Cambria Math"/>
                  <w:sz w:val="22"/>
                  <w:szCs w:val="22"/>
                  <w:lang w:val="en-GB"/>
                </w:rPr>
              </m:ctrlPr>
            </m:dPr>
            <m:e>
              <m:m>
                <m:mPr>
                  <m:mcs>
                    <m:mc>
                      <m:mcPr>
                        <m:count m:val="2"/>
                        <m:mcJc m:val="center"/>
                      </m:mcPr>
                    </m:mc>
                  </m:mcs>
                  <m:ctrlPr>
                    <w:rPr>
                      <w:rFonts w:ascii="Cambria Math" w:eastAsia="TimesNewRoman" w:hAnsi="Cambria Math"/>
                      <w:sz w:val="22"/>
                      <w:szCs w:val="22"/>
                      <w:lang w:val="en-GB"/>
                    </w:rPr>
                  </m:ctrlPr>
                </m:mPr>
                <m:mr>
                  <m:e>
                    <m:r>
                      <m:rPr>
                        <m:sty m:val="p"/>
                      </m:rPr>
                      <w:rPr>
                        <w:rFonts w:ascii="Cambria Math" w:eastAsia="TimesNewRoman" w:hAnsi="Cambria Math"/>
                        <w:sz w:val="22"/>
                        <w:szCs w:val="22"/>
                        <w:lang w:val="nb-NO"/>
                      </w:rPr>
                      <m:t>-158.</m:t>
                    </m:r>
                    <m:r>
                      <m:rPr>
                        <m:sty m:val="p"/>
                      </m:rPr>
                      <w:rPr>
                        <w:rFonts w:ascii="Cambria Math" w:eastAsia="SimSun" w:hAnsi="Cambria Math"/>
                        <w:sz w:val="22"/>
                        <w:szCs w:val="22"/>
                        <w:lang w:val="nb-NO" w:eastAsia="zh-CN"/>
                      </w:rPr>
                      <m:t>5</m:t>
                    </m:r>
                    <m:r>
                      <m:rPr>
                        <m:sty m:val="p"/>
                      </m:rPr>
                      <w:rPr>
                        <w:rFonts w:ascii="Cambria Math" w:eastAsia="TimesNewRoman" w:hAnsi="Cambria Math"/>
                        <w:sz w:val="22"/>
                        <w:szCs w:val="22"/>
                        <w:lang w:val="nb-NO"/>
                      </w:rPr>
                      <m:t>+12</m:t>
                    </m:r>
                    <m:sSup>
                      <m:sSupPr>
                        <m:ctrlPr>
                          <w:rPr>
                            <w:rFonts w:ascii="Cambria Math" w:eastAsia="TimesNewRoman" w:hAnsi="Cambria Math"/>
                            <w:sz w:val="22"/>
                            <w:szCs w:val="22"/>
                            <w:lang w:val="en-GB"/>
                          </w:rPr>
                        </m:ctrlPr>
                      </m:sSupPr>
                      <m:e>
                        <m:d>
                          <m:dPr>
                            <m:ctrlPr>
                              <w:rPr>
                                <w:rFonts w:ascii="Cambria Math" w:eastAsia="TimesNewRoman" w:hAnsi="Cambria Math"/>
                                <w:sz w:val="22"/>
                                <w:szCs w:val="22"/>
                                <w:lang w:val="en-GB"/>
                              </w:rPr>
                            </m:ctrlPr>
                          </m:dPr>
                          <m:e>
                            <m:f>
                              <m:fPr>
                                <m:ctrlPr>
                                  <w:rPr>
                                    <w:rFonts w:ascii="Cambria Math" w:eastAsia="TimesNewRoman" w:hAnsi="Cambria Math"/>
                                    <w:sz w:val="22"/>
                                    <w:szCs w:val="22"/>
                                    <w:lang w:val="en-GB"/>
                                  </w:rPr>
                                </m:ctrlPr>
                              </m:fPr>
                              <m:num>
                                <m:r>
                                  <m:rPr>
                                    <m:sty m:val="p"/>
                                  </m:rPr>
                                  <w:rPr>
                                    <w:rFonts w:ascii="Cambria Math" w:eastAsia="TimesNewRoman" w:hAnsi="Cambria Math" w:hint="cs"/>
                                    <w:sz w:val="22"/>
                                    <w:szCs w:val="22"/>
                                    <w:lang w:val="en-GB"/>
                                  </w:rPr>
                                  <m:t>θ</m:t>
                                </m:r>
                              </m:num>
                              <m:den>
                                <m:sSub>
                                  <m:sSubPr>
                                    <m:ctrlPr>
                                      <w:rPr>
                                        <w:rFonts w:ascii="Cambria Math" w:eastAsia="TimesNewRoman" w:hAnsi="Cambria Math"/>
                                        <w:sz w:val="22"/>
                                        <w:szCs w:val="22"/>
                                        <w:lang w:val="en-GB"/>
                                      </w:rPr>
                                    </m:ctrlPr>
                                  </m:sSubPr>
                                  <m:e>
                                    <m:r>
                                      <m:rPr>
                                        <m:sty m:val="p"/>
                                      </m:rPr>
                                      <w:rPr>
                                        <w:rFonts w:ascii="Cambria Math" w:eastAsia="TimesNewRoman" w:hAnsi="Cambria Math" w:hint="cs"/>
                                        <w:sz w:val="22"/>
                                        <w:szCs w:val="22"/>
                                        <w:lang w:val="en-GB"/>
                                      </w:rPr>
                                      <m:t>θ</m:t>
                                    </m:r>
                                  </m:e>
                                  <m:sub>
                                    <m:r>
                                      <m:rPr>
                                        <m:sty m:val="p"/>
                                      </m:rPr>
                                      <w:rPr>
                                        <w:rFonts w:ascii="Cambria Math" w:eastAsia="TimesNewRoman" w:hAnsi="Cambria Math"/>
                                        <w:sz w:val="22"/>
                                        <w:szCs w:val="22"/>
                                        <w:lang w:val="nb-NO"/>
                                      </w:rPr>
                                      <m:t>3</m:t>
                                    </m:r>
                                  </m:sub>
                                </m:sSub>
                              </m:den>
                            </m:f>
                          </m:e>
                        </m:d>
                      </m:e>
                      <m:sup>
                        <m:r>
                          <m:rPr>
                            <m:sty m:val="p"/>
                          </m:rPr>
                          <w:rPr>
                            <w:rFonts w:ascii="Cambria Math" w:eastAsia="TimesNewRoman" w:hAnsi="Cambria Math"/>
                            <w:sz w:val="22"/>
                            <w:szCs w:val="22"/>
                            <w:lang w:val="nb-NO"/>
                          </w:rPr>
                          <m:t>2</m:t>
                        </m:r>
                      </m:sup>
                    </m:sSup>
                    <m:r>
                      <m:rPr>
                        <m:sty m:val="p"/>
                      </m:rPr>
                      <w:rPr>
                        <w:rFonts w:ascii="Cambria Math" w:eastAsia="TimesNewRoman" w:hAnsi="Cambria Math"/>
                        <w:sz w:val="22"/>
                        <w:szCs w:val="22"/>
                        <w:lang w:val="nb-NO"/>
                      </w:rPr>
                      <m:t xml:space="preserve">                   </m:t>
                    </m:r>
                  </m:e>
                  <m:e>
                    <m:r>
                      <m:rPr>
                        <m:nor/>
                      </m:rPr>
                      <w:rPr>
                        <w:rFonts w:eastAsia="TimesNewRoman"/>
                        <w:sz w:val="22"/>
                        <w:szCs w:val="22"/>
                        <w:lang w:val="nb-NO"/>
                      </w:rPr>
                      <m:t xml:space="preserve"> for</m:t>
                    </m:r>
                    <m:r>
                      <m:rPr>
                        <m:sty m:val="p"/>
                      </m:rPr>
                      <w:rPr>
                        <w:rFonts w:ascii="Cambria Math" w:eastAsia="TimesNewRoman" w:hAnsi="Cambria Math"/>
                        <w:sz w:val="22"/>
                        <w:szCs w:val="22"/>
                        <w:lang w:val="nb-NO"/>
                      </w:rPr>
                      <m:t xml:space="preserve"> 0&lt;</m:t>
                    </m:r>
                    <m:d>
                      <m:dPr>
                        <m:begChr m:val="|"/>
                        <m:endChr m:val="|"/>
                        <m:ctrlPr>
                          <w:rPr>
                            <w:rFonts w:ascii="Cambria Math" w:eastAsia="TimesNewRoman" w:hAnsi="Cambria Math"/>
                            <w:sz w:val="22"/>
                            <w:szCs w:val="22"/>
                            <w:lang w:val="en-GB"/>
                          </w:rPr>
                        </m:ctrlPr>
                      </m:dPr>
                      <m:e>
                        <m:r>
                          <m:rPr>
                            <m:sty m:val="p"/>
                          </m:rPr>
                          <w:rPr>
                            <w:rFonts w:ascii="Cambria Math" w:eastAsia="TimesNewRoman" w:hAnsi="Cambria Math" w:hint="cs"/>
                            <w:sz w:val="22"/>
                            <w:szCs w:val="22"/>
                            <w:lang w:val="en-GB"/>
                          </w:rPr>
                          <m:t>θ</m:t>
                        </m:r>
                      </m:e>
                    </m:d>
                    <m:r>
                      <m:rPr>
                        <m:sty m:val="p"/>
                      </m:rPr>
                      <w:rPr>
                        <w:rFonts w:ascii="Cambria Math" w:eastAsia="TimesNewRoman" w:hAnsi="Cambria Math"/>
                        <w:sz w:val="22"/>
                        <w:szCs w:val="22"/>
                        <w:lang w:val="nb-NO"/>
                      </w:rPr>
                      <m:t>&lt;</m:t>
                    </m:r>
                    <m:sSub>
                      <m:sSubPr>
                        <m:ctrlPr>
                          <w:rPr>
                            <w:rFonts w:ascii="Cambria Math" w:eastAsia="TimesNewRoman" w:hAnsi="Cambria Math"/>
                            <w:sz w:val="22"/>
                            <w:szCs w:val="22"/>
                            <w:lang w:val="en-GB"/>
                          </w:rPr>
                        </m:ctrlPr>
                      </m:sSubPr>
                      <m:e>
                        <m:r>
                          <m:rPr>
                            <m:sty m:val="p"/>
                          </m:rPr>
                          <w:rPr>
                            <w:rFonts w:ascii="Cambria Math" w:eastAsia="TimesNewRoman" w:hAnsi="Cambria Math" w:hint="cs"/>
                            <w:sz w:val="22"/>
                            <w:szCs w:val="22"/>
                            <w:lang w:val="en-GB"/>
                          </w:rPr>
                          <m:t>θ</m:t>
                        </m:r>
                      </m:e>
                      <m:sub>
                        <m:r>
                          <m:rPr>
                            <m:sty m:val="p"/>
                          </m:rPr>
                          <w:rPr>
                            <w:rFonts w:ascii="Cambria Math" w:eastAsia="TimesNewRoman" w:hAnsi="Cambria Math"/>
                            <w:sz w:val="22"/>
                            <w:szCs w:val="22"/>
                            <w:lang w:val="nb-NO"/>
                          </w:rPr>
                          <m:t>3</m:t>
                        </m:r>
                      </m:sub>
                    </m:sSub>
                  </m:e>
                </m:mr>
                <m:mr>
                  <m:e>
                    <m:r>
                      <m:rPr>
                        <m:sty m:val="p"/>
                      </m:rPr>
                      <w:rPr>
                        <w:rFonts w:ascii="Cambria Math" w:eastAsia="TimesNewRoman" w:hAnsi="Cambria Math"/>
                        <w:sz w:val="22"/>
                        <w:szCs w:val="22"/>
                        <w:lang w:val="nb-NO"/>
                      </w:rPr>
                      <m:t>-143.</m:t>
                    </m:r>
                    <m:r>
                      <m:rPr>
                        <m:sty m:val="p"/>
                      </m:rPr>
                      <w:rPr>
                        <w:rFonts w:ascii="Cambria Math" w:eastAsia="SimSun" w:hAnsi="Cambria Math"/>
                        <w:sz w:val="22"/>
                        <w:szCs w:val="22"/>
                        <w:lang w:val="nb-NO" w:eastAsia="zh-CN"/>
                      </w:rPr>
                      <m:t>5</m:t>
                    </m:r>
                    <m:r>
                      <m:rPr>
                        <m:sty m:val="p"/>
                      </m:rPr>
                      <w:rPr>
                        <w:rFonts w:ascii="Cambria Math" w:eastAsia="TimesNewRoman" w:hAnsi="Cambria Math"/>
                        <w:sz w:val="22"/>
                        <w:szCs w:val="22"/>
                        <w:lang w:val="nb-NO"/>
                      </w:rPr>
                      <m:t>-10</m:t>
                    </m:r>
                    <m:func>
                      <m:funcPr>
                        <m:ctrlPr>
                          <w:rPr>
                            <w:rFonts w:ascii="Cambria Math" w:eastAsia="TimesNewRoman" w:hAnsi="Cambria Math"/>
                            <w:sz w:val="22"/>
                            <w:szCs w:val="22"/>
                            <w:lang w:val="en-GB"/>
                          </w:rPr>
                        </m:ctrlPr>
                      </m:funcPr>
                      <m:fName>
                        <m:sSub>
                          <m:sSubPr>
                            <m:ctrlPr>
                              <w:rPr>
                                <w:rFonts w:ascii="Cambria Math" w:eastAsia="TimesNewRoman" w:hAnsi="Cambria Math"/>
                                <w:sz w:val="22"/>
                                <w:szCs w:val="22"/>
                                <w:lang w:val="en-GB"/>
                              </w:rPr>
                            </m:ctrlPr>
                          </m:sSubPr>
                          <m:e>
                            <m:r>
                              <m:rPr>
                                <m:sty m:val="p"/>
                              </m:rPr>
                              <w:rPr>
                                <w:rFonts w:ascii="Cambria Math" w:eastAsia="TimesNewRoman" w:hAnsi="Cambria Math"/>
                                <w:sz w:val="22"/>
                                <w:szCs w:val="22"/>
                                <w:lang w:val="nb-NO"/>
                              </w:rPr>
                              <m:t>log</m:t>
                            </m:r>
                          </m:e>
                          <m:sub>
                            <m:r>
                              <m:rPr>
                                <m:sty m:val="p"/>
                              </m:rPr>
                              <w:rPr>
                                <w:rFonts w:ascii="Cambria Math" w:eastAsia="TimesNewRoman" w:hAnsi="Cambria Math"/>
                                <w:sz w:val="22"/>
                                <w:szCs w:val="22"/>
                                <w:lang w:val="nb-NO"/>
                              </w:rPr>
                              <m:t>10</m:t>
                            </m:r>
                          </m:sub>
                        </m:sSub>
                      </m:fName>
                      <m:e>
                        <m:d>
                          <m:dPr>
                            <m:ctrlPr>
                              <w:rPr>
                                <w:rFonts w:ascii="Cambria Math" w:eastAsia="TimesNewRoman" w:hAnsi="Cambria Math"/>
                                <w:sz w:val="22"/>
                                <w:szCs w:val="22"/>
                                <w:lang w:val="en-GB"/>
                              </w:rPr>
                            </m:ctrlPr>
                          </m:dPr>
                          <m:e>
                            <m:r>
                              <m:rPr>
                                <m:sty m:val="p"/>
                              </m:rPr>
                              <w:rPr>
                                <w:rFonts w:ascii="Cambria Math" w:eastAsia="TimesNewRoman" w:hAnsi="Cambria Math"/>
                                <w:sz w:val="22"/>
                                <w:szCs w:val="22"/>
                                <w:lang w:val="nb-NO"/>
                              </w:rPr>
                              <m:t>k+1</m:t>
                            </m:r>
                          </m:e>
                        </m:d>
                      </m:e>
                    </m:func>
                    <m:r>
                      <m:rPr>
                        <m:sty m:val="p"/>
                      </m:rPr>
                      <w:rPr>
                        <w:rFonts w:ascii="Cambria Math" w:eastAsia="TimesNewRoman" w:hAnsi="Cambria Math"/>
                        <w:sz w:val="22"/>
                        <w:szCs w:val="22"/>
                        <w:lang w:val="nb-NO"/>
                      </w:rPr>
                      <m:t xml:space="preserve">       </m:t>
                    </m:r>
                  </m:e>
                  <m:e>
                    <m:r>
                      <m:rPr>
                        <m:nor/>
                      </m:rPr>
                      <w:rPr>
                        <w:rFonts w:eastAsia="TimesNewRoman"/>
                        <w:sz w:val="22"/>
                        <w:szCs w:val="22"/>
                        <w:lang w:val="nb-NO"/>
                      </w:rPr>
                      <m:t xml:space="preserve"> for</m:t>
                    </m:r>
                    <m:r>
                      <m:rPr>
                        <m:sty m:val="p"/>
                      </m:rPr>
                      <w:rPr>
                        <w:rFonts w:ascii="Cambria Math" w:eastAsia="TimesNewRoman" w:hAnsi="Cambria Math"/>
                        <w:sz w:val="22"/>
                        <w:szCs w:val="22"/>
                        <w:lang w:val="nb-NO"/>
                      </w:rPr>
                      <m:t xml:space="preserve"> </m:t>
                    </m:r>
                    <m:sSub>
                      <m:sSubPr>
                        <m:ctrlPr>
                          <w:rPr>
                            <w:rFonts w:ascii="Cambria Math" w:eastAsia="TimesNewRoman" w:hAnsi="Cambria Math"/>
                            <w:sz w:val="22"/>
                            <w:szCs w:val="22"/>
                            <w:lang w:val="en-GB"/>
                          </w:rPr>
                        </m:ctrlPr>
                      </m:sSubPr>
                      <m:e>
                        <m:r>
                          <m:rPr>
                            <m:sty m:val="p"/>
                          </m:rPr>
                          <w:rPr>
                            <w:rFonts w:ascii="Cambria Math" w:eastAsia="TimesNewRoman" w:hAnsi="Cambria Math" w:hint="cs"/>
                            <w:sz w:val="22"/>
                            <w:szCs w:val="22"/>
                            <w:lang w:val="en-GB"/>
                          </w:rPr>
                          <m:t>θ</m:t>
                        </m:r>
                      </m:e>
                      <m:sub>
                        <m:r>
                          <m:rPr>
                            <m:sty m:val="p"/>
                          </m:rPr>
                          <w:rPr>
                            <w:rFonts w:ascii="Cambria Math" w:eastAsia="TimesNewRoman" w:hAnsi="Cambria Math"/>
                            <w:sz w:val="22"/>
                            <w:szCs w:val="22"/>
                            <w:lang w:val="nb-NO"/>
                          </w:rPr>
                          <m:t>3</m:t>
                        </m:r>
                      </m:sub>
                    </m:sSub>
                    <m:r>
                      <m:rPr>
                        <m:sty m:val="p"/>
                      </m:rPr>
                      <w:rPr>
                        <w:rFonts w:ascii="Cambria Math" w:eastAsia="TimesNewRoman" w:hAnsi="Cambria Math"/>
                        <w:sz w:val="22"/>
                        <w:szCs w:val="22"/>
                        <w:lang w:val="nb-NO"/>
                      </w:rPr>
                      <m:t>&lt;</m:t>
                    </m:r>
                    <m:d>
                      <m:dPr>
                        <m:begChr m:val="|"/>
                        <m:endChr m:val="|"/>
                        <m:ctrlPr>
                          <w:rPr>
                            <w:rFonts w:ascii="Cambria Math" w:eastAsia="TimesNewRoman" w:hAnsi="Cambria Math"/>
                            <w:sz w:val="22"/>
                            <w:szCs w:val="22"/>
                            <w:lang w:val="en-GB"/>
                          </w:rPr>
                        </m:ctrlPr>
                      </m:dPr>
                      <m:e>
                        <m:r>
                          <m:rPr>
                            <m:sty m:val="p"/>
                          </m:rPr>
                          <w:rPr>
                            <w:rFonts w:ascii="Cambria Math" w:eastAsia="TimesNewRoman" w:hAnsi="Cambria Math" w:hint="cs"/>
                            <w:sz w:val="22"/>
                            <w:szCs w:val="22"/>
                            <w:lang w:val="en-GB"/>
                          </w:rPr>
                          <m:t>θ</m:t>
                        </m:r>
                      </m:e>
                    </m:d>
                    <m:r>
                      <m:rPr>
                        <m:sty m:val="p"/>
                      </m:rPr>
                      <w:rPr>
                        <w:rFonts w:ascii="Cambria Math" w:eastAsia="TimesNewRoman" w:hAnsi="Cambria Math"/>
                        <w:sz w:val="22"/>
                        <w:szCs w:val="22"/>
                        <w:lang w:val="nb-NO"/>
                      </w:rPr>
                      <m:t>&lt;</m:t>
                    </m:r>
                    <m:sSub>
                      <m:sSubPr>
                        <m:ctrlPr>
                          <w:rPr>
                            <w:rFonts w:ascii="Cambria Math" w:eastAsia="TimesNewRoman" w:hAnsi="Cambria Math"/>
                            <w:sz w:val="22"/>
                            <w:szCs w:val="22"/>
                            <w:lang w:val="en-GB"/>
                          </w:rPr>
                        </m:ctrlPr>
                      </m:sSubPr>
                      <m:e>
                        <m:r>
                          <m:rPr>
                            <m:sty m:val="p"/>
                          </m:rPr>
                          <w:rPr>
                            <w:rFonts w:ascii="Cambria Math" w:eastAsia="TimesNewRoman" w:hAnsi="Cambria Math" w:hint="cs"/>
                            <w:sz w:val="22"/>
                            <w:szCs w:val="22"/>
                            <w:lang w:val="en-GB"/>
                          </w:rPr>
                          <m:t>θ</m:t>
                        </m:r>
                      </m:e>
                      <m:sub>
                        <m:r>
                          <m:rPr>
                            <m:sty m:val="p"/>
                          </m:rPr>
                          <w:rPr>
                            <w:rFonts w:ascii="Cambria Math" w:eastAsia="TimesNewRoman" w:hAnsi="Cambria Math"/>
                            <w:sz w:val="22"/>
                            <w:szCs w:val="22"/>
                            <w:lang w:val="nb-NO"/>
                          </w:rPr>
                          <m:t>5</m:t>
                        </m:r>
                      </m:sub>
                    </m:sSub>
                  </m:e>
                </m:mr>
                <m:mr>
                  <m:e>
                    <m:r>
                      <m:rPr>
                        <m:sty m:val="p"/>
                      </m:rPr>
                      <w:rPr>
                        <w:rFonts w:ascii="Cambria Math" w:eastAsia="TimesNewRoman" w:hAnsi="Cambria Math"/>
                        <w:sz w:val="22"/>
                        <w:szCs w:val="22"/>
                        <w:lang w:val="nb-NO"/>
                      </w:rPr>
                      <m:t>-143.</m:t>
                    </m:r>
                    <m:r>
                      <m:rPr>
                        <m:sty m:val="p"/>
                      </m:rPr>
                      <w:rPr>
                        <w:rFonts w:ascii="Cambria Math" w:eastAsia="SimSun" w:hAnsi="Cambria Math"/>
                        <w:sz w:val="22"/>
                        <w:szCs w:val="22"/>
                        <w:lang w:val="nb-NO" w:eastAsia="zh-CN"/>
                      </w:rPr>
                      <m:t>5</m:t>
                    </m:r>
                    <m:r>
                      <m:rPr>
                        <m:sty m:val="p"/>
                      </m:rPr>
                      <w:rPr>
                        <w:rFonts w:ascii="Cambria Math" w:eastAsia="TimesNewRoman" w:hAnsi="Cambria Math"/>
                        <w:sz w:val="22"/>
                        <w:szCs w:val="22"/>
                        <w:lang w:val="nb-NO"/>
                      </w:rPr>
                      <m:t>-10</m:t>
                    </m:r>
                    <m:func>
                      <m:funcPr>
                        <m:ctrlPr>
                          <w:rPr>
                            <w:rFonts w:ascii="Cambria Math" w:eastAsia="TimesNewRoman" w:hAnsi="Cambria Math"/>
                            <w:sz w:val="22"/>
                            <w:szCs w:val="22"/>
                            <w:lang w:val="en-GB"/>
                          </w:rPr>
                        </m:ctrlPr>
                      </m:funcPr>
                      <m:fName>
                        <m:sSub>
                          <m:sSubPr>
                            <m:ctrlPr>
                              <w:rPr>
                                <w:rFonts w:ascii="Cambria Math" w:eastAsia="TimesNewRoman" w:hAnsi="Cambria Math"/>
                                <w:sz w:val="22"/>
                                <w:szCs w:val="22"/>
                                <w:lang w:val="en-GB"/>
                              </w:rPr>
                            </m:ctrlPr>
                          </m:sSubPr>
                          <m:e>
                            <m:r>
                              <m:rPr>
                                <m:sty m:val="p"/>
                              </m:rPr>
                              <w:rPr>
                                <w:rFonts w:ascii="Cambria Math" w:eastAsia="TimesNewRoman" w:hAnsi="Cambria Math"/>
                                <w:sz w:val="22"/>
                                <w:szCs w:val="22"/>
                                <w:lang w:val="nb-NO"/>
                              </w:rPr>
                              <m:t>log</m:t>
                            </m:r>
                          </m:e>
                          <m:sub>
                            <m:r>
                              <m:rPr>
                                <m:sty m:val="p"/>
                              </m:rPr>
                              <w:rPr>
                                <w:rFonts w:ascii="Cambria Math" w:eastAsia="TimesNewRoman" w:hAnsi="Cambria Math"/>
                                <w:sz w:val="22"/>
                                <w:szCs w:val="22"/>
                                <w:lang w:val="nb-NO"/>
                              </w:rPr>
                              <m:t>10</m:t>
                            </m:r>
                          </m:sub>
                        </m:sSub>
                      </m:fName>
                      <m:e>
                        <m:d>
                          <m:dPr>
                            <m:ctrlPr>
                              <w:rPr>
                                <w:rFonts w:ascii="Cambria Math" w:eastAsia="TimesNewRoman" w:hAnsi="Cambria Math"/>
                                <w:sz w:val="22"/>
                                <w:szCs w:val="22"/>
                                <w:lang w:val="en-GB"/>
                              </w:rPr>
                            </m:ctrlPr>
                          </m:dPr>
                          <m:e>
                            <m:sSup>
                              <m:sSupPr>
                                <m:ctrlPr>
                                  <w:rPr>
                                    <w:rFonts w:ascii="Cambria Math" w:eastAsia="TimesNewRoman" w:hAnsi="Cambria Math"/>
                                    <w:sz w:val="22"/>
                                    <w:szCs w:val="22"/>
                                    <w:lang w:val="en-GB"/>
                                  </w:rPr>
                                </m:ctrlPr>
                              </m:sSupPr>
                              <m:e>
                                <m:d>
                                  <m:dPr>
                                    <m:ctrlPr>
                                      <w:rPr>
                                        <w:rFonts w:ascii="Cambria Math" w:eastAsia="TimesNewRoman" w:hAnsi="Cambria Math"/>
                                        <w:sz w:val="22"/>
                                        <w:szCs w:val="22"/>
                                        <w:lang w:val="en-GB"/>
                                      </w:rPr>
                                    </m:ctrlPr>
                                  </m:dPr>
                                  <m:e>
                                    <m:f>
                                      <m:fPr>
                                        <m:ctrlPr>
                                          <w:rPr>
                                            <w:rFonts w:ascii="Cambria Math" w:eastAsia="TimesNewRoman" w:hAnsi="Cambria Math"/>
                                            <w:sz w:val="22"/>
                                            <w:szCs w:val="22"/>
                                            <w:lang w:val="en-GB"/>
                                          </w:rPr>
                                        </m:ctrlPr>
                                      </m:fPr>
                                      <m:num>
                                        <m:d>
                                          <m:dPr>
                                            <m:begChr m:val="|"/>
                                            <m:endChr m:val="|"/>
                                            <m:ctrlPr>
                                              <w:rPr>
                                                <w:rFonts w:ascii="Cambria Math" w:eastAsia="TimesNewRoman" w:hAnsi="Cambria Math"/>
                                                <w:sz w:val="22"/>
                                                <w:szCs w:val="22"/>
                                                <w:lang w:val="en-GB"/>
                                              </w:rPr>
                                            </m:ctrlPr>
                                          </m:dPr>
                                          <m:e>
                                            <m:r>
                                              <m:rPr>
                                                <m:sty m:val="p"/>
                                              </m:rPr>
                                              <w:rPr>
                                                <w:rFonts w:ascii="Cambria Math" w:eastAsia="TimesNewRoman" w:hAnsi="Cambria Math" w:hint="cs"/>
                                                <w:sz w:val="22"/>
                                                <w:szCs w:val="22"/>
                                                <w:lang w:val="en-GB"/>
                                              </w:rPr>
                                              <m:t>θ</m:t>
                                            </m:r>
                                          </m:e>
                                        </m:d>
                                      </m:num>
                                      <m:den>
                                        <m:sSub>
                                          <m:sSubPr>
                                            <m:ctrlPr>
                                              <w:rPr>
                                                <w:rFonts w:ascii="Cambria Math" w:eastAsia="TimesNewRoman" w:hAnsi="Cambria Math"/>
                                                <w:sz w:val="22"/>
                                                <w:szCs w:val="22"/>
                                                <w:lang w:val="en-GB"/>
                                              </w:rPr>
                                            </m:ctrlPr>
                                          </m:sSubPr>
                                          <m:e>
                                            <m:r>
                                              <m:rPr>
                                                <m:sty m:val="p"/>
                                              </m:rPr>
                                              <w:rPr>
                                                <w:rFonts w:ascii="Cambria Math" w:eastAsia="TimesNewRoman" w:hAnsi="Cambria Math" w:hint="cs"/>
                                                <w:sz w:val="22"/>
                                                <w:szCs w:val="22"/>
                                                <w:lang w:val="en-GB"/>
                                              </w:rPr>
                                              <m:t>θ</m:t>
                                            </m:r>
                                          </m:e>
                                          <m:sub>
                                            <m:r>
                                              <m:rPr>
                                                <m:sty m:val="p"/>
                                              </m:rPr>
                                              <w:rPr>
                                                <w:rFonts w:ascii="Cambria Math" w:eastAsia="TimesNewRoman" w:hAnsi="Cambria Math"/>
                                                <w:sz w:val="22"/>
                                                <w:szCs w:val="22"/>
                                                <w:lang w:val="nb-NO"/>
                                              </w:rPr>
                                              <m:t>3</m:t>
                                            </m:r>
                                          </m:sub>
                                        </m:sSub>
                                      </m:den>
                                    </m:f>
                                  </m:e>
                                </m:d>
                              </m:e>
                              <m:sup>
                                <m:r>
                                  <m:rPr>
                                    <m:sty m:val="p"/>
                                  </m:rPr>
                                  <w:rPr>
                                    <w:rFonts w:ascii="Cambria Math" w:eastAsia="TimesNewRoman" w:hAnsi="Cambria Math"/>
                                    <w:sz w:val="22"/>
                                    <w:szCs w:val="22"/>
                                    <w:lang w:val="nb-NO"/>
                                  </w:rPr>
                                  <m:t>-1.5</m:t>
                                </m:r>
                              </m:sup>
                            </m:sSup>
                            <m:r>
                              <m:rPr>
                                <m:sty m:val="p"/>
                              </m:rPr>
                              <w:rPr>
                                <w:rFonts w:ascii="Cambria Math" w:eastAsia="TimesNewRoman" w:hAnsi="Cambria Math"/>
                                <w:sz w:val="22"/>
                                <w:szCs w:val="22"/>
                                <w:lang w:val="nb-NO"/>
                              </w:rPr>
                              <m:t>+k</m:t>
                            </m:r>
                          </m:e>
                        </m:d>
                      </m:e>
                    </m:func>
                  </m:e>
                  <m:e>
                    <m:r>
                      <m:rPr>
                        <m:nor/>
                      </m:rPr>
                      <w:rPr>
                        <w:rFonts w:eastAsia="TimesNewRoman"/>
                        <w:sz w:val="22"/>
                        <w:szCs w:val="22"/>
                        <w:lang w:val="nb-NO"/>
                      </w:rPr>
                      <m:t xml:space="preserve">  for</m:t>
                    </m:r>
                    <m:r>
                      <m:rPr>
                        <m:sty m:val="p"/>
                      </m:rPr>
                      <w:rPr>
                        <w:rFonts w:ascii="Cambria Math" w:eastAsia="TimesNewRoman" w:hAnsi="Cambria Math"/>
                        <w:sz w:val="22"/>
                        <w:szCs w:val="22"/>
                        <w:lang w:val="nb-NO"/>
                      </w:rPr>
                      <m:t xml:space="preserve"> </m:t>
                    </m:r>
                    <m:sSub>
                      <m:sSubPr>
                        <m:ctrlPr>
                          <w:rPr>
                            <w:rFonts w:ascii="Cambria Math" w:eastAsia="TimesNewRoman" w:hAnsi="Cambria Math"/>
                            <w:sz w:val="22"/>
                            <w:szCs w:val="22"/>
                            <w:lang w:val="en-GB"/>
                          </w:rPr>
                        </m:ctrlPr>
                      </m:sSubPr>
                      <m:e>
                        <m:r>
                          <m:rPr>
                            <m:sty m:val="p"/>
                          </m:rPr>
                          <w:rPr>
                            <w:rFonts w:ascii="Cambria Math" w:eastAsia="TimesNewRoman" w:hAnsi="Cambria Math" w:hint="cs"/>
                            <w:sz w:val="22"/>
                            <w:szCs w:val="22"/>
                            <w:lang w:val="en-GB"/>
                          </w:rPr>
                          <m:t>θ</m:t>
                        </m:r>
                      </m:e>
                      <m:sub>
                        <m:r>
                          <m:rPr>
                            <m:sty m:val="p"/>
                          </m:rPr>
                          <w:rPr>
                            <w:rFonts w:ascii="Cambria Math" w:eastAsia="TimesNewRoman" w:hAnsi="Cambria Math"/>
                            <w:sz w:val="22"/>
                            <w:szCs w:val="22"/>
                            <w:lang w:val="nb-NO"/>
                          </w:rPr>
                          <m:t>5</m:t>
                        </m:r>
                      </m:sub>
                    </m:sSub>
                    <m:r>
                      <m:rPr>
                        <m:sty m:val="p"/>
                      </m:rPr>
                      <w:rPr>
                        <w:rFonts w:ascii="Cambria Math" w:eastAsia="TimesNewRoman" w:hAnsi="Cambria Math"/>
                        <w:sz w:val="22"/>
                        <w:szCs w:val="22"/>
                        <w:lang w:val="nb-NO"/>
                      </w:rPr>
                      <m:t>&lt;</m:t>
                    </m:r>
                    <m:d>
                      <m:dPr>
                        <m:begChr m:val="|"/>
                        <m:endChr m:val="|"/>
                        <m:ctrlPr>
                          <w:rPr>
                            <w:rFonts w:ascii="Cambria Math" w:eastAsia="TimesNewRoman" w:hAnsi="Cambria Math"/>
                            <w:sz w:val="22"/>
                            <w:szCs w:val="22"/>
                            <w:lang w:val="en-GB"/>
                          </w:rPr>
                        </m:ctrlPr>
                      </m:dPr>
                      <m:e>
                        <m:r>
                          <m:rPr>
                            <m:sty m:val="p"/>
                          </m:rPr>
                          <w:rPr>
                            <w:rFonts w:ascii="Cambria Math" w:eastAsia="TimesNewRoman" w:hAnsi="Cambria Math" w:hint="cs"/>
                            <w:sz w:val="22"/>
                            <w:szCs w:val="22"/>
                            <w:lang w:val="en-GB"/>
                          </w:rPr>
                          <m:t>θ</m:t>
                        </m:r>
                      </m:e>
                    </m:d>
                    <m:r>
                      <m:rPr>
                        <m:sty m:val="p"/>
                      </m:rPr>
                      <w:rPr>
                        <w:rFonts w:ascii="Cambria Math" w:eastAsia="TimesNewRoman" w:hAnsi="Cambria Math"/>
                        <w:sz w:val="22"/>
                        <w:szCs w:val="22"/>
                        <w:lang w:val="nb-NO"/>
                      </w:rPr>
                      <m:t>&lt;</m:t>
                    </m:r>
                    <m:sSup>
                      <m:sSupPr>
                        <m:ctrlPr>
                          <w:rPr>
                            <w:rFonts w:ascii="Cambria Math" w:eastAsia="TimesNewRoman" w:hAnsi="Cambria Math"/>
                            <w:sz w:val="22"/>
                            <w:szCs w:val="22"/>
                            <w:lang w:val="en-GB"/>
                          </w:rPr>
                        </m:ctrlPr>
                      </m:sSupPr>
                      <m:e>
                        <m:r>
                          <m:rPr>
                            <m:sty m:val="p"/>
                          </m:rPr>
                          <w:rPr>
                            <w:rFonts w:ascii="Cambria Math" w:eastAsia="TimesNewRoman" w:hAnsi="Cambria Math"/>
                            <w:sz w:val="22"/>
                            <w:szCs w:val="22"/>
                            <w:lang w:val="nb-NO"/>
                          </w:rPr>
                          <m:t>90</m:t>
                        </m:r>
                      </m:e>
                      <m:sup>
                        <m:r>
                          <m:rPr>
                            <m:sty m:val="p"/>
                          </m:rPr>
                          <w:rPr>
                            <w:rFonts w:ascii="Cambria Math" w:eastAsia="TimesNewRoman" w:hAnsi="Cambria Math" w:hint="eastAsia"/>
                            <w:sz w:val="22"/>
                            <w:szCs w:val="22"/>
                            <w:lang w:val="nb-NO"/>
                          </w:rPr>
                          <m:t>°</m:t>
                        </m:r>
                      </m:sup>
                    </m:sSup>
                  </m:e>
                </m:mr>
              </m:m>
            </m:e>
          </m:d>
        </m:oMath>
      </m:oMathPara>
    </w:p>
    <w:p w:rsidR="00DB5D13" w:rsidRPr="00BF7F00" w:rsidRDefault="00DB5D13" w:rsidP="00012E1C">
      <w:pPr>
        <w:pStyle w:val="ListParagraph"/>
        <w:spacing w:beforeLines="50" w:before="120" w:afterLines="50" w:after="120"/>
        <w:ind w:left="1140"/>
        <w:jc w:val="both"/>
        <w:rPr>
          <w:lang w:eastAsia="ja-JP"/>
        </w:rPr>
      </w:pPr>
      <w:proofErr w:type="gramStart"/>
      <w:r w:rsidRPr="00BF7F00">
        <w:rPr>
          <w:rFonts w:eastAsia="SimSun"/>
          <w:lang w:val="en-GB"/>
        </w:rPr>
        <w:t>with</w:t>
      </w:r>
      <w:proofErr w:type="gramEnd"/>
      <w:r w:rsidRPr="00BF7F00">
        <w:rPr>
          <w:rFonts w:eastAsia="SimSun"/>
          <w:lang w:val="en-GB"/>
        </w:rPr>
        <w:t xml:space="preserve"> </w:t>
      </w:r>
      <m:oMath>
        <m:r>
          <m:rPr>
            <m:sty m:val="p"/>
          </m:rPr>
          <w:rPr>
            <w:rFonts w:ascii="Cambria Math" w:eastAsia="SimSun" w:hAnsi="Cambria Math" w:hint="eastAsia"/>
            <w:lang w:val="en-GB"/>
          </w:rPr>
          <m:t>θ</m:t>
        </m:r>
      </m:oMath>
      <w:r w:rsidRPr="00BF7F00">
        <w:rPr>
          <w:rFonts w:eastAsia="SimSun"/>
          <w:lang w:val="en-GB"/>
        </w:rPr>
        <w:t xml:space="preserve"> the elevation angle, </w:t>
      </w:r>
      <m:oMath>
        <m:sSub>
          <m:sSubPr>
            <m:ctrlPr>
              <w:rPr>
                <w:rFonts w:ascii="Cambria Math" w:eastAsia="SimSun" w:hAnsi="Cambria Math"/>
                <w:lang w:val="en-GB"/>
              </w:rPr>
            </m:ctrlPr>
          </m:sSubPr>
          <m:e>
            <m:r>
              <m:rPr>
                <m:sty m:val="p"/>
              </m:rPr>
              <w:rPr>
                <w:rFonts w:ascii="Cambria Math" w:eastAsia="SimSun" w:hAnsi="Cambria Math" w:hint="eastAsia"/>
                <w:lang w:val="en-GB"/>
              </w:rPr>
              <m:t>θ</m:t>
            </m:r>
          </m:e>
          <m:sub>
            <m:r>
              <m:rPr>
                <m:sty m:val="p"/>
              </m:rPr>
              <w:rPr>
                <w:rFonts w:ascii="Cambria Math" w:eastAsia="SimSun" w:hAnsi="Cambria Math"/>
                <w:lang w:val="en-GB"/>
              </w:rPr>
              <m:t>3</m:t>
            </m:r>
          </m:sub>
        </m:sSub>
        <m:r>
          <m:rPr>
            <m:sty m:val="p"/>
          </m:rPr>
          <w:rPr>
            <w:rFonts w:ascii="Cambria Math" w:eastAsia="SimSun" w:hAnsi="Cambria Math"/>
            <w:lang w:val="en-GB"/>
          </w:rPr>
          <m:t>=16.47</m:t>
        </m:r>
        <m:r>
          <m:rPr>
            <m:sty m:val="p"/>
          </m:rPr>
          <w:rPr>
            <w:rFonts w:ascii="Cambria Math" w:eastAsia="SimSun" w:hAnsi="Cambria Math" w:hint="eastAsia"/>
            <w:lang w:val="en-GB"/>
          </w:rPr>
          <m:t>°</m:t>
        </m:r>
      </m:oMath>
      <w:r w:rsidRPr="00BF7F00">
        <w:rPr>
          <w:rFonts w:eastAsia="SimSun"/>
          <w:lang w:val="en-GB"/>
        </w:rPr>
        <w:t xml:space="preserve">, </w:t>
      </w:r>
      <m:oMath>
        <m:sSub>
          <m:sSubPr>
            <m:ctrlPr>
              <w:rPr>
                <w:rFonts w:ascii="Cambria Math" w:eastAsia="SimSun" w:hAnsi="Cambria Math"/>
                <w:lang w:val="en-GB"/>
              </w:rPr>
            </m:ctrlPr>
          </m:sSubPr>
          <m:e>
            <m:r>
              <m:rPr>
                <m:sty m:val="p"/>
              </m:rPr>
              <w:rPr>
                <w:rFonts w:ascii="Cambria Math" w:eastAsia="SimSun" w:hAnsi="Cambria Math" w:hint="eastAsia"/>
                <w:lang w:val="en-GB"/>
              </w:rPr>
              <m:t>θ</m:t>
            </m:r>
          </m:e>
          <m:sub>
            <m:r>
              <m:rPr>
                <m:sty m:val="p"/>
              </m:rPr>
              <w:rPr>
                <w:rFonts w:ascii="Cambria Math" w:eastAsia="SimSun" w:hAnsi="Cambria Math"/>
                <w:lang w:val="en-GB"/>
              </w:rPr>
              <m:t>5</m:t>
            </m:r>
          </m:sub>
        </m:sSub>
        <m:r>
          <m:rPr>
            <m:sty m:val="p"/>
          </m:rPr>
          <w:rPr>
            <w:rFonts w:ascii="Cambria Math" w:eastAsia="SimSun" w:hAnsi="Cambria Math"/>
            <w:lang w:val="en-GB"/>
          </w:rPr>
          <m:t>=16.95</m:t>
        </m:r>
        <m:r>
          <m:rPr>
            <m:sty m:val="p"/>
          </m:rPr>
          <w:rPr>
            <w:rFonts w:ascii="Cambria Math" w:eastAsia="SimSun" w:hAnsi="Cambria Math" w:hint="eastAsia"/>
            <w:lang w:val="en-GB"/>
          </w:rPr>
          <m:t>°</m:t>
        </m:r>
      </m:oMath>
      <w:r w:rsidRPr="00BF7F00">
        <w:rPr>
          <w:rFonts w:eastAsia="SimSun"/>
          <w:lang w:val="en-GB"/>
        </w:rPr>
        <w:t xml:space="preserve"> and </w:t>
      </w:r>
      <m:oMath>
        <m:r>
          <m:rPr>
            <m:sty m:val="p"/>
          </m:rPr>
          <w:rPr>
            <w:rFonts w:ascii="Cambria Math" w:eastAsia="SimSun" w:hAnsi="Cambria Math"/>
            <w:lang w:val="en-GB"/>
          </w:rPr>
          <m:t>k=0.7</m:t>
        </m:r>
      </m:oMath>
      <w:r w:rsidRPr="00BF7F00">
        <w:rPr>
          <w:rFonts w:eastAsia="SimSun"/>
          <w:lang w:val="en-GB"/>
        </w:rPr>
        <w:t>.</w:t>
      </w:r>
    </w:p>
    <w:p w:rsidR="0058015D" w:rsidRPr="00BF7F00" w:rsidRDefault="00D414DB" w:rsidP="00D61516">
      <w:pPr>
        <w:pStyle w:val="ListParagraph"/>
        <w:spacing w:afterLines="50" w:after="120"/>
        <w:ind w:left="425" w:hanging="425"/>
        <w:jc w:val="both"/>
        <w:rPr>
          <w:rFonts w:eastAsia="MS Mincho"/>
          <w:lang w:val="en-NZ" w:eastAsia="ja-JP"/>
        </w:rPr>
      </w:pPr>
      <w:r w:rsidRPr="00BF7F00">
        <w:rPr>
          <w:rFonts w:eastAsia="MS Mincho" w:hint="eastAsia"/>
          <w:lang w:val="en-NZ" w:eastAsia="ja-JP"/>
        </w:rPr>
        <w:lastRenderedPageBreak/>
        <w:t>-</w:t>
      </w:r>
      <w:r w:rsidRPr="00BF7F00">
        <w:rPr>
          <w:rFonts w:eastAsia="MS Mincho" w:hint="eastAsia"/>
          <w:lang w:val="en-NZ" w:eastAsia="ja-JP"/>
        </w:rPr>
        <w:tab/>
      </w:r>
      <w:r w:rsidRPr="00BF7F00">
        <w:rPr>
          <w:rFonts w:eastAsia="MS Mincho"/>
          <w:lang w:val="en-NZ" w:eastAsia="ja-JP"/>
        </w:rPr>
        <w:t>Some other APT members support</w:t>
      </w:r>
      <w:r w:rsidR="00D61516" w:rsidRPr="00BF7F00">
        <w:t xml:space="preserve"> </w:t>
      </w:r>
      <w:r w:rsidR="00D61516" w:rsidRPr="00BF7F00">
        <w:rPr>
          <w:rFonts w:eastAsia="MS Mincho"/>
          <w:lang w:val="en-NZ" w:eastAsia="ja-JP"/>
        </w:rPr>
        <w:t xml:space="preserve">a new primary allocation for the MMSS (Earth to-space) in the frequency band 157.1875-157.3375 MHz (channels 1024, 1084, 1025, 1085, 1026 and 1086) and the frequency band 161.7875-161.9375 (channels 2024, 2084, 2025, 2085 2026 and 2086). And also support a new primary allocation for the MMSS (space-to-Earth) in the frequency band 160.9625-161.4875 MHz (not channelized in RR Appendix </w:t>
      </w:r>
      <w:r w:rsidR="00D61516" w:rsidRPr="00BF7F00">
        <w:rPr>
          <w:rFonts w:eastAsia="MS Mincho"/>
          <w:b/>
          <w:lang w:val="en-NZ" w:eastAsia="ja-JP"/>
        </w:rPr>
        <w:t>18</w:t>
      </w:r>
      <w:r w:rsidR="00D61516" w:rsidRPr="00BF7F00">
        <w:rPr>
          <w:rFonts w:eastAsia="MS Mincho"/>
          <w:lang w:val="en-NZ" w:eastAsia="ja-JP"/>
        </w:rPr>
        <w:t xml:space="preserve">) with </w:t>
      </w:r>
      <w:proofErr w:type="spellStart"/>
      <w:r w:rsidR="00D61516" w:rsidRPr="00BF7F00">
        <w:rPr>
          <w:rFonts w:eastAsia="MS Mincho"/>
          <w:lang w:val="en-NZ" w:eastAsia="ja-JP"/>
        </w:rPr>
        <w:t>pfd</w:t>
      </w:r>
      <w:proofErr w:type="spellEnd"/>
      <w:r w:rsidR="00D61516" w:rsidRPr="00BF7F00">
        <w:rPr>
          <w:rFonts w:eastAsia="MS Mincho"/>
          <w:lang w:val="en-NZ" w:eastAsia="ja-JP"/>
        </w:rPr>
        <w:t xml:space="preserve"> mask which is described in Annex 2 of the Report ITU-R M.2435-0.</w:t>
      </w:r>
    </w:p>
    <w:p w:rsidR="004B18D0" w:rsidRPr="00BF7F00" w:rsidRDefault="004B18D0" w:rsidP="00452F87">
      <w:pPr>
        <w:pStyle w:val="ListParagraph"/>
        <w:ind w:left="426" w:hanging="425"/>
        <w:jc w:val="both"/>
        <w:rPr>
          <w:rFonts w:eastAsia="MS Mincho"/>
          <w:lang w:val="en-NZ" w:eastAsia="ja-JP"/>
        </w:rPr>
      </w:pPr>
      <w:r w:rsidRPr="00BF7F00">
        <w:rPr>
          <w:rFonts w:eastAsia="MS Mincho"/>
          <w:lang w:val="en-NZ" w:eastAsia="ja-JP"/>
        </w:rPr>
        <w:t>-</w:t>
      </w:r>
      <w:r w:rsidRPr="00BF7F00">
        <w:rPr>
          <w:rFonts w:eastAsia="MS Mincho"/>
          <w:lang w:val="en-NZ" w:eastAsia="ja-JP"/>
        </w:rPr>
        <w:tab/>
        <w:t xml:space="preserve">Some other APT Members expressed view that Method F on the Draft CPM Report constrains the frequency usage of VDES terrestrial component </w:t>
      </w:r>
      <w:r w:rsidR="004F0282" w:rsidRPr="00BF7F00">
        <w:rPr>
          <w:rFonts w:eastAsia="MS Mincho"/>
          <w:lang w:val="en-NZ" w:eastAsia="ja-JP"/>
        </w:rPr>
        <w:t>and therefore</w:t>
      </w:r>
      <w:r w:rsidRPr="00BF7F00">
        <w:rPr>
          <w:rFonts w:eastAsia="MS Mincho"/>
          <w:lang w:val="en-NZ" w:eastAsia="ja-JP"/>
        </w:rPr>
        <w:t xml:space="preserve"> believes that Method F is out of scope of Resolution </w:t>
      </w:r>
      <w:r w:rsidRPr="00BF7F00">
        <w:rPr>
          <w:rFonts w:eastAsia="MS Mincho"/>
          <w:b/>
          <w:lang w:val="en-NZ" w:eastAsia="ja-JP"/>
        </w:rPr>
        <w:t>360 (Rev.WRC-15)</w:t>
      </w:r>
      <w:r w:rsidRPr="00BF7F00">
        <w:rPr>
          <w:rFonts w:eastAsia="MS Mincho"/>
          <w:lang w:val="en-NZ" w:eastAsia="ja-JP"/>
        </w:rPr>
        <w:t>.</w:t>
      </w:r>
    </w:p>
    <w:p w:rsidR="00736F20" w:rsidRPr="00BF7F00" w:rsidRDefault="00736F20" w:rsidP="00736F20">
      <w:pPr>
        <w:spacing w:before="120" w:after="120"/>
        <w:jc w:val="both"/>
        <w:rPr>
          <w:b/>
          <w:lang w:val="en-NZ" w:eastAsia="ko-KR"/>
        </w:rPr>
      </w:pPr>
      <w:r w:rsidRPr="00BF7F00">
        <w:rPr>
          <w:b/>
          <w:lang w:val="en-NZ" w:eastAsia="ko-KR"/>
        </w:rPr>
        <w:t>6</w:t>
      </w:r>
      <w:r w:rsidR="004B4B5F" w:rsidRPr="00BF7F00">
        <w:rPr>
          <w:b/>
          <w:lang w:val="en-NZ" w:eastAsia="ko-KR"/>
        </w:rPr>
        <w:t>.</w:t>
      </w:r>
      <w:r w:rsidRPr="00BF7F00">
        <w:rPr>
          <w:b/>
          <w:lang w:val="en-NZ" w:eastAsia="ko-KR"/>
        </w:rPr>
        <w:tab/>
        <w:t>Issues for Consideration at Next APG Meeting</w:t>
      </w:r>
    </w:p>
    <w:p w:rsidR="00D63230" w:rsidRPr="00BF7F00" w:rsidRDefault="00D63230" w:rsidP="00B96062">
      <w:pPr>
        <w:spacing w:afterLines="50" w:after="120"/>
        <w:jc w:val="both"/>
        <w:rPr>
          <w:lang w:val="en-NZ"/>
        </w:rPr>
      </w:pPr>
      <w:r w:rsidRPr="00BF7F00">
        <w:rPr>
          <w:lang w:val="en-NZ"/>
        </w:rPr>
        <w:t>APT Members are encouraged to contribute their views,</w:t>
      </w:r>
      <w:r w:rsidRPr="00BF7F00">
        <w:t xml:space="preserve"> </w:t>
      </w:r>
      <w:r w:rsidRPr="00BF7F00">
        <w:rPr>
          <w:lang w:val="en-NZ"/>
        </w:rPr>
        <w:t>including identification of their preferred Method, taking into account ITU-R studies, outcome of the CPM19-2 and the APT preliminary views, and submit contributions to the next APG meeting (APG19-5) to develop the draft PACP on WRC-19 agenda item 1.9.2.</w:t>
      </w:r>
    </w:p>
    <w:p w:rsidR="00736F20" w:rsidRPr="00BF7F00" w:rsidRDefault="00736F20" w:rsidP="00736F20">
      <w:pPr>
        <w:jc w:val="both"/>
        <w:rPr>
          <w:lang w:val="en-NZ"/>
        </w:rPr>
      </w:pPr>
      <w:r w:rsidRPr="00BF7F00">
        <w:rPr>
          <w:b/>
          <w:lang w:val="en-NZ"/>
        </w:rPr>
        <w:t>7.</w:t>
      </w:r>
      <w:r w:rsidRPr="00BF7F00">
        <w:rPr>
          <w:b/>
          <w:lang w:val="en-NZ"/>
        </w:rPr>
        <w:tab/>
        <w:t>Views from Other Organisations</w:t>
      </w:r>
    </w:p>
    <w:p w:rsidR="00736F20" w:rsidRPr="00BF7F00" w:rsidRDefault="00736F20" w:rsidP="00736F20">
      <w:pPr>
        <w:spacing w:after="120"/>
        <w:jc w:val="both"/>
        <w:rPr>
          <w:b/>
          <w:lang w:val="en-NZ" w:eastAsia="ko-KR"/>
        </w:rPr>
      </w:pPr>
      <w:r w:rsidRPr="00BF7F00">
        <w:rPr>
          <w:b/>
          <w:lang w:val="en-NZ" w:eastAsia="ko-KR"/>
        </w:rPr>
        <w:t>7.1</w:t>
      </w:r>
      <w:r w:rsidRPr="00BF7F00">
        <w:rPr>
          <w:b/>
          <w:lang w:val="en-NZ" w:eastAsia="ko-KR"/>
        </w:rPr>
        <w:tab/>
        <w:t>Regional Groups</w:t>
      </w:r>
    </w:p>
    <w:p w:rsidR="00736F20" w:rsidRPr="00BF7F00" w:rsidRDefault="00736F20" w:rsidP="004B4B5F">
      <w:pPr>
        <w:spacing w:after="120"/>
        <w:jc w:val="both"/>
        <w:rPr>
          <w:b/>
          <w:lang w:val="en-NZ" w:eastAsia="ko-KR"/>
        </w:rPr>
      </w:pPr>
      <w:r w:rsidRPr="00BF7F00">
        <w:rPr>
          <w:b/>
          <w:lang w:val="en-NZ" w:eastAsia="ko-KR"/>
        </w:rPr>
        <w:t>7.1.1</w:t>
      </w:r>
      <w:r w:rsidRPr="00BF7F00">
        <w:rPr>
          <w:b/>
          <w:lang w:val="en-NZ" w:eastAsia="ko-KR"/>
        </w:rPr>
        <w:tab/>
        <w:t>ASMG</w:t>
      </w:r>
      <w:r w:rsidRPr="00BF7F00">
        <w:t xml:space="preserve"> - </w:t>
      </w:r>
      <w:r w:rsidR="004B4B5F" w:rsidRPr="00BF7F00">
        <w:rPr>
          <w:b/>
          <w:lang w:val="en-NZ" w:eastAsia="ko-KR"/>
        </w:rPr>
        <w:t>Document APG19-4/INP-09(Rev.1)</w:t>
      </w:r>
    </w:p>
    <w:p w:rsidR="004B4B5F" w:rsidRPr="00BF7F00" w:rsidRDefault="004B4B5F" w:rsidP="00736F20">
      <w:pPr>
        <w:rPr>
          <w:lang w:val="en-NZ"/>
        </w:rPr>
      </w:pPr>
      <w:r w:rsidRPr="00BF7F00">
        <w:rPr>
          <w:lang w:val="en-NZ"/>
        </w:rPr>
        <w:t>ASMG Position is support:</w:t>
      </w:r>
    </w:p>
    <w:p w:rsidR="00736F20" w:rsidRPr="00BF7F00" w:rsidRDefault="004B4B5F" w:rsidP="00B96062">
      <w:pPr>
        <w:spacing w:afterLines="50" w:after="120"/>
        <w:rPr>
          <w:lang w:val="en-NZ"/>
        </w:rPr>
      </w:pPr>
      <w:r w:rsidRPr="00BF7F00">
        <w:rPr>
          <w:lang w:val="en-NZ"/>
        </w:rPr>
        <w:t>Following-up the on-going studies in ITU-R and protecting the current usage of mobile service in the candidate bands without imposing any additional constraints on existing services in these and adjacent frequency bands as stated in recognizing d) and e) of Resolution 360 (Rev.WRC-15)</w:t>
      </w:r>
    </w:p>
    <w:p w:rsidR="004B4B5F" w:rsidRPr="00BF7F00" w:rsidRDefault="004B4B5F" w:rsidP="004B4B5F">
      <w:pPr>
        <w:spacing w:after="120"/>
        <w:jc w:val="both"/>
        <w:rPr>
          <w:b/>
          <w:lang w:val="en-NZ" w:eastAsia="ko-KR"/>
        </w:rPr>
      </w:pPr>
      <w:r w:rsidRPr="00BF7F00">
        <w:rPr>
          <w:b/>
          <w:lang w:val="en-NZ" w:eastAsia="ko-KR"/>
        </w:rPr>
        <w:t>7.1.2</w:t>
      </w:r>
      <w:r w:rsidRPr="00BF7F00">
        <w:rPr>
          <w:b/>
          <w:lang w:val="en-NZ" w:eastAsia="ko-KR"/>
        </w:rPr>
        <w:tab/>
        <w:t>ATU</w:t>
      </w:r>
      <w:r w:rsidRPr="00BF7F00">
        <w:t xml:space="preserve"> - </w:t>
      </w:r>
      <w:r w:rsidRPr="00BF7F00">
        <w:rPr>
          <w:b/>
          <w:lang w:val="en-NZ" w:eastAsia="ko-KR"/>
        </w:rPr>
        <w:t>Document APG19-4/INP-09(Rev.1)</w:t>
      </w:r>
    </w:p>
    <w:p w:rsidR="004B4B5F" w:rsidRPr="00BF7F00" w:rsidRDefault="004B4B5F" w:rsidP="00736F20">
      <w:pPr>
        <w:rPr>
          <w:lang w:val="en-NZ"/>
        </w:rPr>
      </w:pPr>
      <w:r w:rsidRPr="00BF7F00">
        <w:rPr>
          <w:lang w:val="en-NZ"/>
        </w:rPr>
        <w:t>African preliminary position:</w:t>
      </w:r>
    </w:p>
    <w:p w:rsidR="004B4B5F" w:rsidRPr="00BF7F00" w:rsidRDefault="004B4B5F" w:rsidP="00B96062">
      <w:pPr>
        <w:spacing w:afterLines="50" w:after="120"/>
        <w:rPr>
          <w:lang w:val="en-NZ"/>
        </w:rPr>
      </w:pPr>
      <w:r w:rsidRPr="00BF7F00">
        <w:rPr>
          <w:lang w:val="en-NZ"/>
        </w:rPr>
        <w:t>Support, as a matter of principle, new spectrum allocations to the maritime mobile-satellite service (MMSS) (Earth-to-space and space to Earth), preferably within the frequency bands 156.0125 - 157.4375 MHz and 160.6125 162.0375 MHz of RR Appendix 18, to enable a new VDES satellite component, while ensuring that this component will not degrade the current terrestrial VDES components, ASM and AIS operations and not impose any additional constraints on existing services in these and adjacent frequency bands.</w:t>
      </w:r>
    </w:p>
    <w:p w:rsidR="004B4B5F" w:rsidRPr="00BF7F00" w:rsidRDefault="004B4B5F" w:rsidP="004B4B5F">
      <w:pPr>
        <w:spacing w:after="120"/>
        <w:jc w:val="both"/>
        <w:rPr>
          <w:b/>
          <w:lang w:val="en-NZ" w:eastAsia="ko-KR"/>
        </w:rPr>
      </w:pPr>
      <w:r w:rsidRPr="00BF7F00">
        <w:rPr>
          <w:b/>
          <w:lang w:val="en-NZ" w:eastAsia="ko-KR"/>
        </w:rPr>
        <w:t>7.1.4</w:t>
      </w:r>
      <w:r w:rsidRPr="00BF7F00">
        <w:rPr>
          <w:b/>
          <w:lang w:val="en-NZ" w:eastAsia="ko-KR"/>
        </w:rPr>
        <w:tab/>
        <w:t xml:space="preserve">CITEL </w:t>
      </w:r>
      <w:r w:rsidRPr="00BF7F00">
        <w:t xml:space="preserve">- </w:t>
      </w:r>
      <w:r w:rsidRPr="00BF7F00">
        <w:rPr>
          <w:b/>
          <w:lang w:val="en-NZ" w:eastAsia="ko-KR"/>
        </w:rPr>
        <w:t>Document APG19-4/INF-22</w:t>
      </w:r>
    </w:p>
    <w:p w:rsidR="004B4B5F" w:rsidRPr="00BF7F00" w:rsidRDefault="004B4B5F" w:rsidP="00B96062">
      <w:pPr>
        <w:spacing w:afterLines="50" w:after="120"/>
        <w:rPr>
          <w:lang w:val="en-NZ"/>
        </w:rPr>
      </w:pPr>
      <w:r w:rsidRPr="00BF7F00">
        <w:rPr>
          <w:lang w:val="en-NZ"/>
        </w:rPr>
        <w:t>DIAP based on Method C (secondary allocation for VDE-SAT MMSS uplink and downlink frequencies) and a proposal supporting Method F for a primary MMSS allocation.</w:t>
      </w:r>
    </w:p>
    <w:p w:rsidR="004B4B5F" w:rsidRPr="00BF7F00" w:rsidRDefault="004B4B5F" w:rsidP="004B4B5F">
      <w:pPr>
        <w:spacing w:after="120"/>
        <w:jc w:val="both"/>
        <w:rPr>
          <w:b/>
          <w:lang w:val="en-NZ" w:eastAsia="ko-KR"/>
        </w:rPr>
      </w:pPr>
      <w:r w:rsidRPr="00BF7F00">
        <w:rPr>
          <w:b/>
          <w:lang w:val="en-NZ" w:eastAsia="ko-KR"/>
        </w:rPr>
        <w:t>7.1.3</w:t>
      </w:r>
      <w:r w:rsidRPr="00BF7F00">
        <w:rPr>
          <w:b/>
          <w:lang w:val="en-NZ" w:eastAsia="ko-KR"/>
        </w:rPr>
        <w:tab/>
        <w:t xml:space="preserve">CEPT </w:t>
      </w:r>
      <w:r w:rsidRPr="00BF7F00">
        <w:t xml:space="preserve">- </w:t>
      </w:r>
      <w:r w:rsidRPr="00BF7F00">
        <w:rPr>
          <w:b/>
          <w:lang w:val="en-NZ" w:eastAsia="ko-KR"/>
        </w:rPr>
        <w:t>Document APG19-4/INF-23</w:t>
      </w:r>
    </w:p>
    <w:p w:rsidR="004B4B5F" w:rsidRPr="00BF7F00" w:rsidRDefault="004B4B5F" w:rsidP="004B4B5F">
      <w:pPr>
        <w:widowControl w:val="0"/>
        <w:autoSpaceDE w:val="0"/>
        <w:autoSpaceDN w:val="0"/>
        <w:adjustRightInd w:val="0"/>
        <w:rPr>
          <w:rFonts w:eastAsia="Batang" w:cs="Times New Roman"/>
          <w:sz w:val="28"/>
          <w:szCs w:val="28"/>
        </w:rPr>
      </w:pPr>
      <w:r w:rsidRPr="00BF7F00">
        <w:rPr>
          <w:rFonts w:eastAsia="Batang" w:cs="Times New Roman"/>
          <w:sz w:val="28"/>
          <w:szCs w:val="28"/>
        </w:rPr>
        <w:t>Preliminary CEPT position:</w:t>
      </w:r>
    </w:p>
    <w:p w:rsidR="004B4B5F" w:rsidRPr="00BF7F00" w:rsidRDefault="004B4B5F" w:rsidP="004B4B5F">
      <w:pPr>
        <w:widowControl w:val="0"/>
        <w:autoSpaceDE w:val="0"/>
        <w:autoSpaceDN w:val="0"/>
        <w:adjustRightInd w:val="0"/>
        <w:rPr>
          <w:rFonts w:eastAsia="Batang" w:cs="Times New Roman"/>
          <w:sz w:val="28"/>
          <w:szCs w:val="28"/>
        </w:rPr>
      </w:pPr>
      <w:r w:rsidRPr="00BF7F00">
        <w:rPr>
          <w:rFonts w:eastAsia="Batang" w:cs="Times New Roman"/>
          <w:sz w:val="28"/>
          <w:szCs w:val="28"/>
        </w:rPr>
        <w:t>CEPT supports sharing and compatibility studies between the proposed VDES satellite component (VDE-SAT) and the systems in the radiocommunication services allocated in the same and in adjacent frequency bands.</w:t>
      </w:r>
    </w:p>
    <w:p w:rsidR="004B4B5F" w:rsidRPr="00BF7F00" w:rsidRDefault="004B4B5F" w:rsidP="004B4B5F">
      <w:pPr>
        <w:widowControl w:val="0"/>
        <w:autoSpaceDE w:val="0"/>
        <w:autoSpaceDN w:val="0"/>
        <w:adjustRightInd w:val="0"/>
        <w:rPr>
          <w:rFonts w:cs="Times New Roman"/>
          <w:lang w:val="en-NZ"/>
        </w:rPr>
      </w:pPr>
      <w:r w:rsidRPr="00BF7F00">
        <w:rPr>
          <w:rFonts w:eastAsia="Batang" w:cs="Times New Roman"/>
          <w:sz w:val="28"/>
          <w:szCs w:val="28"/>
        </w:rPr>
        <w:t xml:space="preserve">CEPT is of the view that </w:t>
      </w:r>
      <w:proofErr w:type="spellStart"/>
      <w:r w:rsidRPr="00BF7F00">
        <w:rPr>
          <w:rFonts w:eastAsia="Batang" w:cs="Times New Roman"/>
          <w:sz w:val="28"/>
          <w:szCs w:val="28"/>
        </w:rPr>
        <w:t>implementability</w:t>
      </w:r>
      <w:proofErr w:type="spellEnd"/>
      <w:r w:rsidRPr="00BF7F00">
        <w:rPr>
          <w:rFonts w:eastAsia="Batang" w:cs="Times New Roman"/>
          <w:sz w:val="28"/>
          <w:szCs w:val="28"/>
        </w:rPr>
        <w:t xml:space="preserve"> of VDE-SAT and feasibility of its sharing and compatibility with the systems in the radiocommunication services allocated in the same and adjacent frequency bands without imposing any limitations on those services have been confirmed by appropriate studies and measurement results.</w:t>
      </w:r>
    </w:p>
    <w:p w:rsidR="004B4B5F" w:rsidRPr="00BF7F00" w:rsidRDefault="004B4B5F" w:rsidP="00B96062">
      <w:pPr>
        <w:widowControl w:val="0"/>
        <w:autoSpaceDE w:val="0"/>
        <w:autoSpaceDN w:val="0"/>
        <w:adjustRightInd w:val="0"/>
        <w:spacing w:afterLines="50" w:after="120"/>
        <w:rPr>
          <w:rFonts w:cs="Times New Roman"/>
          <w:lang w:val="en-NZ"/>
        </w:rPr>
      </w:pPr>
      <w:r w:rsidRPr="00BF7F00">
        <w:rPr>
          <w:rFonts w:eastAsia="Batang" w:cs="Times New Roman"/>
          <w:sz w:val="28"/>
          <w:szCs w:val="28"/>
        </w:rPr>
        <w:t xml:space="preserve">CEPT supports the introduction of a new primary maritime mobile-satellite (space-to-Earth) service allocation within the frequency band 160.9625-161.4875 </w:t>
      </w:r>
      <w:r w:rsidRPr="00BF7F00">
        <w:rPr>
          <w:rFonts w:eastAsia="Batang" w:cs="Times New Roman"/>
          <w:sz w:val="28"/>
          <w:szCs w:val="28"/>
        </w:rPr>
        <w:lastRenderedPageBreak/>
        <w:t xml:space="preserve">MHz, which is not channelized in RR Appendix </w:t>
      </w:r>
      <w:r w:rsidRPr="00BF7F00">
        <w:rPr>
          <w:rFonts w:eastAsia="Batang" w:cs="Times New Roman"/>
          <w:b/>
          <w:bCs/>
          <w:sz w:val="28"/>
          <w:szCs w:val="28"/>
        </w:rPr>
        <w:t>18</w:t>
      </w:r>
      <w:r w:rsidRPr="00BF7F00">
        <w:rPr>
          <w:rFonts w:eastAsia="Batang" w:cs="Times New Roman"/>
          <w:sz w:val="28"/>
          <w:szCs w:val="28"/>
        </w:rPr>
        <w:t xml:space="preserve">, and the introduction of a new primary maritime mobile-satellite (Earth-to-space) service allocation for the channels 24, 84, 25, 85, 26 and 86 of RR Appendix </w:t>
      </w:r>
      <w:r w:rsidRPr="00BF7F00">
        <w:rPr>
          <w:rFonts w:eastAsia="Batang" w:cs="Times New Roman"/>
          <w:b/>
          <w:bCs/>
          <w:sz w:val="28"/>
          <w:szCs w:val="28"/>
        </w:rPr>
        <w:t>18</w:t>
      </w:r>
      <w:r w:rsidRPr="00BF7F00">
        <w:rPr>
          <w:rFonts w:eastAsia="Batang" w:cs="Times New Roman"/>
          <w:sz w:val="28"/>
          <w:szCs w:val="28"/>
        </w:rPr>
        <w:t xml:space="preserve">. The coordination mechanism under No. </w:t>
      </w:r>
      <w:r w:rsidRPr="00BF7F00">
        <w:rPr>
          <w:rFonts w:eastAsia="Batang" w:cs="Times New Roman"/>
          <w:b/>
          <w:bCs/>
          <w:sz w:val="28"/>
          <w:szCs w:val="28"/>
        </w:rPr>
        <w:t xml:space="preserve">9.14 </w:t>
      </w:r>
      <w:r w:rsidRPr="00BF7F00">
        <w:rPr>
          <w:rFonts w:eastAsia="Batang" w:cs="Times New Roman"/>
          <w:sz w:val="28"/>
          <w:szCs w:val="28"/>
        </w:rPr>
        <w:t xml:space="preserve">is introduced through a new footnote in the RR, taking into account the </w:t>
      </w:r>
      <w:proofErr w:type="spellStart"/>
      <w:r w:rsidRPr="00BF7F00">
        <w:rPr>
          <w:rFonts w:eastAsia="Batang" w:cs="Times New Roman"/>
          <w:sz w:val="28"/>
          <w:szCs w:val="28"/>
        </w:rPr>
        <w:t>pfd</w:t>
      </w:r>
      <w:proofErr w:type="spellEnd"/>
      <w:r w:rsidRPr="00BF7F00">
        <w:rPr>
          <w:rFonts w:eastAsia="Batang" w:cs="Times New Roman"/>
          <w:sz w:val="28"/>
          <w:szCs w:val="28"/>
        </w:rPr>
        <w:t>-mask contained in Recommendation ITU-R M.2092. This is in line with Method B of the draft CPM Report (Document CPM19-2/1).</w:t>
      </w:r>
    </w:p>
    <w:p w:rsidR="004B4B5F" w:rsidRPr="00BF7F00" w:rsidRDefault="004B4B5F" w:rsidP="004B4B5F">
      <w:pPr>
        <w:spacing w:after="120"/>
        <w:jc w:val="both"/>
        <w:rPr>
          <w:b/>
          <w:lang w:val="en-NZ" w:eastAsia="ko-KR"/>
        </w:rPr>
      </w:pPr>
      <w:r w:rsidRPr="00BF7F00">
        <w:rPr>
          <w:b/>
          <w:lang w:val="en-NZ" w:eastAsia="ko-KR"/>
        </w:rPr>
        <w:t>7.1.5</w:t>
      </w:r>
      <w:r w:rsidRPr="00BF7F00">
        <w:rPr>
          <w:b/>
          <w:lang w:val="en-NZ" w:eastAsia="ko-KR"/>
        </w:rPr>
        <w:tab/>
        <w:t xml:space="preserve">RCC </w:t>
      </w:r>
      <w:r w:rsidRPr="00BF7F00">
        <w:t xml:space="preserve">- </w:t>
      </w:r>
      <w:r w:rsidRPr="00BF7F00">
        <w:rPr>
          <w:b/>
          <w:lang w:val="en-NZ" w:eastAsia="ko-KR"/>
        </w:rPr>
        <w:t>Document APG19-4/INF-24</w:t>
      </w:r>
    </w:p>
    <w:p w:rsidR="004B4B5F" w:rsidRPr="00BF7F00" w:rsidRDefault="008B347E" w:rsidP="00736F20">
      <w:pPr>
        <w:rPr>
          <w:lang w:val="en-NZ"/>
        </w:rPr>
      </w:pPr>
      <w:r w:rsidRPr="00BF7F00">
        <w:rPr>
          <w:lang w:val="en-NZ"/>
        </w:rPr>
        <w:t>RCC position:</w:t>
      </w:r>
    </w:p>
    <w:p w:rsidR="008B347E" w:rsidRPr="00BF7F00" w:rsidRDefault="008B347E" w:rsidP="008B347E">
      <w:pPr>
        <w:rPr>
          <w:lang w:val="en-NZ"/>
        </w:rPr>
      </w:pPr>
      <w:r w:rsidRPr="00BF7F00">
        <w:rPr>
          <w:lang w:val="en-NZ"/>
        </w:rPr>
        <w:t>The RCC Administrations consider that introduction of the VDES satellite component shall not result in imposing constraints on existing and planned systems of services which have allocations in the common and adjacent frequency bands.</w:t>
      </w:r>
    </w:p>
    <w:p w:rsidR="008B347E" w:rsidRPr="00BF7F00" w:rsidRDefault="008B347E" w:rsidP="00B96062">
      <w:pPr>
        <w:spacing w:afterLines="50" w:after="120"/>
        <w:rPr>
          <w:lang w:val="en-NZ"/>
        </w:rPr>
      </w:pPr>
      <w:r w:rsidRPr="00BF7F00">
        <w:rPr>
          <w:lang w:val="en-NZ"/>
        </w:rPr>
        <w:t>The RCC Administrations oppose new allocations to the maritime mobile-satellite service (MMSS) on a primary basis for VDES satellite component in the frequency bands within 156-162 MHz, since the studies conducted on the basis of Recommendations ITU-R M.1801 and М.2092 have shown that VDES space stations are not compatible with stations of fixed and mobile services to which these frequency bands are allocated on a primary basis.</w:t>
      </w:r>
    </w:p>
    <w:p w:rsidR="00736F20" w:rsidRPr="00BF7F00" w:rsidRDefault="00736F20" w:rsidP="00736F20">
      <w:pPr>
        <w:spacing w:after="120"/>
        <w:jc w:val="both"/>
        <w:rPr>
          <w:b/>
          <w:lang w:val="en-NZ" w:eastAsia="ko-KR"/>
        </w:rPr>
      </w:pPr>
      <w:r w:rsidRPr="00BF7F00">
        <w:rPr>
          <w:b/>
          <w:lang w:val="en-NZ" w:eastAsia="ko-KR"/>
        </w:rPr>
        <w:t>7</w:t>
      </w:r>
      <w:r w:rsidR="008B347E" w:rsidRPr="00BF7F00">
        <w:rPr>
          <w:b/>
          <w:lang w:val="en-NZ" w:eastAsia="ko-KR"/>
        </w:rPr>
        <w:t>.2</w:t>
      </w:r>
      <w:r w:rsidRPr="00BF7F00">
        <w:rPr>
          <w:b/>
          <w:lang w:val="en-NZ" w:eastAsia="ko-KR"/>
        </w:rPr>
        <w:tab/>
        <w:t>International Organisations</w:t>
      </w:r>
    </w:p>
    <w:p w:rsidR="008B347E" w:rsidRPr="00BF7F00" w:rsidRDefault="008B347E" w:rsidP="008B347E">
      <w:pPr>
        <w:spacing w:after="120"/>
        <w:jc w:val="both"/>
        <w:rPr>
          <w:b/>
          <w:lang w:val="en-NZ" w:eastAsia="ko-KR"/>
        </w:rPr>
      </w:pPr>
      <w:r w:rsidRPr="00BF7F00">
        <w:rPr>
          <w:b/>
          <w:lang w:val="en-NZ" w:eastAsia="ko-KR"/>
        </w:rPr>
        <w:t xml:space="preserve">7.2.2 </w:t>
      </w:r>
      <w:r w:rsidRPr="00BF7F00">
        <w:rPr>
          <w:b/>
          <w:lang w:val="en-NZ" w:eastAsia="ko-KR"/>
        </w:rPr>
        <w:tab/>
        <w:t>ICAO - Document APG19-2/INF</w:t>
      </w:r>
      <w:r w:rsidR="00FD3679" w:rsidRPr="00BF7F00">
        <w:rPr>
          <w:b/>
          <w:lang w:val="en-NZ" w:eastAsia="ko-KR"/>
        </w:rPr>
        <w:t>-04</w:t>
      </w:r>
    </w:p>
    <w:p w:rsidR="00FD3679" w:rsidRPr="00BF7F00" w:rsidRDefault="00FD3679" w:rsidP="008B347E">
      <w:pPr>
        <w:jc w:val="both"/>
        <w:rPr>
          <w:lang w:val="en-NZ"/>
        </w:rPr>
      </w:pPr>
      <w:r w:rsidRPr="00BF7F00">
        <w:rPr>
          <w:lang w:val="en-NZ"/>
        </w:rPr>
        <w:t>ICAO Position:</w:t>
      </w:r>
    </w:p>
    <w:p w:rsidR="00FD3679" w:rsidRPr="00BF7F00" w:rsidRDefault="00FD3679" w:rsidP="00B96062">
      <w:pPr>
        <w:spacing w:afterLines="50" w:after="120"/>
        <w:jc w:val="both"/>
        <w:rPr>
          <w:lang w:val="en-NZ"/>
        </w:rPr>
      </w:pPr>
      <w:r w:rsidRPr="00BF7F00">
        <w:rPr>
          <w:lang w:val="en-NZ"/>
        </w:rPr>
        <w:t>To ensure that any change to the regulatory provisions and spectrum allocations resulting from this agenda item do not adversely impact aviation systems, including the capability of search and rescue aircraft to effectively communicate with vessels during disaster relief operations.</w:t>
      </w:r>
    </w:p>
    <w:p w:rsidR="00736F20" w:rsidRPr="00BF7F00" w:rsidRDefault="00736F20" w:rsidP="00736F20">
      <w:pPr>
        <w:spacing w:after="120"/>
        <w:jc w:val="both"/>
        <w:rPr>
          <w:b/>
          <w:lang w:val="en-NZ" w:eastAsia="ko-KR"/>
        </w:rPr>
      </w:pPr>
      <w:r w:rsidRPr="00BF7F00">
        <w:rPr>
          <w:b/>
          <w:lang w:val="en-NZ" w:eastAsia="ko-KR"/>
        </w:rPr>
        <w:t>7</w:t>
      </w:r>
      <w:r w:rsidR="008B347E" w:rsidRPr="00BF7F00">
        <w:rPr>
          <w:b/>
          <w:lang w:val="en-NZ" w:eastAsia="ko-KR"/>
        </w:rPr>
        <w:t>.2.2</w:t>
      </w:r>
      <w:r w:rsidR="008B347E" w:rsidRPr="00BF7F00">
        <w:rPr>
          <w:b/>
          <w:lang w:val="en-NZ" w:eastAsia="ko-KR"/>
        </w:rPr>
        <w:tab/>
        <w:t>WMO</w:t>
      </w:r>
    </w:p>
    <w:p w:rsidR="00736F20" w:rsidRPr="00BF7F00" w:rsidRDefault="00736F20" w:rsidP="00B96062">
      <w:pPr>
        <w:spacing w:afterLines="50" w:after="120"/>
        <w:rPr>
          <w:lang w:val="en-NZ"/>
        </w:rPr>
      </w:pPr>
      <w:r w:rsidRPr="00BF7F00">
        <w:rPr>
          <w:lang w:val="en-NZ" w:eastAsia="ko-KR"/>
        </w:rPr>
        <w:t>No contribution covering this Agenda Ite</w:t>
      </w:r>
      <w:r w:rsidR="00FD3679" w:rsidRPr="00BF7F00">
        <w:rPr>
          <w:lang w:val="en-NZ" w:eastAsia="ko-KR"/>
        </w:rPr>
        <w:t>m.</w:t>
      </w:r>
    </w:p>
    <w:p w:rsidR="008B347E" w:rsidRPr="00BF7F00" w:rsidRDefault="008B347E" w:rsidP="008B347E">
      <w:pPr>
        <w:spacing w:after="120"/>
        <w:jc w:val="both"/>
        <w:rPr>
          <w:b/>
          <w:lang w:val="en-NZ" w:eastAsia="ko-KR"/>
        </w:rPr>
      </w:pPr>
      <w:r w:rsidRPr="00BF7F00">
        <w:rPr>
          <w:b/>
          <w:lang w:val="en-NZ" w:eastAsia="ko-KR"/>
        </w:rPr>
        <w:t>7.2.3</w:t>
      </w:r>
      <w:r w:rsidRPr="00BF7F00">
        <w:rPr>
          <w:b/>
          <w:lang w:val="en-NZ" w:eastAsia="ko-KR"/>
        </w:rPr>
        <w:tab/>
        <w:t>IARU</w:t>
      </w:r>
    </w:p>
    <w:p w:rsidR="008B347E" w:rsidRPr="00BF7F00" w:rsidRDefault="008B347E" w:rsidP="00B96062">
      <w:pPr>
        <w:spacing w:afterLines="50" w:after="120"/>
        <w:rPr>
          <w:lang w:val="en-NZ"/>
        </w:rPr>
      </w:pPr>
      <w:r w:rsidRPr="00BF7F00">
        <w:rPr>
          <w:lang w:val="en-NZ" w:eastAsia="ko-KR"/>
        </w:rPr>
        <w:t>No contribution covering this Agenda Ite</w:t>
      </w:r>
      <w:r w:rsidR="00FD3679" w:rsidRPr="00BF7F00">
        <w:rPr>
          <w:lang w:val="en-NZ" w:eastAsia="ko-KR"/>
        </w:rPr>
        <w:t>m.</w:t>
      </w:r>
    </w:p>
    <w:p w:rsidR="00736F20" w:rsidRPr="00BF7F00" w:rsidRDefault="00736F20" w:rsidP="00736F20">
      <w:pPr>
        <w:rPr>
          <w:b/>
          <w:lang w:val="en-NZ"/>
        </w:rPr>
      </w:pPr>
    </w:p>
    <w:p w:rsidR="00736F20" w:rsidRPr="00BF7F00" w:rsidRDefault="00736F20" w:rsidP="00736F20">
      <w:pPr>
        <w:rPr>
          <w:b/>
          <w:lang w:val="en-NZ"/>
        </w:rPr>
      </w:pPr>
    </w:p>
    <w:p w:rsidR="00736F20" w:rsidRPr="00FD3679" w:rsidRDefault="00736F20" w:rsidP="00736F20">
      <w:pPr>
        <w:jc w:val="center"/>
        <w:rPr>
          <w:snapToGrid w:val="0"/>
          <w:lang w:val="en-NZ"/>
        </w:rPr>
      </w:pPr>
      <w:r w:rsidRPr="00BF7F00">
        <w:rPr>
          <w:lang w:val="en-NZ"/>
        </w:rPr>
        <w:t>____________</w:t>
      </w:r>
    </w:p>
    <w:p w:rsidR="00A95CC3" w:rsidRPr="00FD3679" w:rsidRDefault="00A95CC3" w:rsidP="00A95CC3">
      <w:pPr>
        <w:jc w:val="center"/>
        <w:rPr>
          <w:rFonts w:cs="Times New Roman"/>
          <w:b/>
          <w:lang w:val="en-NZ"/>
        </w:rPr>
      </w:pPr>
    </w:p>
    <w:sectPr w:rsidR="00A95CC3" w:rsidRPr="00FD3679" w:rsidSect="00BB1F77">
      <w:headerReference w:type="default" r:id="rId13"/>
      <w:footerReference w:type="even" r:id="rId14"/>
      <w:footerReference w:type="default" r:id="rId15"/>
      <w:footerReference w:type="first" r:id="rId16"/>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57D" w:rsidRDefault="0067257D">
      <w:r>
        <w:separator/>
      </w:r>
    </w:p>
  </w:endnote>
  <w:endnote w:type="continuationSeparator" w:id="0">
    <w:p w:rsidR="0067257D" w:rsidRDefault="0067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BatangChe">
    <w:altName w:val="Arial Unicode MS"/>
    <w:panose1 w:val="02030609000101010101"/>
    <w:charset w:val="81"/>
    <w:family w:val="modern"/>
    <w:pitch w:val="fixed"/>
    <w:sig w:usb0="00000000" w:usb1="69D77CFB" w:usb2="00000030" w:usb3="00000000" w:csb0="0008009F" w:csb1="00000000"/>
  </w:font>
  <w:font w:name="Batang">
    <w:altName w:val="Arial Unicode MS"/>
    <w:panose1 w:val="02030600000101010101"/>
    <w:charset w:val="81"/>
    <w:family w:val="auto"/>
    <w:notTrueType/>
    <w:pitch w:val="fixed"/>
    <w:sig w:usb0="00000000" w:usb1="09060000" w:usb2="00000010" w:usb3="00000000" w:csb0="0008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Math">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C18" w:rsidRDefault="00806C1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C18" w:rsidRDefault="00806C18"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C18" w:rsidRDefault="006A620E" w:rsidP="002C7EA9">
    <w:pPr>
      <w:pStyle w:val="Footer"/>
      <w:ind w:right="360"/>
      <w:jc w:val="right"/>
    </w:pPr>
    <w:r>
      <w:rPr>
        <w:rStyle w:val="PageNumber"/>
      </w:rPr>
      <w:t>A</w:t>
    </w:r>
    <w:r w:rsidR="00C31E2F">
      <w:rPr>
        <w:rStyle w:val="PageNumber"/>
      </w:rPr>
      <w:t>PG19-4/OUT-09</w:t>
    </w:r>
    <w:r>
      <w:rPr>
        <w:rStyle w:val="PageNumber"/>
      </w:rPr>
      <w:t xml:space="preserve">                                                                                                  </w:t>
    </w:r>
    <w:r w:rsidR="00806C18" w:rsidRPr="002C7EA9">
      <w:rPr>
        <w:rStyle w:val="PageNumber"/>
      </w:rPr>
      <w:t xml:space="preserve">Page </w:t>
    </w:r>
    <w:r w:rsidR="00806C18" w:rsidRPr="002C7EA9">
      <w:rPr>
        <w:rStyle w:val="PageNumber"/>
      </w:rPr>
      <w:fldChar w:fldCharType="begin"/>
    </w:r>
    <w:r w:rsidR="00806C18" w:rsidRPr="002C7EA9">
      <w:rPr>
        <w:rStyle w:val="PageNumber"/>
      </w:rPr>
      <w:instrText xml:space="preserve"> PAGE </w:instrText>
    </w:r>
    <w:r w:rsidR="00806C18" w:rsidRPr="002C7EA9">
      <w:rPr>
        <w:rStyle w:val="PageNumber"/>
      </w:rPr>
      <w:fldChar w:fldCharType="separate"/>
    </w:r>
    <w:r w:rsidR="00D100BF">
      <w:rPr>
        <w:rStyle w:val="PageNumber"/>
        <w:noProof/>
      </w:rPr>
      <w:t>2</w:t>
    </w:r>
    <w:r w:rsidR="00806C18" w:rsidRPr="002C7EA9">
      <w:rPr>
        <w:rStyle w:val="PageNumber"/>
      </w:rPr>
      <w:fldChar w:fldCharType="end"/>
    </w:r>
    <w:r w:rsidR="00806C18" w:rsidRPr="002C7EA9">
      <w:rPr>
        <w:rStyle w:val="PageNumber"/>
      </w:rPr>
      <w:t xml:space="preserve"> of </w:t>
    </w:r>
    <w:r w:rsidR="00806C18" w:rsidRPr="002C7EA9">
      <w:rPr>
        <w:rStyle w:val="PageNumber"/>
      </w:rPr>
      <w:fldChar w:fldCharType="begin"/>
    </w:r>
    <w:r w:rsidR="00806C18" w:rsidRPr="002C7EA9">
      <w:rPr>
        <w:rStyle w:val="PageNumber"/>
      </w:rPr>
      <w:instrText xml:space="preserve"> NUMPAGES </w:instrText>
    </w:r>
    <w:r w:rsidR="00806C18" w:rsidRPr="002C7EA9">
      <w:rPr>
        <w:rStyle w:val="PageNumber"/>
      </w:rPr>
      <w:fldChar w:fldCharType="separate"/>
    </w:r>
    <w:r w:rsidR="00D100BF">
      <w:rPr>
        <w:rStyle w:val="PageNumber"/>
        <w:noProof/>
      </w:rPr>
      <w:t>8</w:t>
    </w:r>
    <w:r w:rsidR="00806C18"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9276" w:type="dxa"/>
      <w:tblInd w:w="43"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84"/>
      <w:gridCol w:w="4897"/>
      <w:gridCol w:w="3095"/>
    </w:tblGrid>
    <w:tr w:rsidR="00BB1F77" w:rsidRPr="00BB1F77" w:rsidTr="00214505">
      <w:trPr>
        <w:trHeight w:val="461"/>
      </w:trPr>
      <w:tc>
        <w:tcPr>
          <w:tcW w:w="1284" w:type="dxa"/>
          <w:tcBorders>
            <w:top w:val="single" w:sz="8" w:space="0" w:color="auto"/>
            <w:bottom w:val="nil"/>
            <w:right w:val="nil"/>
          </w:tcBorders>
        </w:tcPr>
        <w:p w:rsidR="00BB1F77" w:rsidRPr="00BB1F77" w:rsidRDefault="00BB1F77" w:rsidP="00BB1F77">
          <w:pPr>
            <w:rPr>
              <w:sz w:val="16"/>
              <w:szCs w:val="16"/>
            </w:rPr>
          </w:pPr>
          <w:r w:rsidRPr="00BB1F77">
            <w:rPr>
              <w:b/>
              <w:bCs/>
            </w:rPr>
            <w:t>Contact:</w:t>
          </w:r>
        </w:p>
      </w:tc>
      <w:tc>
        <w:tcPr>
          <w:tcW w:w="4897" w:type="dxa"/>
          <w:tcBorders>
            <w:top w:val="single" w:sz="8" w:space="0" w:color="auto"/>
            <w:left w:val="nil"/>
            <w:bottom w:val="nil"/>
            <w:right w:val="nil"/>
          </w:tcBorders>
        </w:tcPr>
        <w:p w:rsidR="00BB1F77" w:rsidRPr="00BB1F77" w:rsidRDefault="00BB1F77" w:rsidP="00BB1F77">
          <w:r w:rsidRPr="00BB1F77">
            <w:rPr>
              <w:lang w:eastAsia="ko-KR"/>
            </w:rPr>
            <w:t>MR. BUI HA LONG</w:t>
          </w:r>
        </w:p>
        <w:p w:rsidR="00BB1F77" w:rsidRPr="00BB1F77" w:rsidRDefault="00BB1F77" w:rsidP="00BB1F77">
          <w:r w:rsidRPr="00BB1F77">
            <w:t>Chairman, WP 5</w:t>
          </w:r>
        </w:p>
      </w:tc>
      <w:tc>
        <w:tcPr>
          <w:tcW w:w="3095" w:type="dxa"/>
          <w:tcBorders>
            <w:top w:val="single" w:sz="8" w:space="0" w:color="auto"/>
            <w:left w:val="nil"/>
            <w:bottom w:val="nil"/>
          </w:tcBorders>
        </w:tcPr>
        <w:p w:rsidR="00BB1F77" w:rsidRPr="00BB1F77" w:rsidRDefault="00BB1F77" w:rsidP="00BB1F77">
          <w:pPr>
            <w:rPr>
              <w:lang w:val="fr-FR"/>
            </w:rPr>
          </w:pPr>
          <w:r w:rsidRPr="00BB1F77">
            <w:rPr>
              <w:lang w:val="fr-FR"/>
            </w:rPr>
            <w:t xml:space="preserve">E-mail: </w:t>
          </w:r>
          <w:hyperlink r:id="rId1" w:history="1">
            <w:r w:rsidRPr="00492A22">
              <w:rPr>
                <w:rStyle w:val="Hyperlink"/>
                <w:lang w:val="fr-FR"/>
              </w:rPr>
              <w:t>longbh@rfd.gov.vn</w:t>
            </w:r>
          </w:hyperlink>
          <w:r>
            <w:rPr>
              <w:lang w:val="fr-FR"/>
            </w:rPr>
            <w:t xml:space="preserve"> </w:t>
          </w:r>
        </w:p>
      </w:tc>
    </w:tr>
  </w:tbl>
  <w:p w:rsidR="00806C18" w:rsidRDefault="00806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57D" w:rsidRDefault="0067257D">
      <w:r>
        <w:separator/>
      </w:r>
    </w:p>
  </w:footnote>
  <w:footnote w:type="continuationSeparator" w:id="0">
    <w:p w:rsidR="0067257D" w:rsidRDefault="00672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C18" w:rsidRDefault="00806C18"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0F254247"/>
    <w:multiLevelType w:val="hybridMultilevel"/>
    <w:tmpl w:val="D0AA92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306D21"/>
    <w:multiLevelType w:val="hybridMultilevel"/>
    <w:tmpl w:val="8DC2CBB2"/>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D39475C"/>
    <w:multiLevelType w:val="multilevel"/>
    <w:tmpl w:val="AA74A4B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8B0A6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BBE1A4D"/>
    <w:multiLevelType w:val="hybridMultilevel"/>
    <w:tmpl w:val="40A2DAA0"/>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2" w15:restartNumberingAfterBreak="0">
    <w:nsid w:val="54C30878"/>
    <w:multiLevelType w:val="hybridMultilevel"/>
    <w:tmpl w:val="4B1C07E4"/>
    <w:lvl w:ilvl="0" w:tplc="5EC88BA4">
      <w:start w:val="1"/>
      <w:numFmt w:val="bullet"/>
      <w:lvlText w:val="-"/>
      <w:lvlJc w:val="left"/>
      <w:pPr>
        <w:ind w:left="840" w:hanging="420"/>
      </w:pPr>
      <w:rPr>
        <w:rFonts w:ascii="SimSun" w:eastAsia="SimSun" w:hAnsi="SimSu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552B2092"/>
    <w:multiLevelType w:val="hybridMultilevel"/>
    <w:tmpl w:val="4E0CB0D4"/>
    <w:lvl w:ilvl="0" w:tplc="5EC88BA4">
      <w:start w:val="1"/>
      <w:numFmt w:val="bullet"/>
      <w:lvlText w:val="-"/>
      <w:lvlJc w:val="left"/>
      <w:pPr>
        <w:ind w:left="1140" w:hanging="420"/>
      </w:pPr>
      <w:rPr>
        <w:rFonts w:ascii="SimSun" w:eastAsia="SimSun" w:hAnsi="SimSun" w:hint="eastAsia"/>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4" w15:restartNumberingAfterBreak="0">
    <w:nsid w:val="58DB075E"/>
    <w:multiLevelType w:val="hybridMultilevel"/>
    <w:tmpl w:val="8E50FB56"/>
    <w:lvl w:ilvl="0" w:tplc="82C8ACB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15688"/>
    <w:multiLevelType w:val="hybridMultilevel"/>
    <w:tmpl w:val="ED4636DA"/>
    <w:lvl w:ilvl="0" w:tplc="E2DE1E04">
      <w:start w:val="1"/>
      <w:numFmt w:val="bullet"/>
      <w:lvlText w:val="–"/>
      <w:lvlJc w:val="left"/>
      <w:pPr>
        <w:ind w:left="420" w:hanging="420"/>
      </w:pPr>
      <w:rPr>
        <w:rFonts w:ascii="Courier New" w:hAnsi="Courier New"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9"/>
  </w:num>
  <w:num w:numId="2">
    <w:abstractNumId w:val="7"/>
  </w:num>
  <w:num w:numId="3">
    <w:abstractNumId w:val="6"/>
  </w:num>
  <w:num w:numId="4">
    <w:abstractNumId w:val="16"/>
  </w:num>
  <w:num w:numId="5">
    <w:abstractNumId w:val="8"/>
  </w:num>
  <w:num w:numId="6">
    <w:abstractNumId w:val="10"/>
  </w:num>
  <w:num w:numId="7">
    <w:abstractNumId w:val="5"/>
  </w:num>
  <w:num w:numId="8">
    <w:abstractNumId w:val="0"/>
  </w:num>
  <w:num w:numId="9">
    <w:abstractNumId w:val="4"/>
  </w:num>
  <w:num w:numId="10">
    <w:abstractNumId w:val="1"/>
  </w:num>
  <w:num w:numId="11">
    <w:abstractNumId w:val="4"/>
  </w:num>
  <w:num w:numId="12">
    <w:abstractNumId w:val="2"/>
  </w:num>
  <w:num w:numId="13">
    <w:abstractNumId w:val="14"/>
  </w:num>
  <w:num w:numId="14">
    <w:abstractNumId w:val="11"/>
  </w:num>
  <w:num w:numId="15">
    <w:abstractNumId w:val="15"/>
  </w:num>
  <w:num w:numId="16">
    <w:abstractNumId w:val="3"/>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B6"/>
    <w:rsid w:val="00005566"/>
    <w:rsid w:val="00012E1C"/>
    <w:rsid w:val="00021627"/>
    <w:rsid w:val="0003595B"/>
    <w:rsid w:val="00044D18"/>
    <w:rsid w:val="00045C38"/>
    <w:rsid w:val="00054E7C"/>
    <w:rsid w:val="00061871"/>
    <w:rsid w:val="00061A18"/>
    <w:rsid w:val="000645C9"/>
    <w:rsid w:val="00067401"/>
    <w:rsid w:val="00067B31"/>
    <w:rsid w:val="000702E4"/>
    <w:rsid w:val="0007588C"/>
    <w:rsid w:val="00081A19"/>
    <w:rsid w:val="00081CC4"/>
    <w:rsid w:val="00092C6D"/>
    <w:rsid w:val="000A22B6"/>
    <w:rsid w:val="000B4A73"/>
    <w:rsid w:val="000C2D1B"/>
    <w:rsid w:val="000D2512"/>
    <w:rsid w:val="000F3866"/>
    <w:rsid w:val="000F5540"/>
    <w:rsid w:val="00121381"/>
    <w:rsid w:val="0012438F"/>
    <w:rsid w:val="00134169"/>
    <w:rsid w:val="0013419E"/>
    <w:rsid w:val="001449D5"/>
    <w:rsid w:val="00145AF4"/>
    <w:rsid w:val="00146CB7"/>
    <w:rsid w:val="00153504"/>
    <w:rsid w:val="001539DD"/>
    <w:rsid w:val="001724AA"/>
    <w:rsid w:val="00175C0B"/>
    <w:rsid w:val="0018792D"/>
    <w:rsid w:val="00196568"/>
    <w:rsid w:val="001A2F16"/>
    <w:rsid w:val="001A5A66"/>
    <w:rsid w:val="001B18C2"/>
    <w:rsid w:val="001B683C"/>
    <w:rsid w:val="001B7A5A"/>
    <w:rsid w:val="001D5D7E"/>
    <w:rsid w:val="001D7895"/>
    <w:rsid w:val="00204487"/>
    <w:rsid w:val="00204B85"/>
    <w:rsid w:val="00220DC0"/>
    <w:rsid w:val="00250740"/>
    <w:rsid w:val="00254A1B"/>
    <w:rsid w:val="0028454D"/>
    <w:rsid w:val="00291C9E"/>
    <w:rsid w:val="002926D4"/>
    <w:rsid w:val="00294308"/>
    <w:rsid w:val="00297719"/>
    <w:rsid w:val="002C07DA"/>
    <w:rsid w:val="002C7EA9"/>
    <w:rsid w:val="002D0241"/>
    <w:rsid w:val="002D4FE6"/>
    <w:rsid w:val="002E3C94"/>
    <w:rsid w:val="002E61CB"/>
    <w:rsid w:val="002F357C"/>
    <w:rsid w:val="002F6D09"/>
    <w:rsid w:val="0030383C"/>
    <w:rsid w:val="003078A4"/>
    <w:rsid w:val="00314956"/>
    <w:rsid w:val="00332860"/>
    <w:rsid w:val="00362CD3"/>
    <w:rsid w:val="00374CB5"/>
    <w:rsid w:val="00376DE2"/>
    <w:rsid w:val="003A104E"/>
    <w:rsid w:val="003B004E"/>
    <w:rsid w:val="003B13F7"/>
    <w:rsid w:val="003B6263"/>
    <w:rsid w:val="003C5ACC"/>
    <w:rsid w:val="003C64A7"/>
    <w:rsid w:val="003D3FDA"/>
    <w:rsid w:val="003F0075"/>
    <w:rsid w:val="003F73FA"/>
    <w:rsid w:val="00401DF7"/>
    <w:rsid w:val="00403A82"/>
    <w:rsid w:val="0041340E"/>
    <w:rsid w:val="004136C0"/>
    <w:rsid w:val="00417FBA"/>
    <w:rsid w:val="00420822"/>
    <w:rsid w:val="00420FB8"/>
    <w:rsid w:val="0044088D"/>
    <w:rsid w:val="00441173"/>
    <w:rsid w:val="00452F87"/>
    <w:rsid w:val="0045458F"/>
    <w:rsid w:val="004573F3"/>
    <w:rsid w:val="004633B4"/>
    <w:rsid w:val="004654B8"/>
    <w:rsid w:val="004730A4"/>
    <w:rsid w:val="0047516E"/>
    <w:rsid w:val="00490CEB"/>
    <w:rsid w:val="004920B6"/>
    <w:rsid w:val="004B053C"/>
    <w:rsid w:val="004B18D0"/>
    <w:rsid w:val="004B3553"/>
    <w:rsid w:val="004B4B5F"/>
    <w:rsid w:val="004B4BDA"/>
    <w:rsid w:val="004C6E39"/>
    <w:rsid w:val="004D2799"/>
    <w:rsid w:val="004E6470"/>
    <w:rsid w:val="004F0282"/>
    <w:rsid w:val="004F43A4"/>
    <w:rsid w:val="0050640F"/>
    <w:rsid w:val="005111B1"/>
    <w:rsid w:val="00513997"/>
    <w:rsid w:val="00513F5D"/>
    <w:rsid w:val="005178C2"/>
    <w:rsid w:val="00526FA1"/>
    <w:rsid w:val="0053053C"/>
    <w:rsid w:val="00530E8C"/>
    <w:rsid w:val="00543321"/>
    <w:rsid w:val="00543A84"/>
    <w:rsid w:val="00545933"/>
    <w:rsid w:val="0055268C"/>
    <w:rsid w:val="00556365"/>
    <w:rsid w:val="005629A7"/>
    <w:rsid w:val="0058015D"/>
    <w:rsid w:val="00587875"/>
    <w:rsid w:val="00590496"/>
    <w:rsid w:val="00594682"/>
    <w:rsid w:val="005D06DE"/>
    <w:rsid w:val="005F1A4D"/>
    <w:rsid w:val="005F46A2"/>
    <w:rsid w:val="005F5984"/>
    <w:rsid w:val="005F6382"/>
    <w:rsid w:val="005F76C3"/>
    <w:rsid w:val="00600F6B"/>
    <w:rsid w:val="00603C8F"/>
    <w:rsid w:val="00607E2B"/>
    <w:rsid w:val="006216A4"/>
    <w:rsid w:val="00623CE1"/>
    <w:rsid w:val="0062449A"/>
    <w:rsid w:val="00630542"/>
    <w:rsid w:val="0063062B"/>
    <w:rsid w:val="00632179"/>
    <w:rsid w:val="00633CEA"/>
    <w:rsid w:val="006567D8"/>
    <w:rsid w:val="00662448"/>
    <w:rsid w:val="00667229"/>
    <w:rsid w:val="0067257D"/>
    <w:rsid w:val="00682BE5"/>
    <w:rsid w:val="00690FED"/>
    <w:rsid w:val="006939A5"/>
    <w:rsid w:val="0069437F"/>
    <w:rsid w:val="006A3C58"/>
    <w:rsid w:val="006A620E"/>
    <w:rsid w:val="006C0485"/>
    <w:rsid w:val="006C13C7"/>
    <w:rsid w:val="006C27F2"/>
    <w:rsid w:val="007032B5"/>
    <w:rsid w:val="00706128"/>
    <w:rsid w:val="00712451"/>
    <w:rsid w:val="007133A9"/>
    <w:rsid w:val="007308F7"/>
    <w:rsid w:val="00732193"/>
    <w:rsid w:val="00732F08"/>
    <w:rsid w:val="00736F20"/>
    <w:rsid w:val="00740B41"/>
    <w:rsid w:val="0074190C"/>
    <w:rsid w:val="007456DC"/>
    <w:rsid w:val="00762576"/>
    <w:rsid w:val="00765599"/>
    <w:rsid w:val="00766BE1"/>
    <w:rsid w:val="007746DB"/>
    <w:rsid w:val="00791060"/>
    <w:rsid w:val="00791C94"/>
    <w:rsid w:val="007943B4"/>
    <w:rsid w:val="007B5626"/>
    <w:rsid w:val="007B679A"/>
    <w:rsid w:val="007C05ED"/>
    <w:rsid w:val="007D79EF"/>
    <w:rsid w:val="007E1432"/>
    <w:rsid w:val="0080570B"/>
    <w:rsid w:val="00806C18"/>
    <w:rsid w:val="008148E1"/>
    <w:rsid w:val="00816518"/>
    <w:rsid w:val="0082480D"/>
    <w:rsid w:val="008411D0"/>
    <w:rsid w:val="00850601"/>
    <w:rsid w:val="00857913"/>
    <w:rsid w:val="00860CA0"/>
    <w:rsid w:val="00863D9C"/>
    <w:rsid w:val="0087739D"/>
    <w:rsid w:val="00882634"/>
    <w:rsid w:val="00882DCE"/>
    <w:rsid w:val="008905CF"/>
    <w:rsid w:val="008969E5"/>
    <w:rsid w:val="008A2A1C"/>
    <w:rsid w:val="008A616C"/>
    <w:rsid w:val="008A6BC4"/>
    <w:rsid w:val="008B347E"/>
    <w:rsid w:val="008B61D7"/>
    <w:rsid w:val="008B6D97"/>
    <w:rsid w:val="008D0E09"/>
    <w:rsid w:val="008D19E5"/>
    <w:rsid w:val="008D1F17"/>
    <w:rsid w:val="008E793A"/>
    <w:rsid w:val="008F2369"/>
    <w:rsid w:val="008F4887"/>
    <w:rsid w:val="0090111C"/>
    <w:rsid w:val="00971CB7"/>
    <w:rsid w:val="00971E86"/>
    <w:rsid w:val="0097693B"/>
    <w:rsid w:val="009769E9"/>
    <w:rsid w:val="00985451"/>
    <w:rsid w:val="00986BC4"/>
    <w:rsid w:val="00993355"/>
    <w:rsid w:val="00995B59"/>
    <w:rsid w:val="009A0CBC"/>
    <w:rsid w:val="009A4A6D"/>
    <w:rsid w:val="009A7FAB"/>
    <w:rsid w:val="009B5210"/>
    <w:rsid w:val="009C12EA"/>
    <w:rsid w:val="009C6BEB"/>
    <w:rsid w:val="009D0CC4"/>
    <w:rsid w:val="009D3CEC"/>
    <w:rsid w:val="009D7469"/>
    <w:rsid w:val="009F2B91"/>
    <w:rsid w:val="00A012C2"/>
    <w:rsid w:val="00A032E1"/>
    <w:rsid w:val="00A10949"/>
    <w:rsid w:val="00A13265"/>
    <w:rsid w:val="00A257B9"/>
    <w:rsid w:val="00A271E7"/>
    <w:rsid w:val="00A311C4"/>
    <w:rsid w:val="00A35CB6"/>
    <w:rsid w:val="00A40CDF"/>
    <w:rsid w:val="00A519FB"/>
    <w:rsid w:val="00A569BD"/>
    <w:rsid w:val="00A60921"/>
    <w:rsid w:val="00A63016"/>
    <w:rsid w:val="00A65A27"/>
    <w:rsid w:val="00A71136"/>
    <w:rsid w:val="00A7277A"/>
    <w:rsid w:val="00A7593E"/>
    <w:rsid w:val="00A81FD7"/>
    <w:rsid w:val="00A86AB9"/>
    <w:rsid w:val="00A87BB0"/>
    <w:rsid w:val="00A95CC3"/>
    <w:rsid w:val="00AA474C"/>
    <w:rsid w:val="00AB047C"/>
    <w:rsid w:val="00AB160F"/>
    <w:rsid w:val="00AC4162"/>
    <w:rsid w:val="00AD7E5F"/>
    <w:rsid w:val="00AE718A"/>
    <w:rsid w:val="00AE7CF2"/>
    <w:rsid w:val="00AF7A35"/>
    <w:rsid w:val="00B01AA1"/>
    <w:rsid w:val="00B0429C"/>
    <w:rsid w:val="00B24D39"/>
    <w:rsid w:val="00B30C81"/>
    <w:rsid w:val="00B33E17"/>
    <w:rsid w:val="00B4141C"/>
    <w:rsid w:val="00B4357A"/>
    <w:rsid w:val="00B4666F"/>
    <w:rsid w:val="00B60092"/>
    <w:rsid w:val="00B60A78"/>
    <w:rsid w:val="00B81CCC"/>
    <w:rsid w:val="00B96062"/>
    <w:rsid w:val="00BB0E13"/>
    <w:rsid w:val="00BB1F77"/>
    <w:rsid w:val="00BB3701"/>
    <w:rsid w:val="00BB3DE0"/>
    <w:rsid w:val="00BC62AF"/>
    <w:rsid w:val="00BC6A3E"/>
    <w:rsid w:val="00BD165C"/>
    <w:rsid w:val="00BE2538"/>
    <w:rsid w:val="00BF0A75"/>
    <w:rsid w:val="00BF7F00"/>
    <w:rsid w:val="00C05300"/>
    <w:rsid w:val="00C14D62"/>
    <w:rsid w:val="00C15633"/>
    <w:rsid w:val="00C15799"/>
    <w:rsid w:val="00C21DDA"/>
    <w:rsid w:val="00C313BA"/>
    <w:rsid w:val="00C31E2F"/>
    <w:rsid w:val="00C357AD"/>
    <w:rsid w:val="00C35F7F"/>
    <w:rsid w:val="00C41570"/>
    <w:rsid w:val="00C47D6A"/>
    <w:rsid w:val="00C510B0"/>
    <w:rsid w:val="00C6069C"/>
    <w:rsid w:val="00C665DB"/>
    <w:rsid w:val="00C7082B"/>
    <w:rsid w:val="00C72FD3"/>
    <w:rsid w:val="00C77B19"/>
    <w:rsid w:val="00C77FC8"/>
    <w:rsid w:val="00C84847"/>
    <w:rsid w:val="00CA24EB"/>
    <w:rsid w:val="00CA2B78"/>
    <w:rsid w:val="00CB04DA"/>
    <w:rsid w:val="00CB3AAD"/>
    <w:rsid w:val="00CB7E46"/>
    <w:rsid w:val="00CD34CD"/>
    <w:rsid w:val="00CD5431"/>
    <w:rsid w:val="00CE4CDF"/>
    <w:rsid w:val="00CF2491"/>
    <w:rsid w:val="00D100BF"/>
    <w:rsid w:val="00D20F3E"/>
    <w:rsid w:val="00D30096"/>
    <w:rsid w:val="00D414DB"/>
    <w:rsid w:val="00D44BAA"/>
    <w:rsid w:val="00D57772"/>
    <w:rsid w:val="00D57863"/>
    <w:rsid w:val="00D61516"/>
    <w:rsid w:val="00D63230"/>
    <w:rsid w:val="00D66BD8"/>
    <w:rsid w:val="00D71164"/>
    <w:rsid w:val="00D72E49"/>
    <w:rsid w:val="00D75A4D"/>
    <w:rsid w:val="00D8478B"/>
    <w:rsid w:val="00D85CC8"/>
    <w:rsid w:val="00D86151"/>
    <w:rsid w:val="00D867FD"/>
    <w:rsid w:val="00DA1CE0"/>
    <w:rsid w:val="00DA269F"/>
    <w:rsid w:val="00DA6BD1"/>
    <w:rsid w:val="00DA7595"/>
    <w:rsid w:val="00DB0A68"/>
    <w:rsid w:val="00DB5D13"/>
    <w:rsid w:val="00DC43A3"/>
    <w:rsid w:val="00DD42EE"/>
    <w:rsid w:val="00DD5CBD"/>
    <w:rsid w:val="00DF229C"/>
    <w:rsid w:val="00E0124F"/>
    <w:rsid w:val="00E22B92"/>
    <w:rsid w:val="00E237B2"/>
    <w:rsid w:val="00E31CB6"/>
    <w:rsid w:val="00E437D5"/>
    <w:rsid w:val="00E5293E"/>
    <w:rsid w:val="00E531E7"/>
    <w:rsid w:val="00E674D3"/>
    <w:rsid w:val="00E67651"/>
    <w:rsid w:val="00E70FD0"/>
    <w:rsid w:val="00E7578A"/>
    <w:rsid w:val="00E81D75"/>
    <w:rsid w:val="00E82E91"/>
    <w:rsid w:val="00E920B3"/>
    <w:rsid w:val="00EC6AC1"/>
    <w:rsid w:val="00EE1FBC"/>
    <w:rsid w:val="00EE3AAE"/>
    <w:rsid w:val="00EE5DA7"/>
    <w:rsid w:val="00EE789F"/>
    <w:rsid w:val="00EF0BAC"/>
    <w:rsid w:val="00EF1D04"/>
    <w:rsid w:val="00F004CF"/>
    <w:rsid w:val="00F03663"/>
    <w:rsid w:val="00F07DAA"/>
    <w:rsid w:val="00F276B3"/>
    <w:rsid w:val="00F374F5"/>
    <w:rsid w:val="00F50D2C"/>
    <w:rsid w:val="00F55050"/>
    <w:rsid w:val="00F71D51"/>
    <w:rsid w:val="00F82B6E"/>
    <w:rsid w:val="00F84067"/>
    <w:rsid w:val="00F96707"/>
    <w:rsid w:val="00FA05CF"/>
    <w:rsid w:val="00FA1B0C"/>
    <w:rsid w:val="00FA45C5"/>
    <w:rsid w:val="00FB271E"/>
    <w:rsid w:val="00FC3105"/>
    <w:rsid w:val="00FD0DE0"/>
    <w:rsid w:val="00FD3679"/>
    <w:rsid w:val="00FF7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956CCC7-FA4D-4680-9B29-8FA877FF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Angsana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B5F"/>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0C2D1B"/>
    <w:pPr>
      <w:ind w:left="720"/>
    </w:pPr>
  </w:style>
  <w:style w:type="paragraph" w:styleId="BalloonText">
    <w:name w:val="Balloon Text"/>
    <w:basedOn w:val="Normal"/>
    <w:semiHidden/>
    <w:rsid w:val="009C12EA"/>
    <w:rPr>
      <w:rFonts w:ascii="Tahoma" w:hAnsi="Tahoma"/>
      <w:sz w:val="16"/>
      <w:szCs w:val="18"/>
    </w:rPr>
  </w:style>
  <w:style w:type="paragraph" w:styleId="BodyText">
    <w:name w:val="Body Text"/>
    <w:basedOn w:val="Normal"/>
    <w:link w:val="BodyTextChar"/>
    <w:rsid w:val="001B7A5A"/>
    <w:pPr>
      <w:autoSpaceDE w:val="0"/>
      <w:autoSpaceDN w:val="0"/>
    </w:pPr>
    <w:rPr>
      <w:rFonts w:eastAsia="MS Mincho" w:cs="Times New Roman"/>
      <w:b/>
      <w:sz w:val="18"/>
      <w:szCs w:val="20"/>
      <w:lang w:eastAsia="ja-JP"/>
    </w:rPr>
  </w:style>
  <w:style w:type="character" w:customStyle="1" w:styleId="BodyTextChar">
    <w:name w:val="Body Text Char"/>
    <w:link w:val="BodyText"/>
    <w:rsid w:val="001B7A5A"/>
    <w:rPr>
      <w:rFonts w:eastAsia="MS Mincho" w:cs="Times New Roman"/>
      <w:b/>
      <w:sz w:val="18"/>
      <w:lang w:eastAsia="ja-JP"/>
    </w:rPr>
  </w:style>
  <w:style w:type="character" w:customStyle="1" w:styleId="peb">
    <w:name w:val="_pe_b"/>
    <w:basedOn w:val="DefaultParagraphFont"/>
    <w:rsid w:val="00C510B0"/>
  </w:style>
  <w:style w:type="character" w:customStyle="1" w:styleId="rpc41">
    <w:name w:val="_rpc_41"/>
    <w:basedOn w:val="DefaultParagraphFont"/>
    <w:rsid w:val="00DA1CE0"/>
  </w:style>
  <w:style w:type="character" w:styleId="Hyperlink">
    <w:name w:val="Hyperlink"/>
    <w:basedOn w:val="DefaultParagraphFont"/>
    <w:unhideWhenUsed/>
    <w:rsid w:val="00DA1CE0"/>
    <w:rPr>
      <w:color w:val="0563C1" w:themeColor="hyperlink"/>
      <w:u w:val="single"/>
    </w:rPr>
  </w:style>
  <w:style w:type="table" w:styleId="TableGrid">
    <w:name w:val="Table Grid"/>
    <w:basedOn w:val="TableNormal"/>
    <w:uiPriority w:val="59"/>
    <w:rsid w:val="00971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736F20"/>
    <w:rPr>
      <w:rFonts w:cs="Times New Roman"/>
      <w:sz w:val="20"/>
      <w:szCs w:val="20"/>
    </w:rPr>
  </w:style>
  <w:style w:type="character" w:customStyle="1" w:styleId="FootnoteTextChar">
    <w:name w:val="Footnote Text Char"/>
    <w:basedOn w:val="DefaultParagraphFont"/>
    <w:link w:val="FootnoteText"/>
    <w:semiHidden/>
    <w:rsid w:val="00736F20"/>
    <w:rPr>
      <w:rFonts w:eastAsia="BatangChe" w:cs="Times New Roman"/>
    </w:rPr>
  </w:style>
  <w:style w:type="character" w:styleId="FootnoteReference">
    <w:name w:val="footnote reference"/>
    <w:basedOn w:val="DefaultParagraphFont"/>
    <w:semiHidden/>
    <w:unhideWhenUsed/>
    <w:rsid w:val="00736F20"/>
    <w:rPr>
      <w:vertAlign w:val="superscript"/>
    </w:rPr>
  </w:style>
  <w:style w:type="character" w:customStyle="1" w:styleId="ListParagraphChar">
    <w:name w:val="List Paragraph Char"/>
    <w:link w:val="ListParagraph"/>
    <w:uiPriority w:val="34"/>
    <w:locked/>
    <w:rsid w:val="00736F20"/>
    <w:rPr>
      <w:rFonts w:eastAsia="BatangChe"/>
      <w:sz w:val="24"/>
      <w:szCs w:val="24"/>
    </w:rPr>
  </w:style>
  <w:style w:type="character" w:customStyle="1" w:styleId="Artref">
    <w:name w:val="Art_ref"/>
    <w:basedOn w:val="DefaultParagraphFont"/>
    <w:qFormat/>
    <w:rsid w:val="00B81CCC"/>
  </w:style>
  <w:style w:type="character" w:customStyle="1" w:styleId="Appref">
    <w:name w:val="App_ref"/>
    <w:basedOn w:val="DefaultParagraphFont"/>
    <w:rsid w:val="00FC3105"/>
  </w:style>
  <w:style w:type="paragraph" w:customStyle="1" w:styleId="enumlev1">
    <w:name w:val="enumlev1"/>
    <w:basedOn w:val="Normal"/>
    <w:link w:val="enumlev1Char"/>
    <w:qFormat/>
    <w:rsid w:val="00204B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heme="minorEastAsia" w:cs="Times New Roman"/>
      <w:szCs w:val="20"/>
      <w:lang w:val="en-GB"/>
    </w:rPr>
  </w:style>
  <w:style w:type="character" w:customStyle="1" w:styleId="enumlev1Char">
    <w:name w:val="enumlev1 Char"/>
    <w:basedOn w:val="DefaultParagraphFont"/>
    <w:link w:val="enumlev1"/>
    <w:qFormat/>
    <w:rsid w:val="00204B85"/>
    <w:rPr>
      <w:rFonts w:eastAsiaTheme="minorEastAsia" w:cs="Times New Roman"/>
      <w:sz w:val="24"/>
      <w:lang w:val="en-GB"/>
    </w:rPr>
  </w:style>
  <w:style w:type="paragraph" w:styleId="Caption">
    <w:name w:val="caption"/>
    <w:basedOn w:val="Normal"/>
    <w:next w:val="Normal"/>
    <w:uiPriority w:val="35"/>
    <w:unhideWhenUsed/>
    <w:qFormat/>
    <w:rsid w:val="0087739D"/>
    <w:rPr>
      <w:b/>
      <w:bCs/>
      <w:sz w:val="21"/>
      <w:szCs w:val="21"/>
    </w:rPr>
  </w:style>
  <w:style w:type="table" w:customStyle="1" w:styleId="TableGrid1">
    <w:name w:val="Table Grid1"/>
    <w:basedOn w:val="TableNormal"/>
    <w:next w:val="TableGrid"/>
    <w:uiPriority w:val="59"/>
    <w:rsid w:val="00BB1F7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54427">
      <w:bodyDiv w:val="1"/>
      <w:marLeft w:val="0"/>
      <w:marRight w:val="0"/>
      <w:marTop w:val="0"/>
      <w:marBottom w:val="0"/>
      <w:divBdr>
        <w:top w:val="none" w:sz="0" w:space="0" w:color="auto"/>
        <w:left w:val="none" w:sz="0" w:space="0" w:color="auto"/>
        <w:bottom w:val="none" w:sz="0" w:space="0" w:color="auto"/>
        <w:right w:val="none" w:sz="0" w:space="0" w:color="auto"/>
      </w:divBdr>
      <w:divsChild>
        <w:div w:id="1622152140">
          <w:marLeft w:val="0"/>
          <w:marRight w:val="0"/>
          <w:marTop w:val="0"/>
          <w:marBottom w:val="0"/>
          <w:divBdr>
            <w:top w:val="none" w:sz="0" w:space="0" w:color="auto"/>
            <w:left w:val="none" w:sz="0" w:space="0" w:color="auto"/>
            <w:bottom w:val="none" w:sz="0" w:space="0" w:color="auto"/>
            <w:right w:val="none" w:sz="0" w:space="0" w:color="auto"/>
          </w:divBdr>
        </w:div>
      </w:divsChild>
    </w:div>
    <w:div w:id="97139623">
      <w:bodyDiv w:val="1"/>
      <w:marLeft w:val="0"/>
      <w:marRight w:val="0"/>
      <w:marTop w:val="0"/>
      <w:marBottom w:val="0"/>
      <w:divBdr>
        <w:top w:val="none" w:sz="0" w:space="0" w:color="auto"/>
        <w:left w:val="none" w:sz="0" w:space="0" w:color="auto"/>
        <w:bottom w:val="none" w:sz="0" w:space="0" w:color="auto"/>
        <w:right w:val="none" w:sz="0" w:space="0" w:color="auto"/>
      </w:divBdr>
      <w:divsChild>
        <w:div w:id="595944749">
          <w:marLeft w:val="0"/>
          <w:marRight w:val="0"/>
          <w:marTop w:val="0"/>
          <w:marBottom w:val="0"/>
          <w:divBdr>
            <w:top w:val="none" w:sz="0" w:space="0" w:color="auto"/>
            <w:left w:val="none" w:sz="0" w:space="0" w:color="auto"/>
            <w:bottom w:val="none" w:sz="0" w:space="0" w:color="auto"/>
            <w:right w:val="none" w:sz="0" w:space="0" w:color="auto"/>
          </w:divBdr>
        </w:div>
      </w:divsChild>
    </w:div>
    <w:div w:id="928392835">
      <w:bodyDiv w:val="1"/>
      <w:marLeft w:val="0"/>
      <w:marRight w:val="0"/>
      <w:marTop w:val="0"/>
      <w:marBottom w:val="0"/>
      <w:divBdr>
        <w:top w:val="none" w:sz="0" w:space="0" w:color="auto"/>
        <w:left w:val="none" w:sz="0" w:space="0" w:color="auto"/>
        <w:bottom w:val="none" w:sz="0" w:space="0" w:color="auto"/>
        <w:right w:val="none" w:sz="0" w:space="0" w:color="auto"/>
      </w:divBdr>
      <w:divsChild>
        <w:div w:id="442968548">
          <w:marLeft w:val="0"/>
          <w:marRight w:val="0"/>
          <w:marTop w:val="0"/>
          <w:marBottom w:val="0"/>
          <w:divBdr>
            <w:top w:val="none" w:sz="0" w:space="0" w:color="auto"/>
            <w:left w:val="none" w:sz="0" w:space="0" w:color="auto"/>
            <w:bottom w:val="none" w:sz="0" w:space="0" w:color="auto"/>
            <w:right w:val="none" w:sz="0" w:space="0" w:color="auto"/>
          </w:divBdr>
        </w:div>
      </w:divsChild>
    </w:div>
    <w:div w:id="1243220574">
      <w:bodyDiv w:val="1"/>
      <w:marLeft w:val="0"/>
      <w:marRight w:val="0"/>
      <w:marTop w:val="0"/>
      <w:marBottom w:val="0"/>
      <w:divBdr>
        <w:top w:val="none" w:sz="0" w:space="0" w:color="auto"/>
        <w:left w:val="none" w:sz="0" w:space="0" w:color="auto"/>
        <w:bottom w:val="none" w:sz="0" w:space="0" w:color="auto"/>
        <w:right w:val="none" w:sz="0" w:space="0" w:color="auto"/>
      </w:divBdr>
      <w:divsChild>
        <w:div w:id="179970346">
          <w:marLeft w:val="0"/>
          <w:marRight w:val="0"/>
          <w:marTop w:val="0"/>
          <w:marBottom w:val="0"/>
          <w:divBdr>
            <w:top w:val="none" w:sz="0" w:space="0" w:color="auto"/>
            <w:left w:val="none" w:sz="0" w:space="0" w:color="auto"/>
            <w:bottom w:val="none" w:sz="0" w:space="0" w:color="auto"/>
            <w:right w:val="none" w:sz="0" w:space="0" w:color="auto"/>
          </w:divBdr>
        </w:div>
      </w:divsChild>
    </w:div>
    <w:div w:id="1984461272">
      <w:bodyDiv w:val="1"/>
      <w:marLeft w:val="0"/>
      <w:marRight w:val="0"/>
      <w:marTop w:val="0"/>
      <w:marBottom w:val="0"/>
      <w:divBdr>
        <w:top w:val="none" w:sz="0" w:space="0" w:color="auto"/>
        <w:left w:val="none" w:sz="0" w:space="0" w:color="auto"/>
        <w:bottom w:val="none" w:sz="0" w:space="0" w:color="auto"/>
        <w:right w:val="none" w:sz="0" w:space="0" w:color="auto"/>
      </w:divBdr>
      <w:divsChild>
        <w:div w:id="1423914758">
          <w:marLeft w:val="0"/>
          <w:marRight w:val="0"/>
          <w:marTop w:val="0"/>
          <w:marBottom w:val="0"/>
          <w:divBdr>
            <w:top w:val="none" w:sz="0" w:space="0" w:color="auto"/>
            <w:left w:val="none" w:sz="0" w:space="0" w:color="auto"/>
            <w:bottom w:val="none" w:sz="0" w:space="0" w:color="auto"/>
            <w:right w:val="none" w:sz="0" w:space="0" w:color="auto"/>
          </w:divBdr>
        </w:div>
      </w:divsChild>
    </w:div>
    <w:div w:id="2144500002">
      <w:bodyDiv w:val="1"/>
      <w:marLeft w:val="0"/>
      <w:marRight w:val="0"/>
      <w:marTop w:val="0"/>
      <w:marBottom w:val="0"/>
      <w:divBdr>
        <w:top w:val="none" w:sz="0" w:space="0" w:color="auto"/>
        <w:left w:val="none" w:sz="0" w:space="0" w:color="auto"/>
        <w:bottom w:val="none" w:sz="0" w:space="0" w:color="auto"/>
        <w:right w:val="none" w:sz="0" w:space="0" w:color="auto"/>
      </w:divBdr>
      <w:divsChild>
        <w:div w:id="361633160">
          <w:marLeft w:val="0"/>
          <w:marRight w:val="0"/>
          <w:marTop w:val="0"/>
          <w:marBottom w:val="0"/>
          <w:divBdr>
            <w:top w:val="none" w:sz="0" w:space="0" w:color="auto"/>
            <w:left w:val="none" w:sz="0" w:space="0" w:color="auto"/>
            <w:bottom w:val="none" w:sz="0" w:space="0" w:color="auto"/>
            <w:right w:val="none" w:sz="0" w:space="0" w:color="auto"/>
          </w:divBdr>
        </w:div>
        <w:div w:id="66460892">
          <w:marLeft w:val="0"/>
          <w:marRight w:val="0"/>
          <w:marTop w:val="0"/>
          <w:marBottom w:val="0"/>
          <w:divBdr>
            <w:top w:val="none" w:sz="0" w:space="0" w:color="auto"/>
            <w:left w:val="none" w:sz="0" w:space="0" w:color="auto"/>
            <w:bottom w:val="none" w:sz="0" w:space="0" w:color="auto"/>
            <w:right w:val="none" w:sz="0" w:space="0" w:color="auto"/>
          </w:divBdr>
        </w:div>
        <w:div w:id="1107627141">
          <w:marLeft w:val="0"/>
          <w:marRight w:val="0"/>
          <w:marTop w:val="0"/>
          <w:marBottom w:val="0"/>
          <w:divBdr>
            <w:top w:val="none" w:sz="0" w:space="0" w:color="auto"/>
            <w:left w:val="none" w:sz="0" w:space="0" w:color="auto"/>
            <w:bottom w:val="none" w:sz="0" w:space="0" w:color="auto"/>
            <w:right w:val="none" w:sz="0" w:space="0" w:color="auto"/>
          </w:divBdr>
        </w:div>
        <w:div w:id="1753814178">
          <w:marLeft w:val="0"/>
          <w:marRight w:val="0"/>
          <w:marTop w:val="0"/>
          <w:marBottom w:val="0"/>
          <w:divBdr>
            <w:top w:val="none" w:sz="0" w:space="0" w:color="auto"/>
            <w:left w:val="none" w:sz="0" w:space="0" w:color="auto"/>
            <w:bottom w:val="none" w:sz="0" w:space="0" w:color="auto"/>
            <w:right w:val="none" w:sz="0" w:space="0" w:color="auto"/>
          </w:divBdr>
        </w:div>
        <w:div w:id="603349039">
          <w:marLeft w:val="0"/>
          <w:marRight w:val="0"/>
          <w:marTop w:val="0"/>
          <w:marBottom w:val="0"/>
          <w:divBdr>
            <w:top w:val="none" w:sz="0" w:space="0" w:color="auto"/>
            <w:left w:val="none" w:sz="0" w:space="0" w:color="auto"/>
            <w:bottom w:val="none" w:sz="0" w:space="0" w:color="auto"/>
            <w:right w:val="none" w:sz="0" w:space="0" w:color="auto"/>
          </w:divBdr>
        </w:div>
        <w:div w:id="95371211">
          <w:marLeft w:val="0"/>
          <w:marRight w:val="0"/>
          <w:marTop w:val="0"/>
          <w:marBottom w:val="0"/>
          <w:divBdr>
            <w:top w:val="none" w:sz="0" w:space="0" w:color="auto"/>
            <w:left w:val="none" w:sz="0" w:space="0" w:color="auto"/>
            <w:bottom w:val="none" w:sz="0" w:space="0" w:color="auto"/>
            <w:right w:val="none" w:sz="0" w:space="0" w:color="auto"/>
          </w:divBdr>
        </w:div>
        <w:div w:id="1757554945">
          <w:marLeft w:val="0"/>
          <w:marRight w:val="0"/>
          <w:marTop w:val="0"/>
          <w:marBottom w:val="0"/>
          <w:divBdr>
            <w:top w:val="none" w:sz="0" w:space="0" w:color="auto"/>
            <w:left w:val="none" w:sz="0" w:space="0" w:color="auto"/>
            <w:bottom w:val="none" w:sz="0" w:space="0" w:color="auto"/>
            <w:right w:val="none" w:sz="0" w:space="0" w:color="auto"/>
          </w:divBdr>
        </w:div>
        <w:div w:id="426734876">
          <w:marLeft w:val="0"/>
          <w:marRight w:val="0"/>
          <w:marTop w:val="0"/>
          <w:marBottom w:val="0"/>
          <w:divBdr>
            <w:top w:val="none" w:sz="0" w:space="0" w:color="auto"/>
            <w:left w:val="none" w:sz="0" w:space="0" w:color="auto"/>
            <w:bottom w:val="none" w:sz="0" w:space="0" w:color="auto"/>
            <w:right w:val="none" w:sz="0" w:space="0" w:color="auto"/>
          </w:divBdr>
        </w:div>
        <w:div w:id="1654993622">
          <w:marLeft w:val="0"/>
          <w:marRight w:val="0"/>
          <w:marTop w:val="0"/>
          <w:marBottom w:val="0"/>
          <w:divBdr>
            <w:top w:val="none" w:sz="0" w:space="0" w:color="auto"/>
            <w:left w:val="none" w:sz="0" w:space="0" w:color="auto"/>
            <w:bottom w:val="none" w:sz="0" w:space="0" w:color="auto"/>
            <w:right w:val="none" w:sz="0" w:space="0" w:color="auto"/>
          </w:divBdr>
        </w:div>
        <w:div w:id="1332101540">
          <w:marLeft w:val="0"/>
          <w:marRight w:val="0"/>
          <w:marTop w:val="0"/>
          <w:marBottom w:val="0"/>
          <w:divBdr>
            <w:top w:val="none" w:sz="0" w:space="0" w:color="auto"/>
            <w:left w:val="none" w:sz="0" w:space="0" w:color="auto"/>
            <w:bottom w:val="none" w:sz="0" w:space="0" w:color="auto"/>
            <w:right w:val="none" w:sz="0" w:space="0" w:color="auto"/>
          </w:divBdr>
        </w:div>
        <w:div w:id="1193693063">
          <w:marLeft w:val="0"/>
          <w:marRight w:val="0"/>
          <w:marTop w:val="0"/>
          <w:marBottom w:val="0"/>
          <w:divBdr>
            <w:top w:val="none" w:sz="0" w:space="0" w:color="auto"/>
            <w:left w:val="none" w:sz="0" w:space="0" w:color="auto"/>
            <w:bottom w:val="none" w:sz="0" w:space="0" w:color="auto"/>
            <w:right w:val="none" w:sz="0" w:space="0" w:color="auto"/>
          </w:divBdr>
        </w:div>
        <w:div w:id="441997294">
          <w:marLeft w:val="0"/>
          <w:marRight w:val="0"/>
          <w:marTop w:val="0"/>
          <w:marBottom w:val="0"/>
          <w:divBdr>
            <w:top w:val="none" w:sz="0" w:space="0" w:color="auto"/>
            <w:left w:val="none" w:sz="0" w:space="0" w:color="auto"/>
            <w:bottom w:val="none" w:sz="0" w:space="0" w:color="auto"/>
            <w:right w:val="none" w:sz="0" w:space="0" w:color="auto"/>
          </w:divBdr>
        </w:div>
        <w:div w:id="1478763167">
          <w:marLeft w:val="0"/>
          <w:marRight w:val="0"/>
          <w:marTop w:val="0"/>
          <w:marBottom w:val="0"/>
          <w:divBdr>
            <w:top w:val="none" w:sz="0" w:space="0" w:color="auto"/>
            <w:left w:val="none" w:sz="0" w:space="0" w:color="auto"/>
            <w:bottom w:val="none" w:sz="0" w:space="0" w:color="auto"/>
            <w:right w:val="none" w:sz="0" w:space="0" w:color="auto"/>
          </w:divBdr>
        </w:div>
        <w:div w:id="1658613153">
          <w:marLeft w:val="0"/>
          <w:marRight w:val="0"/>
          <w:marTop w:val="0"/>
          <w:marBottom w:val="0"/>
          <w:divBdr>
            <w:top w:val="none" w:sz="0" w:space="0" w:color="auto"/>
            <w:left w:val="none" w:sz="0" w:space="0" w:color="auto"/>
            <w:bottom w:val="none" w:sz="0" w:space="0" w:color="auto"/>
            <w:right w:val="none" w:sz="0" w:space="0" w:color="auto"/>
          </w:divBdr>
        </w:div>
        <w:div w:id="1799907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longbh@rfd.gov.v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arvez\APT%20Docs\AWF\AWF-IM4\Provisional%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82801-C27F-4167-AE3F-038FA2399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Provisional Agenda</Template>
  <TotalTime>3</TotalTime>
  <Pages>8</Pages>
  <Words>3152</Words>
  <Characters>17970</Characters>
  <Application>Microsoft Office Word</Application>
  <DocSecurity>0</DocSecurity>
  <Lines>149</Lines>
  <Paragraphs>42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lpstr> </vt:lpstr>
    </vt:vector>
  </TitlesOfParts>
  <Company>APT</Company>
  <LinksUpToDate>false</LinksUpToDate>
  <CharactersWithSpaces>21080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Arnold</dc:creator>
  <cp:keywords/>
  <dc:description/>
  <cp:lastModifiedBy>Forhadul Parvez</cp:lastModifiedBy>
  <cp:revision>7</cp:revision>
  <cp:lastPrinted>2016-07-20T01:00:00Z</cp:lastPrinted>
  <dcterms:created xsi:type="dcterms:W3CDTF">2019-01-15T03:26:00Z</dcterms:created>
  <dcterms:modified xsi:type="dcterms:W3CDTF">2019-01-15T03:29:00Z</dcterms:modified>
</cp:coreProperties>
</file>