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6C75FA" w:rsidRPr="00891D0B" w14:paraId="47A0DDEA" w14:textId="77777777" w:rsidTr="00214505">
        <w:trPr>
          <w:cantSplit/>
          <w:trHeight w:val="288"/>
        </w:trPr>
        <w:tc>
          <w:tcPr>
            <w:tcW w:w="1399" w:type="dxa"/>
            <w:vMerge w:val="restart"/>
          </w:tcPr>
          <w:p w14:paraId="5AADCA73" w14:textId="77777777" w:rsidR="006C75FA" w:rsidRPr="00891D0B" w:rsidRDefault="006C75FA" w:rsidP="0021450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50CB648D" wp14:editId="25DD5030">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583C7BBC" w14:textId="77777777" w:rsidR="006C75FA" w:rsidRPr="00891D0B" w:rsidRDefault="006C75FA" w:rsidP="00214505">
            <w:pPr>
              <w:spacing w:before="40"/>
              <w:rPr>
                <w:sz w:val="22"/>
                <w:szCs w:val="22"/>
              </w:rPr>
            </w:pPr>
            <w:r w:rsidRPr="00891D0B">
              <w:rPr>
                <w:sz w:val="22"/>
                <w:szCs w:val="22"/>
              </w:rPr>
              <w:t>ASIA-PACIFIC TELECOMMUNITY</w:t>
            </w:r>
          </w:p>
        </w:tc>
        <w:tc>
          <w:tcPr>
            <w:tcW w:w="2160" w:type="dxa"/>
          </w:tcPr>
          <w:p w14:paraId="2363D2F6" w14:textId="77777777" w:rsidR="006C75FA" w:rsidRPr="00891D0B" w:rsidRDefault="006C75FA" w:rsidP="00214505">
            <w:pPr>
              <w:pStyle w:val="Heading8"/>
              <w:spacing w:before="40"/>
              <w:rPr>
                <w:sz w:val="24"/>
                <w:szCs w:val="24"/>
              </w:rPr>
            </w:pPr>
            <w:r>
              <w:rPr>
                <w:sz w:val="24"/>
                <w:szCs w:val="24"/>
              </w:rPr>
              <w:t>Document No:</w:t>
            </w:r>
          </w:p>
        </w:tc>
      </w:tr>
      <w:tr w:rsidR="006C75FA" w:rsidRPr="00C15799" w14:paraId="2987AA99" w14:textId="77777777" w:rsidTr="00214505">
        <w:trPr>
          <w:cantSplit/>
          <w:trHeight w:val="504"/>
        </w:trPr>
        <w:tc>
          <w:tcPr>
            <w:tcW w:w="1399" w:type="dxa"/>
            <w:vMerge/>
          </w:tcPr>
          <w:p w14:paraId="016E3CD8" w14:textId="77777777" w:rsidR="006C75FA" w:rsidRPr="00891D0B" w:rsidRDefault="006C75FA" w:rsidP="00214505"/>
        </w:tc>
        <w:tc>
          <w:tcPr>
            <w:tcW w:w="5760" w:type="dxa"/>
            <w:vAlign w:val="center"/>
          </w:tcPr>
          <w:p w14:paraId="7D20CDFB" w14:textId="77777777" w:rsidR="006C75FA" w:rsidRDefault="006C75FA" w:rsidP="00214505">
            <w:pPr>
              <w:spacing w:before="40"/>
              <w:rPr>
                <w:b/>
              </w:rPr>
            </w:pPr>
            <w:r>
              <w:rPr>
                <w:b/>
              </w:rPr>
              <w:t>The 4th Meeting of the APT Conference Preparatory</w:t>
            </w:r>
          </w:p>
          <w:p w14:paraId="6E8B1A22" w14:textId="77777777" w:rsidR="006C75FA" w:rsidRPr="00891D0B" w:rsidRDefault="006C75FA" w:rsidP="00214505">
            <w:pPr>
              <w:spacing w:line="0" w:lineRule="atLeast"/>
            </w:pPr>
            <w:r>
              <w:rPr>
                <w:b/>
              </w:rPr>
              <w:t>Group for WRC-19 (APG19-4)</w:t>
            </w:r>
          </w:p>
        </w:tc>
        <w:tc>
          <w:tcPr>
            <w:tcW w:w="2160" w:type="dxa"/>
          </w:tcPr>
          <w:p w14:paraId="69766AC8" w14:textId="3706A4CC" w:rsidR="006C75FA" w:rsidRDefault="006C75FA" w:rsidP="00214505">
            <w:pPr>
              <w:spacing w:before="40"/>
              <w:rPr>
                <w:b/>
                <w:bCs/>
                <w:lang w:val="fr-FR"/>
              </w:rPr>
            </w:pPr>
            <w:r w:rsidRPr="00C96104">
              <w:rPr>
                <w:b/>
                <w:bCs/>
                <w:lang w:val="fr-FR"/>
              </w:rPr>
              <w:t>AP</w:t>
            </w:r>
            <w:r>
              <w:rPr>
                <w:b/>
                <w:bCs/>
                <w:lang w:val="fr-FR"/>
              </w:rPr>
              <w:t>G19-4/</w:t>
            </w:r>
            <w:r>
              <w:rPr>
                <w:b/>
                <w:bCs/>
                <w:lang w:val="fr-FR"/>
              </w:rPr>
              <w:t>OUT-03</w:t>
            </w:r>
          </w:p>
          <w:p w14:paraId="7EEB722A" w14:textId="77777777" w:rsidR="006C75FA" w:rsidRPr="007E1FDD" w:rsidRDefault="006C75FA" w:rsidP="00214505">
            <w:pPr>
              <w:rPr>
                <w:b/>
                <w:bCs/>
                <w:lang w:val="en-GB"/>
              </w:rPr>
            </w:pPr>
          </w:p>
        </w:tc>
      </w:tr>
      <w:tr w:rsidR="006C75FA" w:rsidRPr="00891D0B" w14:paraId="616091EF" w14:textId="77777777" w:rsidTr="00214505">
        <w:trPr>
          <w:cantSplit/>
          <w:trHeight w:val="288"/>
        </w:trPr>
        <w:tc>
          <w:tcPr>
            <w:tcW w:w="1399" w:type="dxa"/>
            <w:vMerge/>
          </w:tcPr>
          <w:p w14:paraId="54A87471" w14:textId="77777777" w:rsidR="006C75FA" w:rsidRPr="007E1FDD" w:rsidRDefault="006C75FA" w:rsidP="00214505">
            <w:pPr>
              <w:rPr>
                <w:lang w:val="en-GB"/>
              </w:rPr>
            </w:pPr>
          </w:p>
        </w:tc>
        <w:tc>
          <w:tcPr>
            <w:tcW w:w="5760" w:type="dxa"/>
            <w:vAlign w:val="bottom"/>
          </w:tcPr>
          <w:p w14:paraId="5D87EA1E" w14:textId="77777777" w:rsidR="006C75FA" w:rsidRPr="00712451" w:rsidRDefault="006C75FA" w:rsidP="00214505">
            <w:pPr>
              <w:spacing w:before="40"/>
              <w:rPr>
                <w:b/>
              </w:rPr>
            </w:pPr>
            <w:r>
              <w:t>7 – 12 January 2019</w:t>
            </w:r>
            <w:r w:rsidRPr="00891D0B">
              <w:t xml:space="preserve">, </w:t>
            </w:r>
            <w:r>
              <w:t>Busan, Republic of Korea</w:t>
            </w:r>
          </w:p>
        </w:tc>
        <w:tc>
          <w:tcPr>
            <w:tcW w:w="2160" w:type="dxa"/>
            <w:vAlign w:val="bottom"/>
          </w:tcPr>
          <w:p w14:paraId="422D5D49" w14:textId="77777777" w:rsidR="006C75FA" w:rsidRPr="007E1FDD" w:rsidRDefault="006C75FA" w:rsidP="00214505">
            <w:pPr>
              <w:spacing w:before="40"/>
              <w:rPr>
                <w:bCs/>
              </w:rPr>
            </w:pPr>
            <w:r>
              <w:rPr>
                <w:bCs/>
              </w:rPr>
              <w:t xml:space="preserve">12 January </w:t>
            </w:r>
            <w:r w:rsidRPr="007E1FDD">
              <w:rPr>
                <w:bCs/>
              </w:rPr>
              <w:t>201</w:t>
            </w:r>
            <w:r>
              <w:rPr>
                <w:bCs/>
              </w:rPr>
              <w:t>9</w:t>
            </w:r>
          </w:p>
        </w:tc>
      </w:tr>
    </w:tbl>
    <w:p w14:paraId="2E0E673C" w14:textId="77777777" w:rsidR="00D13D9D" w:rsidRPr="00441526" w:rsidRDefault="00D13D9D" w:rsidP="006C75FA">
      <w:pPr>
        <w:rPr>
          <w:lang w:val="en-NZ" w:eastAsia="ko-KR"/>
        </w:rPr>
      </w:pPr>
    </w:p>
    <w:p w14:paraId="623DE94B" w14:textId="77777777" w:rsidR="006C75FA" w:rsidRDefault="006C75FA" w:rsidP="006C75FA">
      <w:pPr>
        <w:jc w:val="center"/>
        <w:rPr>
          <w:lang w:val="en-NZ"/>
        </w:rPr>
      </w:pPr>
    </w:p>
    <w:p w14:paraId="2E0E6743" w14:textId="14ECF9F5" w:rsidR="00930E64" w:rsidRPr="00441526" w:rsidRDefault="006C75FA" w:rsidP="006C75FA">
      <w:pPr>
        <w:jc w:val="center"/>
        <w:rPr>
          <w:lang w:val="en-NZ"/>
        </w:rPr>
      </w:pPr>
      <w:r>
        <w:rPr>
          <w:lang w:val="en-NZ"/>
        </w:rPr>
        <w:t>Working Party 3</w:t>
      </w:r>
    </w:p>
    <w:p w14:paraId="2E0E6745" w14:textId="77777777" w:rsidR="00B64A60" w:rsidRPr="00441526" w:rsidRDefault="00B64A60" w:rsidP="006C75FA">
      <w:pPr>
        <w:jc w:val="center"/>
        <w:rPr>
          <w:b/>
          <w:bCs/>
          <w:caps/>
          <w:lang w:val="en-NZ"/>
        </w:rPr>
      </w:pPr>
    </w:p>
    <w:p w14:paraId="2E0E6746" w14:textId="27E95A91" w:rsidR="00B64A60" w:rsidRPr="00441526" w:rsidRDefault="00B64A60" w:rsidP="006C75FA">
      <w:pPr>
        <w:jc w:val="center"/>
        <w:rPr>
          <w:b/>
          <w:bCs/>
          <w:caps/>
          <w:lang w:val="en-NZ"/>
        </w:rPr>
      </w:pPr>
      <w:r w:rsidRPr="00441526">
        <w:rPr>
          <w:b/>
          <w:bCs/>
          <w:caps/>
          <w:lang w:val="en-NZ"/>
        </w:rPr>
        <w:t xml:space="preserve">PRELIMINARY </w:t>
      </w:r>
      <w:r w:rsidR="004F67AF">
        <w:rPr>
          <w:b/>
          <w:bCs/>
          <w:caps/>
          <w:lang w:val="en-NZ"/>
        </w:rPr>
        <w:t>VIEWs on WRC-19 agenda item 9.1 Issue 9.1.3</w:t>
      </w:r>
    </w:p>
    <w:p w14:paraId="2E0E6747" w14:textId="77777777" w:rsidR="00B64A60" w:rsidRDefault="00B64A60" w:rsidP="006C75FA">
      <w:pPr>
        <w:rPr>
          <w:lang w:val="en-NZ"/>
        </w:rPr>
      </w:pPr>
    </w:p>
    <w:p w14:paraId="087ED6F9" w14:textId="77777777" w:rsidR="006C75FA" w:rsidRPr="00441526" w:rsidRDefault="006C75FA" w:rsidP="006C75FA">
      <w:pPr>
        <w:rPr>
          <w:lang w:val="en-NZ"/>
        </w:rPr>
      </w:pPr>
    </w:p>
    <w:p w14:paraId="092ABA2D" w14:textId="77777777" w:rsidR="004F67AF" w:rsidRDefault="004F67AF" w:rsidP="004F67AF">
      <w:pPr>
        <w:spacing w:afterLines="50" w:after="120"/>
      </w:pPr>
      <w:r>
        <w:rPr>
          <w:b/>
        </w:rPr>
        <w:t xml:space="preserve">Agenda item 9.1 - Issue 9.1.3: </w:t>
      </w:r>
    </w:p>
    <w:p w14:paraId="2E0E674A" w14:textId="59B7F21D" w:rsidR="00B64A60" w:rsidRPr="004F67AF" w:rsidRDefault="004F67AF" w:rsidP="004F67AF">
      <w:pPr>
        <w:spacing w:after="100" w:afterAutospacing="1"/>
        <w:rPr>
          <w:rFonts w:eastAsia="Times New Roman"/>
          <w:b/>
          <w:i/>
          <w:lang w:val="en-GB" w:bidi="en-US"/>
        </w:rPr>
      </w:pPr>
      <w:proofErr w:type="gramStart"/>
      <w:r>
        <w:rPr>
          <w:rFonts w:eastAsia="Times New Roman"/>
          <w:i/>
          <w:lang w:val="en-GB" w:bidi="en-US"/>
        </w:rPr>
        <w:t>to</w:t>
      </w:r>
      <w:proofErr w:type="gramEnd"/>
      <w:r>
        <w:rPr>
          <w:rFonts w:eastAsia="Times New Roman"/>
          <w:i/>
          <w:lang w:val="en-GB" w:bidi="en-US"/>
        </w:rPr>
        <w:t xml:space="preserve"> study  technical and operational issues and regulatory provisions for new </w:t>
      </w:r>
      <w:bookmarkStart w:id="0" w:name="OLE_LINK31"/>
      <w:bookmarkStart w:id="1" w:name="OLE_LINK30"/>
      <w:r>
        <w:rPr>
          <w:rFonts w:eastAsia="Times New Roman"/>
          <w:i/>
          <w:lang w:val="en-GB" w:bidi="en-US"/>
        </w:rPr>
        <w:t>non-geostationary-satellite orbit systems</w:t>
      </w:r>
      <w:bookmarkEnd w:id="0"/>
      <w:bookmarkEnd w:id="1"/>
      <w:r>
        <w:rPr>
          <w:rFonts w:eastAsia="Times New Roman"/>
          <w:i/>
          <w:lang w:val="en-GB" w:bidi="en-US"/>
        </w:rPr>
        <w:t xml:space="preserve"> in the 3 700-4 200 MHz, 4 500-4 800 MHz, 5 925-6 425 MHz and 6 725-7 025 MHz frequency bands allocated to the fixed-satellite service,</w:t>
      </w:r>
      <w:r>
        <w:rPr>
          <w:i/>
          <w:lang w:val="en-GB" w:eastAsia="ko-KR"/>
        </w:rPr>
        <w:t xml:space="preserve"> </w:t>
      </w:r>
      <w:r>
        <w:rPr>
          <w:i/>
        </w:rPr>
        <w:t xml:space="preserve">in accordance with Resolution </w:t>
      </w:r>
      <w:r>
        <w:rPr>
          <w:b/>
          <w:i/>
        </w:rPr>
        <w:t>15</w:t>
      </w:r>
      <w:r>
        <w:rPr>
          <w:b/>
          <w:i/>
          <w:lang w:eastAsia="ko-KR"/>
        </w:rPr>
        <w:t>7</w:t>
      </w:r>
      <w:r>
        <w:rPr>
          <w:b/>
          <w:i/>
        </w:rPr>
        <w:t xml:space="preserve"> (WRC-15)</w:t>
      </w:r>
      <w:r>
        <w:rPr>
          <w:rFonts w:eastAsia="Times New Roman"/>
          <w:i/>
          <w:lang w:val="en-GB" w:bidi="en-US"/>
        </w:rPr>
        <w:t>.</w:t>
      </w:r>
    </w:p>
    <w:p w14:paraId="31254357" w14:textId="76F805A3" w:rsidR="00363E12" w:rsidRPr="00321418" w:rsidRDefault="00B64A60" w:rsidP="00321418">
      <w:pPr>
        <w:spacing w:after="120"/>
        <w:jc w:val="both"/>
        <w:rPr>
          <w:b/>
          <w:lang w:val="en-NZ" w:eastAsia="ko-KR"/>
        </w:rPr>
      </w:pPr>
      <w:r w:rsidRPr="00441526">
        <w:rPr>
          <w:b/>
          <w:lang w:val="en-NZ" w:eastAsia="ko-KR"/>
        </w:rPr>
        <w:t xml:space="preserve">1. </w:t>
      </w:r>
      <w:r w:rsidRPr="00441526">
        <w:rPr>
          <w:b/>
          <w:lang w:val="en-NZ" w:eastAsia="ko-KR"/>
        </w:rPr>
        <w:tab/>
        <w:t>Background</w:t>
      </w:r>
    </w:p>
    <w:p w14:paraId="29AB174D" w14:textId="2FC03DF8" w:rsidR="00F11BCC" w:rsidRDefault="00F11BCC" w:rsidP="00363E12">
      <w:r w:rsidRPr="001D33F8">
        <w:t xml:space="preserve">WRC-19 agenda item 9.1, </w:t>
      </w:r>
      <w:r>
        <w:t>i</w:t>
      </w:r>
      <w:r w:rsidRPr="001D33F8">
        <w:t xml:space="preserve">ssue 9.1.3, in accordance with Resolution </w:t>
      </w:r>
      <w:r w:rsidRPr="001D33F8">
        <w:rPr>
          <w:b/>
        </w:rPr>
        <w:t>157 (WRC-15)</w:t>
      </w:r>
      <w:r w:rsidRPr="00373F53">
        <w:rPr>
          <w:bCs/>
        </w:rPr>
        <w:t>,</w:t>
      </w:r>
      <w:r w:rsidRPr="001D33F8">
        <w:t xml:space="preserve"> invites </w:t>
      </w:r>
      <w:r>
        <w:t>ITU-R</w:t>
      </w:r>
      <w:r w:rsidRPr="001D33F8">
        <w:t xml:space="preserve"> to study technical and operational issues and regulatory provisions </w:t>
      </w:r>
      <w:r>
        <w:t xml:space="preserve">for </w:t>
      </w:r>
      <w:r w:rsidRPr="001D33F8">
        <w:t xml:space="preserve">new circular-orbit </w:t>
      </w:r>
      <w:r w:rsidRPr="005B395A">
        <w:t>non-geostationary-satellite orbit</w:t>
      </w:r>
      <w:r>
        <w:t xml:space="preserve"> (</w:t>
      </w:r>
      <w:r w:rsidRPr="001D33F8">
        <w:t>non-GSO</w:t>
      </w:r>
      <w:r>
        <w:t>)</w:t>
      </w:r>
      <w:r w:rsidRPr="005B395A">
        <w:t xml:space="preserve"> systems </w:t>
      </w:r>
      <w:r w:rsidRPr="001D33F8">
        <w:t>in the 3 700-4 200 MHz, 4 500-4 800 MHz, 5 925-6 425 MHz, and 6 725-7 025 MHz</w:t>
      </w:r>
      <w:r>
        <w:t xml:space="preserve"> </w:t>
      </w:r>
      <w:r w:rsidRPr="001D33F8">
        <w:t xml:space="preserve">frequency bands allocated to the fixed-satellite service (FSS), while ensuring protection of </w:t>
      </w:r>
      <w:r>
        <w:t>existing services</w:t>
      </w:r>
      <w:r w:rsidRPr="001D33F8">
        <w:t>.</w:t>
      </w:r>
    </w:p>
    <w:p w14:paraId="23A9A03E" w14:textId="77777777" w:rsidR="00F11BCC" w:rsidRDefault="00F11BCC" w:rsidP="00363E12"/>
    <w:p w14:paraId="39BDB689" w14:textId="408EE37B" w:rsidR="00363E12" w:rsidRPr="00363E12" w:rsidRDefault="00363E12" w:rsidP="00363E12">
      <w:pPr>
        <w:rPr>
          <w:rFonts w:asciiTheme="majorBidi" w:hAnsiTheme="majorBidi" w:cstheme="majorBidi"/>
        </w:rPr>
      </w:pPr>
      <w:r w:rsidRPr="00363E12">
        <w:t xml:space="preserve">Article </w:t>
      </w:r>
      <w:r w:rsidRPr="00363E12">
        <w:rPr>
          <w:b/>
        </w:rPr>
        <w:t>21</w:t>
      </w:r>
      <w:r w:rsidRPr="00363E12">
        <w:t xml:space="preserve"> of the Radio Regulations contains provisions to ensure compatibility of non-GSO FSS operations with the fixed and mobile services. These provisions are in the form of </w:t>
      </w:r>
      <w:proofErr w:type="spellStart"/>
      <w:r w:rsidRPr="00363E12">
        <w:t>pfd</w:t>
      </w:r>
      <w:proofErr w:type="spellEnd"/>
      <w:r w:rsidRPr="00363E12">
        <w:t xml:space="preserve"> limits for non-GSO FSS systems. Similar to the sharing situations that led to the RR Article </w:t>
      </w:r>
      <w:r w:rsidRPr="00363E12">
        <w:rPr>
          <w:b/>
        </w:rPr>
        <w:t>22</w:t>
      </w:r>
      <w:r w:rsidRPr="00363E12">
        <w:t xml:space="preserve"> </w:t>
      </w:r>
      <w:proofErr w:type="spellStart"/>
      <w:r w:rsidRPr="00363E12">
        <w:t>epfd</w:t>
      </w:r>
      <w:proofErr w:type="spellEnd"/>
      <w:r w:rsidRPr="00363E12">
        <w:t xml:space="preserve"> limits to protect GSO systems, the existing RR Article </w:t>
      </w:r>
      <w:r w:rsidRPr="00363E12">
        <w:rPr>
          <w:b/>
        </w:rPr>
        <w:t>21</w:t>
      </w:r>
      <w:r w:rsidRPr="00363E12">
        <w:t xml:space="preserve"> </w:t>
      </w:r>
      <w:proofErr w:type="spellStart"/>
      <w:r w:rsidRPr="00363E12">
        <w:t>pfd</w:t>
      </w:r>
      <w:proofErr w:type="spellEnd"/>
      <w:r w:rsidRPr="00363E12">
        <w:t xml:space="preserve"> limits for 3 700-4 200 MHz</w:t>
      </w:r>
      <w:r w:rsidR="00C36A60">
        <w:t xml:space="preserve"> frequency band</w:t>
      </w:r>
      <w:r w:rsidRPr="00363E12">
        <w:rPr>
          <w:color w:val="0D0D0D"/>
        </w:rPr>
        <w:t xml:space="preserve"> </w:t>
      </w:r>
      <w:r w:rsidRPr="00363E12">
        <w:t xml:space="preserve">were established based solely on sharing studies between HEO non-GSO </w:t>
      </w:r>
      <w:r w:rsidRPr="00363E12">
        <w:rPr>
          <w:rFonts w:asciiTheme="majorBidi" w:hAnsiTheme="majorBidi" w:cstheme="majorBidi"/>
        </w:rPr>
        <w:t xml:space="preserve">systems and the fixed and mobile services. </w:t>
      </w:r>
      <w:r w:rsidRPr="00363E12">
        <w:rPr>
          <w:rStyle w:val="ECCParagraph"/>
          <w:rFonts w:asciiTheme="majorBidi" w:hAnsiTheme="majorBidi" w:cstheme="majorBidi"/>
          <w:sz w:val="24"/>
        </w:rPr>
        <w:t>New non-GSO systems that seek to operate in these frequency bands may utilize different types of orbits.</w:t>
      </w:r>
      <w:r w:rsidRPr="00363E12">
        <w:rPr>
          <w:rFonts w:asciiTheme="majorBidi" w:hAnsiTheme="majorBidi" w:cstheme="majorBidi"/>
          <w:highlight w:val="yellow"/>
        </w:rPr>
        <w:t xml:space="preserve"> </w:t>
      </w:r>
    </w:p>
    <w:p w14:paraId="747D1D8B" w14:textId="77777777" w:rsidR="00363E12" w:rsidRPr="00363E12" w:rsidRDefault="00363E12" w:rsidP="00363E12">
      <w:pPr>
        <w:rPr>
          <w:rStyle w:val="ECCParagraph"/>
          <w:rFonts w:asciiTheme="majorBidi" w:hAnsiTheme="majorBidi" w:cstheme="majorBidi"/>
          <w:sz w:val="24"/>
        </w:rPr>
      </w:pPr>
    </w:p>
    <w:p w14:paraId="3E1082E8" w14:textId="4301CB02" w:rsidR="00363E12" w:rsidRPr="00363E12" w:rsidRDefault="00363E12" w:rsidP="00363E12">
      <w:r w:rsidRPr="00363E12">
        <w:t>Article</w:t>
      </w:r>
      <w:r w:rsidRPr="00363E12">
        <w:rPr>
          <w:lang w:eastAsia="zh-CN"/>
        </w:rPr>
        <w:t xml:space="preserve"> </w:t>
      </w:r>
      <w:r w:rsidRPr="00363E12">
        <w:rPr>
          <w:b/>
          <w:lang w:eastAsia="zh-CN"/>
        </w:rPr>
        <w:t>22</w:t>
      </w:r>
      <w:r w:rsidRPr="00363E12">
        <w:rPr>
          <w:lang w:eastAsia="zh-CN"/>
        </w:rPr>
        <w:t xml:space="preserve"> of the Radio Regulations contains provisions to ensure </w:t>
      </w:r>
      <w:r w:rsidRPr="00363E12">
        <w:rPr>
          <w:rFonts w:eastAsia="MS Mincho"/>
          <w:lang w:eastAsia="ja-JP"/>
        </w:rPr>
        <w:t>compatibility of non-GSO</w:t>
      </w:r>
      <w:r w:rsidRPr="00363E12">
        <w:t xml:space="preserve">FSS </w:t>
      </w:r>
      <w:r w:rsidRPr="00363E12">
        <w:rPr>
          <w:rFonts w:eastAsia="MS Mincho"/>
          <w:lang w:eastAsia="ja-JP"/>
        </w:rPr>
        <w:t xml:space="preserve">operations </w:t>
      </w:r>
      <w:r w:rsidRPr="00363E12">
        <w:rPr>
          <w:lang w:eastAsia="ko-KR"/>
        </w:rPr>
        <w:t>with GSO networks</w:t>
      </w:r>
      <w:r w:rsidRPr="00363E12">
        <w:t>. Among these provisions are uplink and downlink equivalent power flux density (</w:t>
      </w:r>
      <w:proofErr w:type="spellStart"/>
      <w:r w:rsidRPr="00363E12">
        <w:t>epfd</w:t>
      </w:r>
      <w:proofErr w:type="spellEnd"/>
      <w:r w:rsidRPr="00363E12">
        <w:t xml:space="preserve">↑ and </w:t>
      </w:r>
      <w:proofErr w:type="spellStart"/>
      <w:r w:rsidRPr="00363E12">
        <w:t>epfd</w:t>
      </w:r>
      <w:proofErr w:type="spellEnd"/>
      <w:r w:rsidRPr="00363E12">
        <w:rPr>
          <w:lang w:eastAsia="zh-CN"/>
        </w:rPr>
        <w:t>↓</w:t>
      </w:r>
      <w:r w:rsidRPr="00363E12">
        <w:t xml:space="preserve">) limits to protect GSO networks from unacceptable interference. Regulatory provisions in RR Article </w:t>
      </w:r>
      <w:r w:rsidRPr="00363E12">
        <w:rPr>
          <w:b/>
        </w:rPr>
        <w:t xml:space="preserve">22 </w:t>
      </w:r>
      <w:r w:rsidRPr="00363E12">
        <w:t xml:space="preserve">for sharing between non-GSO FSS systems and GSO FSS networks operating in the 6/4 GHz frequency bands were based on a particular type of non-GSO system using highly-elliptical orbits (HEO). The </w:t>
      </w:r>
      <w:proofErr w:type="spellStart"/>
      <w:r w:rsidRPr="00363E12">
        <w:t>epfd</w:t>
      </w:r>
      <w:proofErr w:type="spellEnd"/>
      <w:r w:rsidRPr="00363E12">
        <w:rPr>
          <w:lang w:eastAsia="zh-CN"/>
        </w:rPr>
        <w:t>↓</w:t>
      </w:r>
      <w:r w:rsidRPr="00363E12">
        <w:t xml:space="preserve"> limits in the 3 700-4 200 MHz (space-to-Earth) and </w:t>
      </w:r>
      <w:proofErr w:type="spellStart"/>
      <w:r w:rsidRPr="00363E12">
        <w:t>epfd</w:t>
      </w:r>
      <w:proofErr w:type="spellEnd"/>
      <w:r w:rsidRPr="00363E12">
        <w:t>↑ limits in the 5 925-6 725 MHz (Earth-to-space) frequency bands did not take into account circular-orbit non-GSO and therefore are more stringent than in other FSS bands that did consider circular orbit non-GSO systems.</w:t>
      </w:r>
    </w:p>
    <w:p w14:paraId="7EE36291" w14:textId="77777777" w:rsidR="00363E12" w:rsidRPr="00363E12" w:rsidRDefault="00363E12" w:rsidP="00363E12">
      <w:pPr>
        <w:rPr>
          <w:rStyle w:val="ECCParagraph"/>
          <w:sz w:val="24"/>
        </w:rPr>
      </w:pPr>
    </w:p>
    <w:p w14:paraId="7D9523F6" w14:textId="1A7ACFA8" w:rsidR="00363E12" w:rsidRDefault="00363E12" w:rsidP="00363E12">
      <w:pPr>
        <w:rPr>
          <w:rStyle w:val="ECCParagraph"/>
          <w:rFonts w:asciiTheme="majorBidi" w:hAnsiTheme="majorBidi" w:cstheme="majorBidi"/>
          <w:sz w:val="24"/>
        </w:rPr>
      </w:pPr>
      <w:r w:rsidRPr="00363E12">
        <w:rPr>
          <w:rStyle w:val="ECCParagraph"/>
          <w:rFonts w:asciiTheme="majorBidi" w:hAnsiTheme="majorBidi" w:cstheme="majorBidi"/>
          <w:sz w:val="24"/>
        </w:rPr>
        <w:t xml:space="preserve">RR Article </w:t>
      </w:r>
      <w:r w:rsidRPr="00363E12">
        <w:rPr>
          <w:rStyle w:val="ECCHLbold"/>
          <w:rFonts w:asciiTheme="majorBidi" w:hAnsiTheme="majorBidi" w:cstheme="majorBidi"/>
        </w:rPr>
        <w:t>22</w:t>
      </w:r>
      <w:r w:rsidRPr="00363E12">
        <w:rPr>
          <w:rStyle w:val="ECCParagraph"/>
          <w:rFonts w:asciiTheme="majorBidi" w:hAnsiTheme="majorBidi" w:cstheme="majorBidi"/>
          <w:sz w:val="24"/>
        </w:rPr>
        <w:t xml:space="preserve"> does not contain </w:t>
      </w:r>
      <w:proofErr w:type="spellStart"/>
      <w:r w:rsidRPr="00363E12">
        <w:rPr>
          <w:rStyle w:val="ECCParagraph"/>
          <w:rFonts w:asciiTheme="majorBidi" w:hAnsiTheme="majorBidi" w:cstheme="majorBidi"/>
          <w:sz w:val="24"/>
        </w:rPr>
        <w:t>epfd</w:t>
      </w:r>
      <w:proofErr w:type="spellEnd"/>
      <w:r w:rsidRPr="00363E12">
        <w:rPr>
          <w:rStyle w:val="ECCParagraph"/>
          <w:rFonts w:asciiTheme="majorBidi" w:hAnsiTheme="majorBidi" w:cstheme="majorBidi"/>
          <w:sz w:val="24"/>
        </w:rPr>
        <w:t xml:space="preserve">↓ and </w:t>
      </w:r>
      <w:proofErr w:type="spellStart"/>
      <w:r w:rsidRPr="00363E12">
        <w:rPr>
          <w:rStyle w:val="ECCParagraph"/>
          <w:rFonts w:asciiTheme="majorBidi" w:hAnsiTheme="majorBidi" w:cstheme="majorBidi"/>
          <w:sz w:val="24"/>
        </w:rPr>
        <w:t>epfd</w:t>
      </w:r>
      <w:proofErr w:type="spellEnd"/>
      <w:r w:rsidRPr="00363E12">
        <w:rPr>
          <w:rStyle w:val="ECCParagraph"/>
          <w:rFonts w:asciiTheme="majorBidi" w:hAnsiTheme="majorBidi" w:cstheme="majorBidi"/>
          <w:sz w:val="24"/>
        </w:rPr>
        <w:t xml:space="preserve">↑ limits for non-GSO systems in the frequency bands 4 500-4 800 MHz (space-to-Earth) and 6 725-7 025 MHz (Earth-to-space) allocated to the FSS, the use of which is subject to the provisions of RR Appendix </w:t>
      </w:r>
      <w:r w:rsidRPr="00363E12">
        <w:rPr>
          <w:rStyle w:val="ECCHLbold"/>
          <w:rFonts w:asciiTheme="majorBidi" w:hAnsiTheme="majorBidi" w:cstheme="majorBidi"/>
        </w:rPr>
        <w:t>30B</w:t>
      </w:r>
      <w:r w:rsidRPr="00363E12">
        <w:rPr>
          <w:rStyle w:val="ECCParagraph"/>
          <w:rFonts w:asciiTheme="majorBidi" w:hAnsiTheme="majorBidi" w:cstheme="majorBidi"/>
          <w:sz w:val="24"/>
        </w:rPr>
        <w:t>.</w:t>
      </w:r>
    </w:p>
    <w:p w14:paraId="6A2113B2" w14:textId="77777777" w:rsidR="00823912" w:rsidRDefault="00823912" w:rsidP="00363E12">
      <w:pPr>
        <w:rPr>
          <w:rStyle w:val="ECCParagraph"/>
          <w:rFonts w:asciiTheme="majorBidi" w:hAnsiTheme="majorBidi" w:cstheme="majorBidi"/>
          <w:sz w:val="24"/>
        </w:rPr>
      </w:pPr>
    </w:p>
    <w:p w14:paraId="60FC332F" w14:textId="77615BAC" w:rsidR="00926098" w:rsidRDefault="004F67AF" w:rsidP="009C3210">
      <w:pPr>
        <w:rPr>
          <w:lang w:val="en-NZ"/>
        </w:rPr>
      </w:pPr>
      <w:r w:rsidRPr="00CC4D71">
        <w:rPr>
          <w:lang w:val="en-NZ"/>
        </w:rPr>
        <w:t>Working Party 4A (WP</w:t>
      </w:r>
      <w:r>
        <w:rPr>
          <w:lang w:val="en-NZ"/>
        </w:rPr>
        <w:t xml:space="preserve"> </w:t>
      </w:r>
      <w:r w:rsidRPr="00CC4D71">
        <w:rPr>
          <w:lang w:val="en-NZ"/>
        </w:rPr>
        <w:t>4A) has been identified as the responsible ITU-R group for the studies on WRC-15 Agenda item 9.1, issue 9.1.3.</w:t>
      </w:r>
      <w:bookmarkStart w:id="2" w:name="OLE_LINK75"/>
      <w:bookmarkStart w:id="3" w:name="OLE_LINK76"/>
      <w:r w:rsidRPr="00CC4D71">
        <w:rPr>
          <w:lang w:val="en-NZ"/>
        </w:rPr>
        <w:t xml:space="preserve"> </w:t>
      </w:r>
      <w:r w:rsidR="009C3210">
        <w:rPr>
          <w:rFonts w:eastAsiaTheme="minorEastAsia" w:hint="eastAsia"/>
          <w:lang w:val="en-NZ" w:eastAsia="zh-CN"/>
        </w:rPr>
        <w:t>D</w:t>
      </w:r>
      <w:r w:rsidR="00823912" w:rsidRPr="009C3210">
        <w:rPr>
          <w:lang w:val="en-NZ"/>
        </w:rPr>
        <w:t xml:space="preserve">raft </w:t>
      </w:r>
      <w:r w:rsidRPr="009C3210">
        <w:rPr>
          <w:lang w:val="en-NZ"/>
        </w:rPr>
        <w:t>CPM text</w:t>
      </w:r>
      <w:bookmarkStart w:id="4" w:name="_GoBack"/>
      <w:bookmarkEnd w:id="4"/>
      <w:r w:rsidRPr="009C3210">
        <w:rPr>
          <w:rFonts w:eastAsiaTheme="minorEastAsia" w:hint="eastAsia"/>
          <w:lang w:val="en-NZ" w:eastAsia="zh-CN"/>
        </w:rPr>
        <w:t xml:space="preserve"> </w:t>
      </w:r>
      <w:r w:rsidRPr="009C3210">
        <w:rPr>
          <w:lang w:val="en-NZ"/>
        </w:rPr>
        <w:t xml:space="preserve">for </w:t>
      </w:r>
      <w:r w:rsidR="009C3210">
        <w:rPr>
          <w:lang w:val="en-NZ"/>
        </w:rPr>
        <w:t>this issue</w:t>
      </w:r>
      <w:r w:rsidR="009C3210">
        <w:rPr>
          <w:rFonts w:eastAsia="SimSun"/>
          <w:lang w:eastAsia="zh-CN"/>
        </w:rPr>
        <w:t xml:space="preserve"> was developed</w:t>
      </w:r>
      <w:bookmarkEnd w:id="2"/>
      <w:bookmarkEnd w:id="3"/>
      <w:r w:rsidR="009C3210">
        <w:t xml:space="preserve"> and </w:t>
      </w:r>
      <w:r w:rsidR="009C3210">
        <w:rPr>
          <w:rFonts w:eastAsia="SimSun"/>
          <w:bCs/>
          <w:lang w:eastAsia="zh-CN"/>
        </w:rPr>
        <w:t>two</w:t>
      </w:r>
      <w:r w:rsidR="00363E12" w:rsidRPr="002F62BA">
        <w:rPr>
          <w:rFonts w:eastAsia="SimSun"/>
          <w:bCs/>
          <w:lang w:eastAsia="zh-CN"/>
        </w:rPr>
        <w:t xml:space="preserve"> </w:t>
      </w:r>
      <w:r w:rsidR="00363E12" w:rsidRPr="002F62BA">
        <w:rPr>
          <w:rFonts w:eastAsia="SimSun"/>
          <w:bCs/>
          <w:lang w:eastAsia="zh-CN"/>
        </w:rPr>
        <w:lastRenderedPageBreak/>
        <w:t>studies</w:t>
      </w:r>
      <w:r w:rsidR="00363E12">
        <w:rPr>
          <w:rFonts w:eastAsia="SimSun"/>
          <w:bCs/>
          <w:lang w:eastAsia="zh-CN"/>
        </w:rPr>
        <w:t xml:space="preserve"> were indicated as conclusion. </w:t>
      </w:r>
      <w:r w:rsidR="00926098" w:rsidRPr="002F62BA">
        <w:rPr>
          <w:rFonts w:eastAsia="SimSun"/>
          <w:bCs/>
          <w:lang w:eastAsia="zh-CN"/>
        </w:rPr>
        <w:t xml:space="preserve">One study </w:t>
      </w:r>
      <w:r w:rsidR="00363E12">
        <w:rPr>
          <w:rFonts w:eastAsia="SimSun"/>
          <w:bCs/>
          <w:lang w:eastAsia="zh-CN"/>
        </w:rPr>
        <w:t>indicated</w:t>
      </w:r>
      <w:r w:rsidR="00926098" w:rsidRPr="002F62BA">
        <w:rPr>
          <w:rFonts w:eastAsia="SimSun"/>
          <w:bCs/>
          <w:lang w:eastAsia="zh-CN"/>
        </w:rPr>
        <w:t xml:space="preserve"> that there is no need to review  the values of the existing limits presented in Article </w:t>
      </w:r>
      <w:r w:rsidR="00926098" w:rsidRPr="00926098">
        <w:rPr>
          <w:rFonts w:eastAsia="SimSun"/>
          <w:b/>
          <w:bCs/>
          <w:lang w:eastAsia="zh-CN"/>
        </w:rPr>
        <w:t>22</w:t>
      </w:r>
      <w:r w:rsidR="00926098" w:rsidRPr="002F62BA">
        <w:rPr>
          <w:rFonts w:eastAsia="SimSun"/>
          <w:bCs/>
          <w:lang w:eastAsia="zh-CN"/>
        </w:rPr>
        <w:t xml:space="preserve"> </w:t>
      </w:r>
      <w:proofErr w:type="spellStart"/>
      <w:r w:rsidR="00926098" w:rsidRPr="002F62BA">
        <w:rPr>
          <w:rFonts w:eastAsia="SimSun"/>
          <w:bCs/>
          <w:lang w:eastAsia="zh-CN"/>
        </w:rPr>
        <w:t>epfd</w:t>
      </w:r>
      <w:proofErr w:type="spellEnd"/>
      <w:r w:rsidR="00926098" w:rsidRPr="002F62BA">
        <w:rPr>
          <w:rFonts w:eastAsia="SimSun"/>
          <w:bCs/>
          <w:lang w:eastAsia="zh-CN"/>
        </w:rPr>
        <w:t xml:space="preserve"> and Article </w:t>
      </w:r>
      <w:r w:rsidR="00926098" w:rsidRPr="00926098">
        <w:rPr>
          <w:rFonts w:eastAsia="SimSun"/>
          <w:b/>
          <w:bCs/>
          <w:lang w:eastAsia="zh-CN"/>
        </w:rPr>
        <w:t>21</w:t>
      </w:r>
      <w:r w:rsidR="00926098" w:rsidRPr="002F62BA">
        <w:rPr>
          <w:rFonts w:eastAsia="SimSun"/>
          <w:bCs/>
          <w:lang w:eastAsia="zh-CN"/>
        </w:rPr>
        <w:t xml:space="preserve"> </w:t>
      </w:r>
      <w:proofErr w:type="spellStart"/>
      <w:r w:rsidR="00926098" w:rsidRPr="002F62BA">
        <w:rPr>
          <w:rFonts w:eastAsia="SimSun"/>
          <w:bCs/>
          <w:lang w:eastAsia="zh-CN"/>
        </w:rPr>
        <w:t>pfd</w:t>
      </w:r>
      <w:proofErr w:type="spellEnd"/>
      <w:r w:rsidR="00926098" w:rsidRPr="002F62BA">
        <w:rPr>
          <w:rFonts w:eastAsia="SimSun"/>
          <w:bCs/>
          <w:lang w:eastAsia="zh-CN"/>
        </w:rPr>
        <w:t xml:space="preserve"> of the Radio Regulations for the 3 700 4 200 MHz, 4 500-4 800 MHz, 5 925-6 425 MHz, and 6 725-7 025 MHz frequency bands. Another study suggested </w:t>
      </w:r>
      <w:bookmarkStart w:id="5" w:name="OLE_LINK59"/>
      <w:bookmarkStart w:id="6" w:name="OLE_LINK60"/>
      <w:bookmarkStart w:id="7" w:name="OLE_LINK61"/>
      <w:r w:rsidR="00926098" w:rsidRPr="002F62BA">
        <w:rPr>
          <w:rFonts w:eastAsia="SimSun"/>
          <w:bCs/>
          <w:lang w:eastAsia="zh-CN"/>
        </w:rPr>
        <w:t xml:space="preserve">to establish coordination procedure in the frequency bands 3 700−4 200 MHz and 5 925−6 425 MHz between non-GSO FSS systems under RR No. </w:t>
      </w:r>
      <w:r w:rsidR="00926098" w:rsidRPr="00926098">
        <w:rPr>
          <w:rFonts w:eastAsia="SimSun"/>
          <w:b/>
          <w:bCs/>
          <w:lang w:eastAsia="zh-CN"/>
        </w:rPr>
        <w:t>9.12</w:t>
      </w:r>
      <w:bookmarkEnd w:id="5"/>
      <w:bookmarkEnd w:id="6"/>
      <w:bookmarkEnd w:id="7"/>
      <w:r w:rsidR="00926098" w:rsidRPr="002F62BA">
        <w:rPr>
          <w:rFonts w:eastAsia="SimSun"/>
          <w:bCs/>
          <w:lang w:eastAsia="zh-CN"/>
        </w:rPr>
        <w:t xml:space="preserve">, while keeping the values of the existing limits presented in Article </w:t>
      </w:r>
      <w:r w:rsidR="00926098" w:rsidRPr="00926098">
        <w:rPr>
          <w:rFonts w:eastAsia="SimSun"/>
          <w:b/>
          <w:bCs/>
          <w:lang w:eastAsia="zh-CN"/>
        </w:rPr>
        <w:t>22</w:t>
      </w:r>
      <w:r w:rsidR="00926098" w:rsidRPr="002F62BA">
        <w:rPr>
          <w:rFonts w:eastAsia="SimSun"/>
          <w:bCs/>
          <w:lang w:eastAsia="zh-CN"/>
        </w:rPr>
        <w:t xml:space="preserve"> </w:t>
      </w:r>
      <w:proofErr w:type="spellStart"/>
      <w:r w:rsidR="00926098" w:rsidRPr="002F62BA">
        <w:rPr>
          <w:rFonts w:eastAsia="SimSun"/>
          <w:bCs/>
          <w:lang w:eastAsia="zh-CN"/>
        </w:rPr>
        <w:t>epfd</w:t>
      </w:r>
      <w:proofErr w:type="spellEnd"/>
      <w:r w:rsidR="00926098" w:rsidRPr="002F62BA">
        <w:rPr>
          <w:rFonts w:eastAsia="SimSun"/>
          <w:bCs/>
          <w:lang w:eastAsia="zh-CN"/>
        </w:rPr>
        <w:t xml:space="preserve"> and Article </w:t>
      </w:r>
      <w:r w:rsidR="00926098" w:rsidRPr="00926098">
        <w:rPr>
          <w:rFonts w:eastAsia="SimSun"/>
          <w:b/>
          <w:bCs/>
          <w:lang w:eastAsia="zh-CN"/>
        </w:rPr>
        <w:t>21</w:t>
      </w:r>
      <w:r w:rsidR="00926098" w:rsidRPr="002F62BA">
        <w:rPr>
          <w:rFonts w:eastAsia="SimSun"/>
          <w:bCs/>
          <w:lang w:eastAsia="zh-CN"/>
        </w:rPr>
        <w:t xml:space="preserve"> </w:t>
      </w:r>
      <w:proofErr w:type="spellStart"/>
      <w:r w:rsidR="00926098" w:rsidRPr="002F62BA">
        <w:rPr>
          <w:rFonts w:eastAsia="SimSun"/>
          <w:bCs/>
          <w:lang w:eastAsia="zh-CN"/>
        </w:rPr>
        <w:t>pfd</w:t>
      </w:r>
      <w:proofErr w:type="spellEnd"/>
      <w:r w:rsidR="00926098" w:rsidRPr="002F62BA">
        <w:rPr>
          <w:rFonts w:eastAsia="SimSun"/>
          <w:bCs/>
          <w:lang w:eastAsia="zh-CN"/>
        </w:rPr>
        <w:t xml:space="preserve"> of the Radio Regulations no change.</w:t>
      </w:r>
    </w:p>
    <w:p w14:paraId="5897F6DC" w14:textId="77777777" w:rsidR="004F67AF" w:rsidRPr="009C3210" w:rsidRDefault="004F67AF" w:rsidP="00B64A60">
      <w:pPr>
        <w:jc w:val="both"/>
        <w:rPr>
          <w:lang w:val="en-NZ"/>
        </w:rPr>
      </w:pPr>
    </w:p>
    <w:p w14:paraId="2E0E6752" w14:textId="77777777" w:rsidR="00B64A60" w:rsidRPr="00441526" w:rsidRDefault="00B64A60" w:rsidP="00B64A60">
      <w:pPr>
        <w:spacing w:after="120"/>
        <w:jc w:val="both"/>
        <w:rPr>
          <w:b/>
          <w:lang w:val="en-NZ" w:eastAsia="ko-KR"/>
        </w:rPr>
      </w:pPr>
      <w:r w:rsidRPr="00441526">
        <w:rPr>
          <w:b/>
          <w:lang w:val="en-NZ" w:eastAsia="ko-KR"/>
        </w:rPr>
        <w:t xml:space="preserve">2. </w:t>
      </w:r>
      <w:r w:rsidRPr="00441526">
        <w:rPr>
          <w:b/>
          <w:lang w:val="en-NZ" w:eastAsia="ko-KR"/>
        </w:rPr>
        <w:tab/>
        <w:t>Documents</w:t>
      </w:r>
    </w:p>
    <w:p w14:paraId="17D0F5E4" w14:textId="799F6395" w:rsidR="009C3210" w:rsidRDefault="009C3210" w:rsidP="009C3210">
      <w:pPr>
        <w:pStyle w:val="ListParagraph"/>
        <w:numPr>
          <w:ilvl w:val="0"/>
          <w:numId w:val="25"/>
        </w:numPr>
        <w:spacing w:afterLines="50" w:after="120"/>
        <w:rPr>
          <w:lang w:val="en-NZ"/>
        </w:rPr>
      </w:pPr>
      <w:r w:rsidRPr="009C3210">
        <w:rPr>
          <w:lang w:val="en-NZ"/>
        </w:rPr>
        <w:t xml:space="preserve">Input Documents: </w:t>
      </w:r>
      <w:r w:rsidR="00601F41">
        <w:rPr>
          <w:lang w:val="en-NZ"/>
        </w:rPr>
        <w:t>APG19-4/INP-9 Rev.1 (Chairman of APT)</w:t>
      </w:r>
      <w:r w:rsidR="00601F41">
        <w:rPr>
          <w:rFonts w:asciiTheme="minorEastAsia" w:eastAsiaTheme="minorEastAsia" w:hAnsiTheme="minorEastAsia"/>
          <w:lang w:val="en-NZ" w:eastAsia="zh-CN"/>
        </w:rPr>
        <w:t xml:space="preserve">, </w:t>
      </w:r>
      <w:r w:rsidRPr="009C3210">
        <w:rPr>
          <w:lang w:val="en-NZ"/>
        </w:rPr>
        <w:t>APG19-4/INP-17 (AUS), APG19-4/INP-36 (THA, VTN), APG19-4/INP-61 (J), APG19-4/INP-77 (KOR), APG19-4/INP-98 (CHN), APG19-4/INP-120 (INS)</w:t>
      </w:r>
    </w:p>
    <w:p w14:paraId="0AF8F221" w14:textId="116CD917" w:rsidR="00B56099" w:rsidRPr="009C3210" w:rsidRDefault="009C3210" w:rsidP="009C3210">
      <w:pPr>
        <w:pStyle w:val="ListParagraph"/>
        <w:numPr>
          <w:ilvl w:val="0"/>
          <w:numId w:val="25"/>
        </w:numPr>
        <w:spacing w:afterLines="50" w:after="120"/>
        <w:rPr>
          <w:lang w:val="en-NZ"/>
        </w:rPr>
      </w:pPr>
      <w:r w:rsidRPr="009C3210">
        <w:rPr>
          <w:lang w:val="en-NZ"/>
        </w:rPr>
        <w:t>Information Documents: APG19-4/INF-04 (ICAO) , APG19-4/INF-22 (CITEL), APG19-4/INF-23 (CEPT), APG19-4/INF-24 (RCC), APG19-4/INF-27 (NPL)</w:t>
      </w:r>
    </w:p>
    <w:p w14:paraId="2E0E6757" w14:textId="450E4384" w:rsidR="00B64A60" w:rsidRPr="00441526" w:rsidRDefault="00B64A60" w:rsidP="00321418">
      <w:pPr>
        <w:spacing w:after="120"/>
        <w:jc w:val="both"/>
        <w:rPr>
          <w:b/>
          <w:lang w:val="en-NZ" w:eastAsia="ko-KR"/>
        </w:rPr>
      </w:pPr>
      <w:r w:rsidRPr="00441526">
        <w:rPr>
          <w:b/>
          <w:lang w:val="en-NZ" w:eastAsia="ko-KR"/>
        </w:rPr>
        <w:t xml:space="preserve">3. </w:t>
      </w:r>
      <w:r w:rsidRPr="00441526">
        <w:rPr>
          <w:b/>
          <w:lang w:val="en-NZ" w:eastAsia="ko-KR"/>
        </w:rPr>
        <w:tab/>
        <w:t xml:space="preserve">Summary of </w:t>
      </w:r>
      <w:r w:rsidR="00DF0EB4" w:rsidRPr="00441526">
        <w:rPr>
          <w:b/>
          <w:lang w:val="en-NZ" w:eastAsia="ko-KR"/>
        </w:rPr>
        <w:t>d</w:t>
      </w:r>
      <w:r w:rsidRPr="00441526">
        <w:rPr>
          <w:b/>
          <w:lang w:val="en-NZ" w:eastAsia="ko-KR"/>
        </w:rPr>
        <w:t>iscussions</w:t>
      </w:r>
    </w:p>
    <w:p w14:paraId="30F0C444" w14:textId="5B4E0B84" w:rsidR="00197C18" w:rsidRPr="00321418" w:rsidRDefault="004A2F96" w:rsidP="00321418">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 xml:space="preserve">of </w:t>
      </w:r>
      <w:r w:rsidR="00393DCD" w:rsidRPr="00441526">
        <w:rPr>
          <w:b/>
          <w:lang w:val="en-NZ" w:eastAsia="ko-KR"/>
        </w:rPr>
        <w:t xml:space="preserve">APT </w:t>
      </w:r>
      <w:r w:rsidRPr="00441526">
        <w:rPr>
          <w:b/>
          <w:lang w:val="en-NZ" w:eastAsia="ko-KR"/>
        </w:rPr>
        <w:t>Members’ view</w:t>
      </w:r>
      <w:r w:rsidR="00BC69DB" w:rsidRPr="00441526">
        <w:rPr>
          <w:b/>
          <w:lang w:val="en-NZ" w:eastAsia="ko-KR"/>
        </w:rPr>
        <w:t>s</w:t>
      </w:r>
    </w:p>
    <w:p w14:paraId="7E63EDDC" w14:textId="4F65CA2F" w:rsidR="009C3210" w:rsidRPr="00441526" w:rsidRDefault="00B56099" w:rsidP="009C3210">
      <w:pPr>
        <w:spacing w:after="120"/>
        <w:jc w:val="both"/>
        <w:rPr>
          <w:b/>
          <w:lang w:val="en-NZ" w:eastAsia="ko-KR"/>
        </w:rPr>
      </w:pPr>
      <w:r w:rsidRPr="00441526">
        <w:rPr>
          <w:b/>
          <w:lang w:val="en-NZ" w:eastAsia="ko-KR"/>
        </w:rPr>
        <w:t xml:space="preserve">3.1.1 </w:t>
      </w:r>
      <w:r w:rsidRPr="00441526">
        <w:rPr>
          <w:b/>
          <w:lang w:val="en-NZ" w:eastAsia="ko-KR"/>
        </w:rPr>
        <w:tab/>
      </w:r>
      <w:r w:rsidR="009C3210" w:rsidRPr="00926098">
        <w:rPr>
          <w:b/>
          <w:lang w:val="en-NZ" w:eastAsia="ko-KR"/>
        </w:rPr>
        <w:t>Australia</w:t>
      </w:r>
      <w:r w:rsidR="009C3210" w:rsidRPr="00441526">
        <w:t xml:space="preserve">- </w:t>
      </w:r>
      <w:r w:rsidR="009C3210">
        <w:rPr>
          <w:b/>
          <w:lang w:val="en-NZ" w:eastAsia="ko-KR"/>
        </w:rPr>
        <w:t>Document APG19-4/INP-17</w:t>
      </w:r>
    </w:p>
    <w:p w14:paraId="578D95FB" w14:textId="77777777" w:rsidR="009825DE" w:rsidRDefault="009825DE" w:rsidP="009825DE">
      <w:pPr>
        <w:spacing w:afterLines="50" w:after="120"/>
        <w:rPr>
          <w:lang w:val="en-AU"/>
        </w:rPr>
      </w:pPr>
      <w:bookmarkStart w:id="8" w:name="_Hlk526754801"/>
      <w:r w:rsidRPr="00094867">
        <w:rPr>
          <w:lang w:val="en-AU"/>
        </w:rPr>
        <w:t xml:space="preserve">Australia notes that the draft CPM19-2 Report indicates that studies undertaken by ITU-R, in accordance with Resolution </w:t>
      </w:r>
      <w:r w:rsidRPr="00094867">
        <w:rPr>
          <w:b/>
          <w:lang w:val="en-AU"/>
        </w:rPr>
        <w:t>157 (WRC-15)</w:t>
      </w:r>
      <w:r w:rsidRPr="00094867">
        <w:rPr>
          <w:lang w:val="en-AU"/>
        </w:rPr>
        <w:t xml:space="preserve">, lead to a conclusion that there is no need to review the values of the existing limits presented in RR Article </w:t>
      </w:r>
      <w:r w:rsidRPr="00094867">
        <w:rPr>
          <w:b/>
          <w:bCs/>
          <w:lang w:val="en-AU"/>
        </w:rPr>
        <w:t>22</w:t>
      </w:r>
      <w:r w:rsidRPr="00094867">
        <w:rPr>
          <w:lang w:val="en-AU"/>
        </w:rPr>
        <w:t xml:space="preserve"> (</w:t>
      </w:r>
      <w:proofErr w:type="spellStart"/>
      <w:r w:rsidRPr="00094867">
        <w:rPr>
          <w:lang w:val="en-AU"/>
        </w:rPr>
        <w:t>epfd</w:t>
      </w:r>
      <w:proofErr w:type="spellEnd"/>
      <w:r w:rsidRPr="00094867">
        <w:rPr>
          <w:lang w:val="en-AU"/>
        </w:rPr>
        <w:t xml:space="preserve">) and RR Article </w:t>
      </w:r>
      <w:r w:rsidRPr="00094867">
        <w:rPr>
          <w:b/>
          <w:bCs/>
          <w:lang w:val="en-AU"/>
        </w:rPr>
        <w:t>21</w:t>
      </w:r>
      <w:r w:rsidRPr="00094867">
        <w:rPr>
          <w:lang w:val="en-AU"/>
        </w:rPr>
        <w:t xml:space="preserve"> (</w:t>
      </w:r>
      <w:proofErr w:type="spellStart"/>
      <w:r w:rsidRPr="00094867">
        <w:rPr>
          <w:lang w:val="en-AU"/>
        </w:rPr>
        <w:t>pfd</w:t>
      </w:r>
      <w:proofErr w:type="spellEnd"/>
      <w:r w:rsidRPr="00094867">
        <w:rPr>
          <w:lang w:val="en-AU"/>
        </w:rPr>
        <w:t>) for the 3 700</w:t>
      </w:r>
      <w:r w:rsidRPr="00094867">
        <w:rPr>
          <w:lang w:val="en-AU"/>
        </w:rPr>
        <w:noBreakHyphen/>
        <w:t>4 200 MHz, 4 500-4 800 MHz, 5 925-6 425 MHz and 6 725-7 025 MHz frequency bands. Australia fully supports this conclusion.</w:t>
      </w:r>
    </w:p>
    <w:bookmarkEnd w:id="8"/>
    <w:p w14:paraId="6B8B2097" w14:textId="77777777" w:rsidR="009825DE" w:rsidRDefault="009825DE" w:rsidP="009825DE">
      <w:pPr>
        <w:spacing w:afterLines="50" w:after="120"/>
        <w:rPr>
          <w:lang w:val="en-AU"/>
        </w:rPr>
      </w:pPr>
      <w:r w:rsidRPr="00094867">
        <w:rPr>
          <w:lang w:val="en-AU"/>
        </w:rPr>
        <w:t>Australia also notes, and agrees with, the APT Preliminary View on this agenda item from the APG19-3 meeting of 16 March, 2018.</w:t>
      </w:r>
    </w:p>
    <w:p w14:paraId="3D6A1883" w14:textId="552DA79A" w:rsidR="00926098" w:rsidRPr="009825DE" w:rsidRDefault="009825DE" w:rsidP="009825DE">
      <w:pPr>
        <w:spacing w:afterLines="50" w:after="120"/>
        <w:rPr>
          <w:lang w:val="en-AU"/>
        </w:rPr>
      </w:pPr>
      <w:r w:rsidRPr="00094867">
        <w:rPr>
          <w:lang w:val="en-AU"/>
        </w:rPr>
        <w:t>Australia is therefore of the view that No Change to the Radio Regulations is an appropriate conclusion to be recommended to the Director of the ITU Radiocommunication Bureau for inclusion in his report to WRC-19 on agenda item 9.1, issue 9.1.3.</w:t>
      </w:r>
    </w:p>
    <w:p w14:paraId="68AAA50C" w14:textId="25B4FF77" w:rsidR="00321418" w:rsidRDefault="00926098" w:rsidP="00F11BCC">
      <w:pPr>
        <w:spacing w:afterLines="50" w:after="120"/>
        <w:jc w:val="both"/>
        <w:rPr>
          <w:b/>
          <w:lang w:val="en-NZ" w:eastAsia="ko-KR"/>
        </w:rPr>
      </w:pPr>
      <w:r>
        <w:rPr>
          <w:b/>
          <w:lang w:val="en-NZ" w:eastAsia="ko-KR"/>
        </w:rPr>
        <w:t xml:space="preserve">3.1.2 </w:t>
      </w:r>
      <w:r>
        <w:rPr>
          <w:b/>
          <w:lang w:val="en-NZ" w:eastAsia="ko-KR"/>
        </w:rPr>
        <w:tab/>
      </w:r>
      <w:bookmarkStart w:id="9" w:name="OLE_LINK1"/>
      <w:bookmarkStart w:id="10" w:name="OLE_LINK2"/>
      <w:r w:rsidR="009825DE" w:rsidRPr="00601F41">
        <w:rPr>
          <w:rFonts w:eastAsiaTheme="minorEastAsia"/>
          <w:b/>
          <w:lang w:val="en-NZ" w:eastAsia="zh-CN"/>
        </w:rPr>
        <w:t>Thailand and Viet Nam</w:t>
      </w:r>
      <w:bookmarkEnd w:id="9"/>
      <w:bookmarkEnd w:id="10"/>
      <w:r w:rsidR="00D416A3" w:rsidRPr="00441526">
        <w:t xml:space="preserve">- </w:t>
      </w:r>
      <w:r w:rsidR="009825DE">
        <w:rPr>
          <w:b/>
          <w:lang w:val="en-NZ" w:eastAsia="ko-KR"/>
        </w:rPr>
        <w:t>Document APG19-4</w:t>
      </w:r>
      <w:r>
        <w:rPr>
          <w:b/>
          <w:lang w:val="en-NZ" w:eastAsia="ko-KR"/>
        </w:rPr>
        <w:t>/INP-</w:t>
      </w:r>
      <w:r w:rsidR="009825DE">
        <w:rPr>
          <w:b/>
          <w:lang w:val="en-NZ" w:eastAsia="ko-KR"/>
        </w:rPr>
        <w:t>36</w:t>
      </w:r>
    </w:p>
    <w:p w14:paraId="238C9DFF" w14:textId="6A42561D" w:rsidR="00321418" w:rsidRDefault="009825DE" w:rsidP="009825DE">
      <w:pPr>
        <w:spacing w:afterLines="50" w:after="120"/>
        <w:jc w:val="thaiDistribute"/>
      </w:pPr>
      <w:r w:rsidRPr="00AB0D98">
        <w:rPr>
          <w:lang w:val="en-GB"/>
        </w:rPr>
        <w:t xml:space="preserve">Based on results of ITU-R studies, Thailand </w:t>
      </w:r>
      <w:r>
        <w:rPr>
          <w:lang w:val="en-GB"/>
        </w:rPr>
        <w:t>and Viet Nam are</w:t>
      </w:r>
      <w:r w:rsidRPr="00AB0D98">
        <w:rPr>
          <w:lang w:val="en-GB"/>
        </w:rPr>
        <w:t xml:space="preserve"> of the view that no modification is required for the values of the existing limits presented in Article</w:t>
      </w:r>
      <w:r w:rsidRPr="00AB0D98">
        <w:rPr>
          <w:b/>
          <w:bCs/>
          <w:lang w:val="en-GB"/>
        </w:rPr>
        <w:t xml:space="preserve"> </w:t>
      </w:r>
      <w:r w:rsidRPr="009825DE">
        <w:rPr>
          <w:b/>
          <w:lang w:val="en-GB"/>
        </w:rPr>
        <w:t xml:space="preserve">22 </w:t>
      </w:r>
      <w:proofErr w:type="spellStart"/>
      <w:r w:rsidRPr="00AB0D98">
        <w:rPr>
          <w:lang w:val="en-GB"/>
        </w:rPr>
        <w:t>epfd</w:t>
      </w:r>
      <w:proofErr w:type="spellEnd"/>
      <w:r w:rsidRPr="00AB0D98">
        <w:rPr>
          <w:lang w:val="en-GB"/>
        </w:rPr>
        <w:t xml:space="preserve"> and Article </w:t>
      </w:r>
      <w:r w:rsidRPr="009825DE">
        <w:rPr>
          <w:b/>
          <w:lang w:val="en-GB"/>
        </w:rPr>
        <w:t xml:space="preserve">21 </w:t>
      </w:r>
      <w:proofErr w:type="spellStart"/>
      <w:r w:rsidRPr="00AB0D98">
        <w:rPr>
          <w:lang w:val="en-GB"/>
        </w:rPr>
        <w:t>pfd</w:t>
      </w:r>
      <w:proofErr w:type="spellEnd"/>
      <w:r w:rsidRPr="00AB0D98">
        <w:rPr>
          <w:lang w:val="en-GB"/>
        </w:rPr>
        <w:t xml:space="preserve"> of the Radio Regulations for the frequency</w:t>
      </w:r>
      <w:r w:rsidRPr="00AB0D98">
        <w:rPr>
          <w:cs/>
        </w:rPr>
        <w:t xml:space="preserve"> </w:t>
      </w:r>
      <w:r w:rsidRPr="00AB0D98">
        <w:rPr>
          <w:lang w:val="en-GB"/>
        </w:rPr>
        <w:t>3 700 - 4 200 MHz,  4 500-4 800 MHz, 5 925-6 425 MHz, and 6 725-7 025 MHz</w:t>
      </w:r>
      <w:r w:rsidRPr="00AB0D98">
        <w:t>.</w:t>
      </w:r>
    </w:p>
    <w:p w14:paraId="46FE5A04" w14:textId="13C59705" w:rsidR="00B56099" w:rsidRPr="00441526" w:rsidRDefault="00926098" w:rsidP="00B56099">
      <w:pPr>
        <w:spacing w:after="120"/>
        <w:jc w:val="both"/>
        <w:rPr>
          <w:b/>
          <w:lang w:val="en-NZ" w:eastAsia="ko-KR"/>
        </w:rPr>
      </w:pPr>
      <w:bookmarkStart w:id="11" w:name="OLE_LINK23"/>
      <w:r>
        <w:rPr>
          <w:b/>
          <w:lang w:val="en-NZ" w:eastAsia="ko-KR"/>
        </w:rPr>
        <w:t>3.1.3</w:t>
      </w:r>
      <w:r w:rsidR="00B56099" w:rsidRPr="00441526">
        <w:rPr>
          <w:b/>
          <w:lang w:val="en-NZ" w:eastAsia="ko-KR"/>
        </w:rPr>
        <w:tab/>
      </w:r>
      <w:bookmarkStart w:id="12" w:name="OLE_LINK21"/>
      <w:bookmarkStart w:id="13" w:name="OLE_LINK22"/>
      <w:bookmarkStart w:id="14" w:name="OLE_LINK24"/>
      <w:bookmarkStart w:id="15" w:name="OLE_LINK25"/>
      <w:r w:rsidR="009825DE">
        <w:rPr>
          <w:b/>
          <w:lang w:val="en-NZ" w:eastAsia="ko-KR"/>
        </w:rPr>
        <w:t>J</w:t>
      </w:r>
      <w:r w:rsidR="009825DE">
        <w:rPr>
          <w:rFonts w:eastAsiaTheme="minorEastAsia" w:hint="eastAsia"/>
          <w:b/>
          <w:lang w:val="en-NZ" w:eastAsia="zh-CN"/>
        </w:rPr>
        <w:t>apan</w:t>
      </w:r>
      <w:r w:rsidR="00D416A3" w:rsidRPr="00441526">
        <w:t xml:space="preserve">- </w:t>
      </w:r>
      <w:r w:rsidR="009825DE">
        <w:rPr>
          <w:b/>
          <w:lang w:val="en-NZ" w:eastAsia="ko-KR"/>
        </w:rPr>
        <w:t>Document APG19-4/INP-61</w:t>
      </w:r>
    </w:p>
    <w:bookmarkEnd w:id="11"/>
    <w:bookmarkEnd w:id="12"/>
    <w:bookmarkEnd w:id="13"/>
    <w:bookmarkEnd w:id="14"/>
    <w:bookmarkEnd w:id="15"/>
    <w:p w14:paraId="5443DF8D" w14:textId="73AF2DCE" w:rsidR="00441526" w:rsidRDefault="009825DE" w:rsidP="00926098">
      <w:pPr>
        <w:tabs>
          <w:tab w:val="left" w:pos="3390"/>
        </w:tabs>
        <w:spacing w:after="100" w:afterAutospacing="1"/>
        <w:rPr>
          <w:rFonts w:eastAsiaTheme="minorEastAsia"/>
          <w:color w:val="0000FF"/>
          <w:lang w:bidi="en-US"/>
        </w:rPr>
      </w:pPr>
      <w:r>
        <w:rPr>
          <w:rFonts w:eastAsiaTheme="minorEastAsia"/>
          <w:lang w:eastAsia="ja-JP"/>
        </w:rPr>
        <w:t xml:space="preserve">Japan supports ITU-R studies that it would be difficult to </w:t>
      </w:r>
      <w:r w:rsidRPr="00430B37">
        <w:rPr>
          <w:rFonts w:eastAsiaTheme="minorEastAsia"/>
          <w:lang w:eastAsia="ja-JP"/>
        </w:rPr>
        <w:t xml:space="preserve">coexistence </w:t>
      </w:r>
      <w:r>
        <w:rPr>
          <w:rFonts w:eastAsiaTheme="minorEastAsia"/>
          <w:lang w:eastAsia="ja-JP"/>
        </w:rPr>
        <w:t xml:space="preserve">between NGSO FSS and GSO FSS in the frequency bands </w:t>
      </w:r>
      <w:r w:rsidRPr="00BF48D5">
        <w:rPr>
          <w:rFonts w:eastAsiaTheme="minorEastAsia"/>
          <w:lang w:val="en-GB" w:eastAsia="ja-JP"/>
        </w:rPr>
        <w:t xml:space="preserve">3 700-4 200 MHz, 4 500-4 800 MHz, 5 925-6 425 MHz and 6 725-7 025 </w:t>
      </w:r>
      <w:proofErr w:type="spellStart"/>
      <w:r w:rsidRPr="00BF48D5">
        <w:rPr>
          <w:rFonts w:eastAsiaTheme="minorEastAsia"/>
          <w:lang w:val="en-GB" w:eastAsia="ja-JP"/>
        </w:rPr>
        <w:t>MHz</w:t>
      </w:r>
      <w:r>
        <w:rPr>
          <w:rFonts w:eastAsiaTheme="minorEastAsia"/>
          <w:lang w:val="en-GB" w:eastAsia="ja-JP"/>
        </w:rPr>
        <w:t>.</w:t>
      </w:r>
      <w:proofErr w:type="spellEnd"/>
      <w:r>
        <w:rPr>
          <w:rFonts w:eastAsiaTheme="minorEastAsia"/>
          <w:lang w:val="en-GB" w:eastAsia="ja-JP"/>
        </w:rPr>
        <w:t xml:space="preserve"> Therefore, Japan supports no change to the </w:t>
      </w:r>
      <w:r w:rsidRPr="007270E9">
        <w:rPr>
          <w:rFonts w:eastAsiaTheme="minorEastAsia"/>
          <w:lang w:val="en-GB" w:eastAsia="ja-JP"/>
        </w:rPr>
        <w:t>R</w:t>
      </w:r>
      <w:r>
        <w:rPr>
          <w:rFonts w:eastAsiaTheme="minorEastAsia" w:hint="eastAsia"/>
          <w:lang w:val="en-GB" w:eastAsia="ja-JP"/>
        </w:rPr>
        <w:t>R</w:t>
      </w:r>
      <w:r>
        <w:rPr>
          <w:rFonts w:eastAsiaTheme="minorEastAsia"/>
          <w:lang w:val="en-GB" w:eastAsia="ja-JP"/>
        </w:rPr>
        <w:t>.</w:t>
      </w:r>
    </w:p>
    <w:p w14:paraId="74F7A17B" w14:textId="33BC7D5C" w:rsidR="00926098" w:rsidRPr="00441526" w:rsidRDefault="00926098" w:rsidP="00926098">
      <w:pPr>
        <w:spacing w:after="120"/>
        <w:jc w:val="both"/>
        <w:rPr>
          <w:b/>
          <w:lang w:val="en-NZ" w:eastAsia="ko-KR"/>
        </w:rPr>
      </w:pPr>
      <w:bookmarkStart w:id="16" w:name="OLE_LINK28"/>
      <w:r>
        <w:rPr>
          <w:b/>
          <w:lang w:val="en-NZ" w:eastAsia="ko-KR"/>
        </w:rPr>
        <w:t>3.1.4</w:t>
      </w:r>
      <w:r w:rsidRPr="00441526">
        <w:rPr>
          <w:b/>
          <w:lang w:val="en-NZ" w:eastAsia="ko-KR"/>
        </w:rPr>
        <w:tab/>
      </w:r>
      <w:r w:rsidR="009825DE" w:rsidRPr="009825DE">
        <w:rPr>
          <w:b/>
          <w:lang w:val="en-NZ" w:eastAsia="ko-KR"/>
        </w:rPr>
        <w:t>Korea (Rep. of)</w:t>
      </w:r>
      <w:r w:rsidR="009825DE">
        <w:rPr>
          <w:b/>
          <w:lang w:val="en-NZ" w:eastAsia="ko-KR"/>
        </w:rPr>
        <w:t xml:space="preserve"> </w:t>
      </w:r>
      <w:r w:rsidRPr="00441526">
        <w:t xml:space="preserve">- </w:t>
      </w:r>
      <w:r w:rsidR="009D3066">
        <w:rPr>
          <w:b/>
          <w:lang w:val="en-NZ" w:eastAsia="ko-KR"/>
        </w:rPr>
        <w:t>Document APG19-4</w:t>
      </w:r>
      <w:r w:rsidR="009825DE">
        <w:rPr>
          <w:b/>
          <w:lang w:val="en-NZ" w:eastAsia="ko-KR"/>
        </w:rPr>
        <w:t>/INP-77</w:t>
      </w:r>
    </w:p>
    <w:bookmarkEnd w:id="16"/>
    <w:p w14:paraId="69415AE1" w14:textId="409B67F1" w:rsidR="00926098" w:rsidRPr="009D3066" w:rsidRDefault="009D3066" w:rsidP="009D3066">
      <w:pPr>
        <w:spacing w:afterLines="50" w:after="120"/>
        <w:rPr>
          <w:rFonts w:eastAsia="MS Mincho"/>
          <w:lang w:eastAsia="ja-JP"/>
        </w:rPr>
      </w:pPr>
      <w:r w:rsidRPr="004573DF">
        <w:rPr>
          <w:spacing w:val="2"/>
          <w:lang w:val="en-NZ"/>
        </w:rPr>
        <w:t xml:space="preserve">The Republic of Korea supports the result of latest ITU-R studies, which is no change </w:t>
      </w:r>
      <w:r w:rsidRPr="004573DF">
        <w:rPr>
          <w:spacing w:val="2"/>
          <w:lang w:eastAsia="ko-KR"/>
        </w:rPr>
        <w:t xml:space="preserve">of the values of the existing limits presented in Article </w:t>
      </w:r>
      <w:r w:rsidRPr="004573DF">
        <w:rPr>
          <w:b/>
          <w:spacing w:val="2"/>
          <w:lang w:eastAsia="ko-KR"/>
        </w:rPr>
        <w:t>22</w:t>
      </w:r>
      <w:r w:rsidRPr="004573DF">
        <w:rPr>
          <w:spacing w:val="2"/>
          <w:lang w:eastAsia="ko-KR"/>
        </w:rPr>
        <w:t xml:space="preserve"> </w:t>
      </w:r>
      <w:proofErr w:type="spellStart"/>
      <w:r w:rsidRPr="004573DF">
        <w:rPr>
          <w:spacing w:val="2"/>
          <w:lang w:eastAsia="ko-KR"/>
        </w:rPr>
        <w:t>epfd</w:t>
      </w:r>
      <w:proofErr w:type="spellEnd"/>
      <w:r w:rsidRPr="004573DF">
        <w:rPr>
          <w:spacing w:val="2"/>
          <w:lang w:eastAsia="ko-KR"/>
        </w:rPr>
        <w:t xml:space="preserve"> and Article </w:t>
      </w:r>
      <w:r w:rsidRPr="004573DF">
        <w:rPr>
          <w:b/>
          <w:spacing w:val="2"/>
          <w:lang w:eastAsia="ko-KR"/>
        </w:rPr>
        <w:t>21</w:t>
      </w:r>
      <w:r w:rsidRPr="004573DF">
        <w:rPr>
          <w:spacing w:val="2"/>
          <w:lang w:eastAsia="ko-KR"/>
        </w:rPr>
        <w:t xml:space="preserve"> </w:t>
      </w:r>
      <w:proofErr w:type="spellStart"/>
      <w:r w:rsidRPr="004573DF">
        <w:rPr>
          <w:spacing w:val="2"/>
          <w:lang w:eastAsia="ko-KR"/>
        </w:rPr>
        <w:t>pfd</w:t>
      </w:r>
      <w:proofErr w:type="spellEnd"/>
      <w:r w:rsidRPr="004573DF">
        <w:rPr>
          <w:spacing w:val="2"/>
          <w:lang w:eastAsia="ko-KR"/>
        </w:rPr>
        <w:t xml:space="preserve"> of the Radio Regulations for the 3 700 4 200 MHz, 4 500-4 800 MHz, 5 925-6 425 MHz, and 6 725-7 025 MHz frequency bands.</w:t>
      </w:r>
    </w:p>
    <w:p w14:paraId="62A93CF8" w14:textId="0CAB2885" w:rsidR="00926098" w:rsidRPr="00441526" w:rsidRDefault="00926098" w:rsidP="00926098">
      <w:pPr>
        <w:spacing w:after="120"/>
        <w:jc w:val="both"/>
        <w:rPr>
          <w:b/>
          <w:lang w:val="en-NZ" w:eastAsia="ko-KR"/>
        </w:rPr>
      </w:pPr>
      <w:r>
        <w:rPr>
          <w:b/>
          <w:lang w:val="en-NZ" w:eastAsia="ko-KR"/>
        </w:rPr>
        <w:t>3.1.5</w:t>
      </w:r>
      <w:r w:rsidRPr="00441526">
        <w:rPr>
          <w:b/>
          <w:lang w:val="en-NZ" w:eastAsia="ko-KR"/>
        </w:rPr>
        <w:tab/>
      </w:r>
      <w:r w:rsidR="009D3066" w:rsidRPr="009D3066">
        <w:rPr>
          <w:b/>
          <w:lang w:val="en-NZ" w:eastAsia="ko-KR"/>
        </w:rPr>
        <w:t>China (People’s Republic of)</w:t>
      </w:r>
      <w:r w:rsidR="00F963EB">
        <w:rPr>
          <w:b/>
          <w:lang w:val="en-NZ" w:eastAsia="ko-KR"/>
        </w:rPr>
        <w:t xml:space="preserve"> </w:t>
      </w:r>
      <w:r w:rsidRPr="00441526">
        <w:t xml:space="preserve">- </w:t>
      </w:r>
      <w:r w:rsidR="009D3066">
        <w:rPr>
          <w:b/>
          <w:lang w:val="en-NZ" w:eastAsia="ko-KR"/>
        </w:rPr>
        <w:t>Document APG19-4</w:t>
      </w:r>
      <w:r>
        <w:rPr>
          <w:b/>
          <w:lang w:val="en-NZ" w:eastAsia="ko-KR"/>
        </w:rPr>
        <w:t>/INP-</w:t>
      </w:r>
      <w:r w:rsidR="009825DE">
        <w:rPr>
          <w:b/>
          <w:lang w:val="en-NZ" w:eastAsia="ko-KR"/>
        </w:rPr>
        <w:t>98</w:t>
      </w:r>
    </w:p>
    <w:p w14:paraId="5DAB6A92" w14:textId="111844A6" w:rsidR="00926098" w:rsidRPr="009D3066" w:rsidRDefault="009D3066" w:rsidP="009D3066">
      <w:pPr>
        <w:shd w:val="clear" w:color="auto" w:fill="FFFFFF"/>
        <w:spacing w:afterLines="50" w:after="120"/>
        <w:jc w:val="both"/>
        <w:rPr>
          <w:bCs/>
          <w:color w:val="000000"/>
          <w:lang w:val="en-GB"/>
        </w:rPr>
      </w:pPr>
      <w:r w:rsidRPr="00601F41">
        <w:rPr>
          <w:spacing w:val="2"/>
          <w:lang w:val="en-NZ"/>
        </w:rPr>
        <w:lastRenderedPageBreak/>
        <w:t xml:space="preserve">China supports no change (NOC) to </w:t>
      </w:r>
      <w:r w:rsidRPr="00062E73">
        <w:rPr>
          <w:lang w:val="en-NZ"/>
        </w:rPr>
        <w:t>the Radio Regulations</w:t>
      </w:r>
      <w:r>
        <w:rPr>
          <w:lang w:val="en-NZ"/>
        </w:rPr>
        <w:t xml:space="preserve"> to </w:t>
      </w:r>
      <w:r>
        <w:rPr>
          <w:rFonts w:eastAsiaTheme="minorEastAsia"/>
          <w:lang w:val="en-NZ" w:eastAsia="zh-CN"/>
        </w:rPr>
        <w:t xml:space="preserve">satisfy </w:t>
      </w:r>
      <w:r>
        <w:rPr>
          <w:lang w:val="en-NZ"/>
        </w:rPr>
        <w:t xml:space="preserve">agenda item 9.1, issue 9.1.3 based on </w:t>
      </w:r>
      <w:r>
        <w:rPr>
          <w:rFonts w:eastAsiaTheme="minorEastAsia"/>
          <w:lang w:val="en-NZ" w:eastAsia="zh-CN"/>
        </w:rPr>
        <w:t xml:space="preserve">study progress of </w:t>
      </w:r>
      <w:r>
        <w:rPr>
          <w:lang w:val="id-ID"/>
        </w:rPr>
        <w:t>ITU-R</w:t>
      </w:r>
      <w:r w:rsidRPr="00FF1969">
        <w:rPr>
          <w:lang w:val="id-ID"/>
        </w:rPr>
        <w:t xml:space="preserve"> for new non-GSO systems in the 3 700-4 200 MHz, 4 500-4 800 MHz, 5 925-6 425 MHz and 6 725-7 025 MHz frequency bands under the terms of Resolution </w:t>
      </w:r>
      <w:r w:rsidRPr="00FF1969">
        <w:rPr>
          <w:b/>
          <w:bCs/>
          <w:lang w:val="id-ID"/>
        </w:rPr>
        <w:t>157 (WRC-15)</w:t>
      </w:r>
      <w:r w:rsidRPr="00EA67D4">
        <w:rPr>
          <w:rStyle w:val="ECCParagraph"/>
        </w:rPr>
        <w:t>.</w:t>
      </w:r>
    </w:p>
    <w:p w14:paraId="4DC09AAD" w14:textId="79ECA45A" w:rsidR="00926098" w:rsidRPr="00441526" w:rsidRDefault="00926098" w:rsidP="00926098">
      <w:pPr>
        <w:spacing w:after="120"/>
        <w:jc w:val="both"/>
        <w:rPr>
          <w:b/>
          <w:lang w:val="en-NZ" w:eastAsia="ko-KR"/>
        </w:rPr>
      </w:pPr>
      <w:bookmarkStart w:id="17" w:name="OLE_LINK36"/>
      <w:bookmarkStart w:id="18" w:name="OLE_LINK37"/>
      <w:r>
        <w:rPr>
          <w:b/>
          <w:lang w:val="en-NZ" w:eastAsia="ko-KR"/>
        </w:rPr>
        <w:t>3.1.6</w:t>
      </w:r>
      <w:r w:rsidRPr="00441526">
        <w:rPr>
          <w:b/>
          <w:lang w:val="en-NZ" w:eastAsia="ko-KR"/>
        </w:rPr>
        <w:tab/>
      </w:r>
      <w:r w:rsidR="009D3066" w:rsidRPr="009D3066">
        <w:rPr>
          <w:b/>
          <w:lang w:val="en-NZ" w:eastAsia="ko-KR"/>
        </w:rPr>
        <w:t>Indonesia (Republic of)</w:t>
      </w:r>
      <w:r w:rsidRPr="00926098">
        <w:rPr>
          <w:b/>
          <w:lang w:val="en-NZ" w:eastAsia="ko-KR"/>
        </w:rPr>
        <w:t xml:space="preserve"> </w:t>
      </w:r>
      <w:r w:rsidRPr="00441526">
        <w:t xml:space="preserve">- </w:t>
      </w:r>
      <w:r w:rsidR="009825DE">
        <w:rPr>
          <w:b/>
          <w:lang w:val="en-NZ" w:eastAsia="ko-KR"/>
        </w:rPr>
        <w:t>Docum</w:t>
      </w:r>
      <w:r w:rsidR="009D3066">
        <w:rPr>
          <w:b/>
          <w:lang w:val="en-NZ" w:eastAsia="ko-KR"/>
        </w:rPr>
        <w:t>ent APG19-4</w:t>
      </w:r>
      <w:r w:rsidR="009825DE">
        <w:rPr>
          <w:b/>
          <w:lang w:val="en-NZ" w:eastAsia="ko-KR"/>
        </w:rPr>
        <w:t>/INP-120</w:t>
      </w:r>
    </w:p>
    <w:bookmarkEnd w:id="17"/>
    <w:bookmarkEnd w:id="18"/>
    <w:p w14:paraId="0B484CDF" w14:textId="1CC6B48C" w:rsidR="00926098" w:rsidRDefault="009D3066" w:rsidP="009D3066">
      <w:pPr>
        <w:spacing w:afterLines="50" w:after="120"/>
        <w:jc w:val="both"/>
        <w:rPr>
          <w:rFonts w:eastAsiaTheme="minorHAnsi"/>
        </w:rPr>
      </w:pPr>
      <w:r>
        <w:t xml:space="preserve">Indonesia </w:t>
      </w:r>
      <w:r w:rsidRPr="00601F41">
        <w:t>support no change (NOC) to the Radio Regulations to satisfy agenda item 9.1, issue 9.1.3 based on study progress of ITU-R for new non-GSO systems in the 3 700-4 200 MHz, 4 500-4 800 MHz, 5 925-6 425 MHz</w:t>
      </w:r>
      <w:r w:rsidRPr="009D3066">
        <w:rPr>
          <w:lang w:val="id-ID"/>
        </w:rPr>
        <w:t xml:space="preserve"> and 6 725-7 025 MHz frequency bands under the terms of Resolution </w:t>
      </w:r>
      <w:r w:rsidRPr="009D3066">
        <w:rPr>
          <w:b/>
          <w:bCs/>
          <w:lang w:val="id-ID"/>
        </w:rPr>
        <w:t>157 (WRC-15)</w:t>
      </w:r>
      <w:r w:rsidRPr="009D3066">
        <w:rPr>
          <w:bCs/>
          <w:lang w:val="id-ID"/>
        </w:rPr>
        <w:t>.</w:t>
      </w:r>
      <w:r w:rsidR="00926098" w:rsidRPr="009D3066">
        <w:rPr>
          <w:rFonts w:eastAsiaTheme="minorHAnsi"/>
        </w:rPr>
        <w:t xml:space="preserve"> </w:t>
      </w:r>
    </w:p>
    <w:p w14:paraId="0403CB13" w14:textId="4C365EFD" w:rsidR="00187630" w:rsidRPr="00441526" w:rsidRDefault="00187630" w:rsidP="00187630">
      <w:pPr>
        <w:spacing w:after="120"/>
        <w:jc w:val="both"/>
        <w:rPr>
          <w:b/>
          <w:lang w:val="en-NZ" w:eastAsia="ko-KR"/>
        </w:rPr>
      </w:pPr>
      <w:r>
        <w:rPr>
          <w:b/>
          <w:lang w:val="en-NZ" w:eastAsia="ko-KR"/>
        </w:rPr>
        <w:t>3.1.7</w:t>
      </w:r>
      <w:r w:rsidRPr="00441526">
        <w:rPr>
          <w:b/>
          <w:lang w:val="en-NZ" w:eastAsia="ko-KR"/>
        </w:rPr>
        <w:tab/>
      </w:r>
      <w:r w:rsidRPr="00187630">
        <w:rPr>
          <w:b/>
          <w:lang w:val="en-NZ" w:eastAsia="ko-KR"/>
        </w:rPr>
        <w:t>Nepal</w:t>
      </w:r>
      <w:r w:rsidRPr="00926098">
        <w:rPr>
          <w:b/>
          <w:lang w:val="en-NZ" w:eastAsia="ko-KR"/>
        </w:rPr>
        <w:t xml:space="preserve"> </w:t>
      </w:r>
      <w:r w:rsidRPr="00441526">
        <w:t xml:space="preserve">- </w:t>
      </w:r>
      <w:r>
        <w:rPr>
          <w:b/>
          <w:lang w:val="en-NZ" w:eastAsia="ko-KR"/>
        </w:rPr>
        <w:t>Document APG19-4/INF-27</w:t>
      </w:r>
    </w:p>
    <w:p w14:paraId="1C1D90C3" w14:textId="77777777" w:rsidR="00187630" w:rsidRDefault="00187630" w:rsidP="00187630">
      <w:pPr>
        <w:jc w:val="both"/>
        <w:rPr>
          <w:b/>
        </w:rPr>
      </w:pPr>
      <w:r>
        <w:rPr>
          <w:lang w:val="en-NZ"/>
        </w:rPr>
        <w:t>The demand for satellite use</w:t>
      </w:r>
      <w:r w:rsidRPr="00947E55">
        <w:rPr>
          <w:lang w:val="en-NZ"/>
        </w:rPr>
        <w:t xml:space="preserve"> </w:t>
      </w:r>
      <w:r>
        <w:rPr>
          <w:lang w:val="en-NZ"/>
        </w:rPr>
        <w:t xml:space="preserve">in the frequency bands </w:t>
      </w:r>
      <w:r w:rsidRPr="005E1B64">
        <w:rPr>
          <w:lang w:val="en-NZ"/>
        </w:rPr>
        <w:t xml:space="preserve">3 700-4 200 MHz, 4 500-4 800 MHz, 5 925-6 425 MHz and 6 725-7 025 MHz </w:t>
      </w:r>
      <w:r w:rsidRPr="00947E55">
        <w:rPr>
          <w:lang w:val="en-NZ"/>
        </w:rPr>
        <w:t>is in declining phase</w:t>
      </w:r>
      <w:r>
        <w:rPr>
          <w:lang w:val="en-NZ"/>
        </w:rPr>
        <w:t xml:space="preserve"> in Nepal.</w:t>
      </w:r>
    </w:p>
    <w:p w14:paraId="354749E1" w14:textId="77777777" w:rsidR="00187630" w:rsidRDefault="00187630" w:rsidP="00187630">
      <w:pPr>
        <w:jc w:val="both"/>
        <w:rPr>
          <w:b/>
        </w:rPr>
      </w:pPr>
    </w:p>
    <w:p w14:paraId="0E092B4A" w14:textId="0AEA09B1" w:rsidR="00187630" w:rsidRPr="009D3066" w:rsidRDefault="00187630" w:rsidP="00187630">
      <w:pPr>
        <w:spacing w:afterLines="50" w:after="120"/>
        <w:jc w:val="both"/>
      </w:pPr>
      <w:r>
        <w:t xml:space="preserve">Among the frequency bands mentioned in this agenda item, </w:t>
      </w:r>
      <w:r>
        <w:rPr>
          <w:lang w:val="en-NZ"/>
        </w:rPr>
        <w:t xml:space="preserve">Nepal has fixed microwave point to point allocations in the frequency bands </w:t>
      </w:r>
      <w:r w:rsidRPr="005E1B64">
        <w:rPr>
          <w:lang w:val="en-NZ"/>
        </w:rPr>
        <w:t xml:space="preserve">5 925-6 425 MHz and 6 725-7 025 </w:t>
      </w:r>
      <w:proofErr w:type="spellStart"/>
      <w:r w:rsidRPr="005E1B64">
        <w:rPr>
          <w:lang w:val="en-NZ"/>
        </w:rPr>
        <w:t>MHz</w:t>
      </w:r>
      <w:r>
        <w:rPr>
          <w:lang w:val="en-NZ"/>
        </w:rPr>
        <w:t>.</w:t>
      </w:r>
      <w:proofErr w:type="spellEnd"/>
      <w:r>
        <w:rPr>
          <w:lang w:val="en-NZ"/>
        </w:rPr>
        <w:t xml:space="preserve"> However, the frequency band 5</w:t>
      </w:r>
      <w:r w:rsidRPr="005E1B64">
        <w:rPr>
          <w:lang w:val="en-NZ"/>
        </w:rPr>
        <w:t xml:space="preserve"> 925-6 425 MHz</w:t>
      </w:r>
      <w:r>
        <w:rPr>
          <w:lang w:val="en-NZ"/>
        </w:rPr>
        <w:t xml:space="preserve"> has not been assigned yet. Nepal has fixed satellite frequency allocations in 3 600 MHz - </w:t>
      </w:r>
      <w:r w:rsidRPr="005E1B64">
        <w:rPr>
          <w:lang w:val="en-NZ"/>
        </w:rPr>
        <w:t xml:space="preserve">4 200 </w:t>
      </w:r>
      <w:proofErr w:type="spellStart"/>
      <w:r w:rsidRPr="005E1B64">
        <w:rPr>
          <w:lang w:val="en-NZ"/>
        </w:rPr>
        <w:t>MHz</w:t>
      </w:r>
      <w:r>
        <w:rPr>
          <w:lang w:val="en-NZ"/>
        </w:rPr>
        <w:t>.</w:t>
      </w:r>
      <w:proofErr w:type="spellEnd"/>
    </w:p>
    <w:p w14:paraId="7E81F481" w14:textId="6B946CE1" w:rsidR="008454C8" w:rsidRPr="00441526" w:rsidRDefault="008454C8" w:rsidP="008454C8">
      <w:pPr>
        <w:spacing w:after="120"/>
        <w:jc w:val="both"/>
        <w:rPr>
          <w:b/>
          <w:lang w:val="en-NZ"/>
        </w:rPr>
      </w:pPr>
      <w:r w:rsidRPr="00441526">
        <w:rPr>
          <w:b/>
          <w:lang w:val="en-NZ"/>
        </w:rPr>
        <w:t xml:space="preserve">3.2 </w:t>
      </w:r>
      <w:r w:rsidRPr="00441526">
        <w:rPr>
          <w:b/>
          <w:lang w:val="en-NZ"/>
        </w:rPr>
        <w:tab/>
      </w:r>
      <w:r w:rsidR="002475E2" w:rsidRPr="00441526">
        <w:rPr>
          <w:b/>
          <w:lang w:val="en-NZ"/>
        </w:rPr>
        <w:t>S</w:t>
      </w:r>
      <w:r w:rsidR="002475E2" w:rsidRPr="00441526">
        <w:rPr>
          <w:b/>
          <w:lang w:val="en-NZ" w:eastAsia="ko-KR"/>
        </w:rPr>
        <w:t xml:space="preserve">ummary of </w:t>
      </w:r>
      <w:r w:rsidR="00BC69DB" w:rsidRPr="00441526">
        <w:rPr>
          <w:b/>
          <w:lang w:val="en-NZ" w:eastAsia="ko-KR"/>
        </w:rPr>
        <w:t>i</w:t>
      </w:r>
      <w:r w:rsidR="002475E2" w:rsidRPr="00441526">
        <w:rPr>
          <w:b/>
          <w:lang w:val="en-NZ" w:eastAsia="ko-KR"/>
        </w:rPr>
        <w:t xml:space="preserve">ssues </w:t>
      </w:r>
      <w:r w:rsidR="00BC69DB" w:rsidRPr="00441526">
        <w:rPr>
          <w:b/>
          <w:lang w:val="en-NZ" w:eastAsia="ko-KR"/>
        </w:rPr>
        <w:t>raised du</w:t>
      </w:r>
      <w:r w:rsidRPr="00441526">
        <w:rPr>
          <w:b/>
          <w:lang w:val="en-NZ"/>
        </w:rPr>
        <w:t>ring the meeting</w:t>
      </w:r>
    </w:p>
    <w:p w14:paraId="27F09E9A" w14:textId="0A59A959" w:rsidR="00321418" w:rsidRPr="00321418" w:rsidRDefault="009D3066" w:rsidP="003918C1">
      <w:pPr>
        <w:rPr>
          <w:lang w:val="en-NZ"/>
        </w:rPr>
      </w:pPr>
      <w:r>
        <w:rPr>
          <w:rFonts w:eastAsia="SimSun"/>
          <w:bCs/>
          <w:lang w:val="en-GB" w:eastAsia="zh-CN"/>
        </w:rPr>
        <w:t>None.</w:t>
      </w:r>
    </w:p>
    <w:p w14:paraId="3CE6D283" w14:textId="77777777" w:rsidR="0075493D" w:rsidRPr="0006587E" w:rsidRDefault="0075493D" w:rsidP="00B64A60">
      <w:pPr>
        <w:jc w:val="both"/>
        <w:rPr>
          <w:lang w:val="en-NZ"/>
        </w:rPr>
      </w:pPr>
    </w:p>
    <w:p w14:paraId="132C30D0" w14:textId="6606CB64" w:rsidR="003918C1" w:rsidRPr="00062E73" w:rsidRDefault="00B64A60" w:rsidP="00062E73">
      <w:pPr>
        <w:spacing w:after="120"/>
        <w:jc w:val="both"/>
        <w:rPr>
          <w:b/>
          <w:lang w:val="en-NZ" w:eastAsia="ko-KR"/>
        </w:rPr>
      </w:pPr>
      <w:r w:rsidRPr="00441526">
        <w:rPr>
          <w:b/>
          <w:lang w:val="en-NZ" w:eastAsia="ko-KR"/>
        </w:rPr>
        <w:t xml:space="preserve">4. </w:t>
      </w:r>
      <w:r w:rsidRPr="00441526">
        <w:rPr>
          <w:b/>
          <w:lang w:val="en-NZ" w:eastAsia="ko-KR"/>
        </w:rPr>
        <w:tab/>
      </w:r>
      <w:r w:rsidR="004465AA" w:rsidRPr="00441526">
        <w:rPr>
          <w:b/>
          <w:lang w:val="en-NZ" w:eastAsia="ko-KR"/>
        </w:rPr>
        <w:t xml:space="preserve">APT </w:t>
      </w:r>
      <w:r w:rsidRPr="00441526">
        <w:rPr>
          <w:b/>
          <w:lang w:val="en-NZ" w:eastAsia="ko-KR"/>
        </w:rPr>
        <w:t>Preliminary View</w:t>
      </w:r>
      <w:r w:rsidR="00D53688" w:rsidRPr="00441526">
        <w:rPr>
          <w:b/>
          <w:lang w:val="en-NZ" w:eastAsia="ko-KR"/>
        </w:rPr>
        <w:t>(s)</w:t>
      </w:r>
    </w:p>
    <w:p w14:paraId="07560D98" w14:textId="56A36AAD" w:rsidR="00062E73" w:rsidRPr="00ED5380" w:rsidRDefault="00062E73" w:rsidP="00BC69DB">
      <w:pPr>
        <w:rPr>
          <w:rFonts w:eastAsiaTheme="minorEastAsia"/>
          <w:lang w:val="id-ID" w:eastAsia="zh-CN"/>
        </w:rPr>
      </w:pPr>
      <w:r>
        <w:rPr>
          <w:rFonts w:eastAsiaTheme="minorEastAsia"/>
          <w:lang w:val="en-NZ" w:eastAsia="zh-CN"/>
        </w:rPr>
        <w:t xml:space="preserve">APT Members support </w:t>
      </w:r>
      <w:r w:rsidR="00F11BCC">
        <w:rPr>
          <w:lang w:val="en-NZ"/>
        </w:rPr>
        <w:t>n</w:t>
      </w:r>
      <w:r>
        <w:rPr>
          <w:lang w:val="en-NZ"/>
        </w:rPr>
        <w:t>o change</w:t>
      </w:r>
      <w:r w:rsidR="007C1250">
        <w:rPr>
          <w:lang w:val="en-NZ"/>
        </w:rPr>
        <w:t xml:space="preserve"> (NOC)</w:t>
      </w:r>
      <w:r>
        <w:rPr>
          <w:lang w:val="en-NZ"/>
        </w:rPr>
        <w:t xml:space="preserve"> </w:t>
      </w:r>
      <w:r w:rsidRPr="00062E73">
        <w:rPr>
          <w:lang w:val="en-NZ"/>
        </w:rPr>
        <w:t>to the Radio Regulations</w:t>
      </w:r>
      <w:r>
        <w:rPr>
          <w:lang w:val="en-NZ"/>
        </w:rPr>
        <w:t xml:space="preserve"> to </w:t>
      </w:r>
      <w:r w:rsidR="000D6477">
        <w:rPr>
          <w:rFonts w:eastAsiaTheme="minorEastAsia"/>
          <w:lang w:val="en-NZ" w:eastAsia="zh-CN"/>
        </w:rPr>
        <w:t>satisfy</w:t>
      </w:r>
      <w:r>
        <w:rPr>
          <w:rFonts w:eastAsiaTheme="minorEastAsia"/>
          <w:lang w:val="en-NZ" w:eastAsia="zh-CN"/>
        </w:rPr>
        <w:t xml:space="preserve"> </w:t>
      </w:r>
      <w:r>
        <w:rPr>
          <w:lang w:val="en-NZ"/>
        </w:rPr>
        <w:t xml:space="preserve">agenda item 9.1, issue 9.1.3 based on </w:t>
      </w:r>
      <w:r w:rsidR="000D6477">
        <w:rPr>
          <w:rFonts w:eastAsiaTheme="minorEastAsia"/>
          <w:lang w:val="en-NZ" w:eastAsia="zh-CN"/>
        </w:rPr>
        <w:t>study</w:t>
      </w:r>
      <w:r>
        <w:rPr>
          <w:rFonts w:eastAsiaTheme="minorEastAsia"/>
          <w:lang w:val="en-NZ" w:eastAsia="zh-CN"/>
        </w:rPr>
        <w:t xml:space="preserve"> progress of </w:t>
      </w:r>
      <w:r w:rsidR="000D6477">
        <w:rPr>
          <w:lang w:val="id-ID"/>
        </w:rPr>
        <w:t>ITU-R</w:t>
      </w:r>
      <w:r w:rsidRPr="00FF1969">
        <w:rPr>
          <w:lang w:val="id-ID"/>
        </w:rPr>
        <w:t xml:space="preserve"> for new non-GSO systems in the 3 700-4 200 MHz, 4 500-4 800 MHz, 5 925-6 425 MHz and 6 725-7 025 MHz frequency bands under the terms of Resolution </w:t>
      </w:r>
      <w:r w:rsidRPr="00FF1969">
        <w:rPr>
          <w:b/>
          <w:bCs/>
          <w:lang w:val="id-ID"/>
        </w:rPr>
        <w:t>157 (WRC-15)</w:t>
      </w:r>
      <w:r w:rsidR="000D6477" w:rsidRPr="000D6477">
        <w:rPr>
          <w:bCs/>
          <w:lang w:val="id-ID"/>
        </w:rPr>
        <w:t>.</w:t>
      </w:r>
    </w:p>
    <w:p w14:paraId="2E0E675E" w14:textId="77777777" w:rsidR="00FD6235" w:rsidRPr="00441526" w:rsidRDefault="00FD6235" w:rsidP="00B64A60">
      <w:pPr>
        <w:rPr>
          <w:lang w:val="en-NZ"/>
        </w:rPr>
      </w:pPr>
    </w:p>
    <w:p w14:paraId="2E0E6761" w14:textId="7F7E6C5F" w:rsidR="00B64A60" w:rsidRPr="003918C1" w:rsidRDefault="00B64A60" w:rsidP="003918C1">
      <w:pPr>
        <w:spacing w:after="120"/>
        <w:jc w:val="both"/>
        <w:rPr>
          <w:b/>
          <w:lang w:val="en-NZ" w:eastAsia="ko-KR"/>
        </w:rPr>
      </w:pPr>
      <w:r w:rsidRPr="00441526">
        <w:rPr>
          <w:b/>
          <w:lang w:val="en-NZ" w:eastAsia="ko-KR"/>
        </w:rPr>
        <w:t xml:space="preserve">5. </w:t>
      </w:r>
      <w:r w:rsidRPr="00441526">
        <w:rPr>
          <w:b/>
          <w:lang w:val="en-NZ" w:eastAsia="ko-KR"/>
        </w:rPr>
        <w:tab/>
        <w:t>Other View</w:t>
      </w:r>
      <w:r w:rsidR="00441526" w:rsidRPr="00441526">
        <w:rPr>
          <w:b/>
          <w:lang w:val="en-NZ" w:eastAsia="ko-KR"/>
        </w:rPr>
        <w:t>(</w:t>
      </w:r>
      <w:r w:rsidRPr="00441526">
        <w:rPr>
          <w:b/>
          <w:lang w:val="en-NZ" w:eastAsia="ko-KR"/>
        </w:rPr>
        <w:t>s</w:t>
      </w:r>
      <w:r w:rsidR="00441526" w:rsidRPr="00441526">
        <w:rPr>
          <w:b/>
          <w:lang w:val="en-NZ" w:eastAsia="ko-KR"/>
        </w:rPr>
        <w:t>)</w:t>
      </w:r>
    </w:p>
    <w:p w14:paraId="1A5AA411" w14:textId="2C4573F6" w:rsidR="003918C1" w:rsidRDefault="003918C1" w:rsidP="00B64A60">
      <w:pPr>
        <w:rPr>
          <w:rFonts w:eastAsiaTheme="minorEastAsia"/>
          <w:lang w:val="en-NZ" w:eastAsia="zh-CN"/>
        </w:rPr>
      </w:pPr>
      <w:r>
        <w:rPr>
          <w:rFonts w:eastAsiaTheme="minorEastAsia" w:hint="eastAsia"/>
          <w:lang w:val="en-NZ" w:eastAsia="zh-CN"/>
        </w:rPr>
        <w:t>None.</w:t>
      </w:r>
    </w:p>
    <w:p w14:paraId="2254DA3F" w14:textId="77777777" w:rsidR="003918C1" w:rsidRPr="003918C1" w:rsidRDefault="003918C1" w:rsidP="00B64A60">
      <w:pPr>
        <w:rPr>
          <w:rFonts w:eastAsiaTheme="minorEastAsia"/>
          <w:lang w:val="en-NZ" w:eastAsia="zh-CN"/>
        </w:rPr>
      </w:pPr>
    </w:p>
    <w:p w14:paraId="7E15CB00" w14:textId="4356B4DA" w:rsidR="003918C1" w:rsidRPr="00D7386D" w:rsidRDefault="00F5673B" w:rsidP="00D7386D">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4BAFC210" w14:textId="7475F999" w:rsidR="00264566" w:rsidRDefault="003918C1" w:rsidP="003918C1">
      <w:pPr>
        <w:jc w:val="both"/>
        <w:rPr>
          <w:snapToGrid w:val="0"/>
          <w:lang w:val="en-AU"/>
        </w:rPr>
      </w:pPr>
      <w:r>
        <w:t xml:space="preserve">APT Members are invited to follow the progress of </w:t>
      </w:r>
      <w:r w:rsidR="009D3066">
        <w:t xml:space="preserve">CPM19-2 </w:t>
      </w:r>
      <w:r w:rsidR="00CB21D6">
        <w:t xml:space="preserve">and WP4A </w:t>
      </w:r>
      <w:r w:rsidR="009D3066">
        <w:t>meeting</w:t>
      </w:r>
      <w:r w:rsidR="00CB21D6">
        <w:t>s</w:t>
      </w:r>
      <w:r w:rsidR="007C1250">
        <w:rPr>
          <w:snapToGrid w:val="0"/>
          <w:lang w:val="en-AU"/>
        </w:rPr>
        <w:t xml:space="preserve"> </w:t>
      </w:r>
      <w:r w:rsidRPr="003918C1">
        <w:rPr>
          <w:snapToGrid w:val="0"/>
          <w:lang w:val="en-AU"/>
        </w:rPr>
        <w:t>and are encouraged to submit their contributions in the next APG meeting</w:t>
      </w:r>
      <w:r w:rsidR="000D6477">
        <w:rPr>
          <w:snapToGrid w:val="0"/>
          <w:lang w:val="en-AU"/>
        </w:rPr>
        <w:t>, if necessary</w:t>
      </w:r>
      <w:r w:rsidRPr="003918C1">
        <w:rPr>
          <w:snapToGrid w:val="0"/>
          <w:lang w:val="en-AU"/>
        </w:rPr>
        <w:t>.</w:t>
      </w:r>
    </w:p>
    <w:p w14:paraId="5F0888C5" w14:textId="77777777" w:rsidR="00F5673B" w:rsidRPr="009D3066" w:rsidRDefault="00F5673B" w:rsidP="00B64A60">
      <w:pPr>
        <w:rPr>
          <w:lang w:val="en-AU"/>
        </w:rPr>
      </w:pPr>
    </w:p>
    <w:p w14:paraId="31A8F6B9" w14:textId="17493993" w:rsidR="00F5673B" w:rsidRPr="00441526" w:rsidRDefault="00F5673B" w:rsidP="007E0456">
      <w:pPr>
        <w:spacing w:afterLines="50" w:after="120"/>
        <w:jc w:val="both"/>
        <w:rPr>
          <w:lang w:val="en-NZ"/>
        </w:rPr>
      </w:pPr>
      <w:r>
        <w:rPr>
          <w:b/>
          <w:lang w:val="en-NZ"/>
        </w:rPr>
        <w:t>7</w:t>
      </w:r>
      <w:r w:rsidRPr="00441526">
        <w:rPr>
          <w:b/>
          <w:lang w:val="en-NZ"/>
        </w:rPr>
        <w:t xml:space="preserve">. </w:t>
      </w:r>
      <w:r w:rsidRPr="00441526">
        <w:rPr>
          <w:b/>
          <w:lang w:val="en-NZ"/>
        </w:rPr>
        <w:tab/>
        <w:t>Views from Other Organisations</w:t>
      </w:r>
    </w:p>
    <w:p w14:paraId="3A0DF1CC" w14:textId="77777777" w:rsidR="00F5673B" w:rsidRPr="00441526" w:rsidRDefault="00F5673B" w:rsidP="00F5673B">
      <w:pPr>
        <w:spacing w:after="120"/>
        <w:jc w:val="both"/>
        <w:rPr>
          <w:b/>
          <w:lang w:val="en-NZ" w:eastAsia="ko-KR"/>
        </w:rPr>
      </w:pPr>
      <w:r>
        <w:rPr>
          <w:b/>
          <w:lang w:val="en-NZ" w:eastAsia="ko-KR"/>
        </w:rPr>
        <w:t>7</w:t>
      </w:r>
      <w:r w:rsidRPr="00441526">
        <w:rPr>
          <w:b/>
          <w:lang w:val="en-NZ" w:eastAsia="ko-KR"/>
        </w:rPr>
        <w:t xml:space="preserve">.1 </w:t>
      </w:r>
      <w:r w:rsidRPr="00441526">
        <w:rPr>
          <w:b/>
          <w:lang w:val="en-NZ" w:eastAsia="ko-KR"/>
        </w:rPr>
        <w:tab/>
        <w:t>Regional Groups</w:t>
      </w:r>
    </w:p>
    <w:p w14:paraId="4401E9BD" w14:textId="674313D0" w:rsidR="00F5673B" w:rsidRPr="00441526" w:rsidRDefault="00F5673B" w:rsidP="00F5673B">
      <w:pPr>
        <w:spacing w:after="120"/>
        <w:jc w:val="both"/>
        <w:rPr>
          <w:b/>
          <w:lang w:val="en-NZ" w:eastAsia="ko-KR"/>
        </w:rPr>
      </w:pPr>
      <w:r>
        <w:rPr>
          <w:b/>
          <w:lang w:val="en-NZ" w:eastAsia="ko-KR"/>
        </w:rPr>
        <w:t>7</w:t>
      </w:r>
      <w:r w:rsidRPr="00441526">
        <w:rPr>
          <w:b/>
          <w:lang w:val="en-NZ" w:eastAsia="ko-KR"/>
        </w:rPr>
        <w:t xml:space="preserve">.1.1 </w:t>
      </w:r>
      <w:r w:rsidRPr="00441526">
        <w:rPr>
          <w:b/>
          <w:lang w:val="en-NZ" w:eastAsia="ko-KR"/>
        </w:rPr>
        <w:tab/>
        <w:t>ASMG</w:t>
      </w:r>
      <w:r w:rsidRPr="00441526">
        <w:t xml:space="preserve"> - </w:t>
      </w:r>
      <w:r w:rsidR="00445D14">
        <w:rPr>
          <w:b/>
          <w:lang w:val="en-NZ" w:eastAsia="ko-KR"/>
        </w:rPr>
        <w:t>Document APG19-4/INP</w:t>
      </w:r>
      <w:r w:rsidR="009D3066">
        <w:rPr>
          <w:b/>
          <w:lang w:val="en-NZ" w:eastAsia="ko-KR"/>
        </w:rPr>
        <w:t>-09</w:t>
      </w:r>
      <w:r w:rsidR="00445D14">
        <w:rPr>
          <w:b/>
          <w:lang w:val="en-NZ" w:eastAsia="ko-KR"/>
        </w:rPr>
        <w:t xml:space="preserve"> </w:t>
      </w:r>
      <w:r w:rsidR="00445D14" w:rsidRPr="00445D14">
        <w:rPr>
          <w:rFonts w:hint="eastAsia"/>
          <w:b/>
          <w:lang w:val="en-NZ" w:eastAsia="ko-KR"/>
        </w:rPr>
        <w:t>(Rev.1)</w:t>
      </w:r>
    </w:p>
    <w:p w14:paraId="0AA1BDB5" w14:textId="66811167" w:rsidR="003F70E0" w:rsidRPr="003F70E0" w:rsidRDefault="003F70E0" w:rsidP="002D17F2">
      <w:pPr>
        <w:spacing w:afterLines="50" w:after="120"/>
        <w:rPr>
          <w:rFonts w:eastAsiaTheme="minorEastAsia"/>
          <w:lang w:val="en-NZ" w:eastAsia="zh-CN"/>
        </w:rPr>
      </w:pPr>
      <w:r>
        <w:rPr>
          <w:rFonts w:eastAsiaTheme="minorEastAsia" w:hint="eastAsia"/>
          <w:lang w:val="en-NZ" w:eastAsia="zh-CN"/>
        </w:rPr>
        <w:t>A</w:t>
      </w:r>
      <w:r>
        <w:rPr>
          <w:rFonts w:eastAsiaTheme="minorEastAsia"/>
          <w:lang w:val="en-NZ" w:eastAsia="zh-CN"/>
        </w:rPr>
        <w:t>SMG position:</w:t>
      </w:r>
    </w:p>
    <w:p w14:paraId="13192041" w14:textId="6111CD84" w:rsidR="003918C1" w:rsidRPr="002D17F2" w:rsidRDefault="002D17F2" w:rsidP="002D17F2">
      <w:pPr>
        <w:pStyle w:val="ListParagraph"/>
        <w:numPr>
          <w:ilvl w:val="0"/>
          <w:numId w:val="26"/>
        </w:numPr>
        <w:ind w:left="709" w:hanging="283"/>
        <w:rPr>
          <w:lang w:val="en-NZ"/>
        </w:rPr>
      </w:pPr>
      <w:r w:rsidRPr="002D17F2">
        <w:rPr>
          <w:lang w:val="en-NZ"/>
        </w:rPr>
        <w:t>Support No Change to Radio Regulations.</w:t>
      </w:r>
    </w:p>
    <w:p w14:paraId="3AA372DD" w14:textId="77777777" w:rsidR="00F5673B" w:rsidRPr="00441526" w:rsidRDefault="00F5673B" w:rsidP="00F5673B">
      <w:pPr>
        <w:rPr>
          <w:lang w:val="en-NZ"/>
        </w:rPr>
      </w:pPr>
    </w:p>
    <w:p w14:paraId="2B7A5730" w14:textId="6D21A8C4" w:rsidR="00F5673B" w:rsidRPr="00441526" w:rsidRDefault="00F5673B" w:rsidP="00F5673B">
      <w:pPr>
        <w:spacing w:after="120"/>
        <w:jc w:val="both"/>
        <w:rPr>
          <w:b/>
          <w:lang w:val="en-NZ" w:eastAsia="ko-KR"/>
        </w:rPr>
      </w:pPr>
      <w:r>
        <w:rPr>
          <w:b/>
          <w:lang w:val="en-NZ" w:eastAsia="ko-KR"/>
        </w:rPr>
        <w:t>7</w:t>
      </w:r>
      <w:r w:rsidRPr="00441526">
        <w:rPr>
          <w:b/>
          <w:lang w:val="en-NZ" w:eastAsia="ko-KR"/>
        </w:rPr>
        <w:t xml:space="preserve">.1.2 </w:t>
      </w:r>
      <w:r w:rsidRPr="00441526">
        <w:rPr>
          <w:b/>
          <w:lang w:val="en-NZ" w:eastAsia="ko-KR"/>
        </w:rPr>
        <w:tab/>
        <w:t xml:space="preserve">ATU </w:t>
      </w:r>
      <w:r w:rsidRPr="00441526">
        <w:t xml:space="preserve">- </w:t>
      </w:r>
      <w:r w:rsidR="00445D14">
        <w:rPr>
          <w:b/>
          <w:lang w:val="en-NZ" w:eastAsia="ko-KR"/>
        </w:rPr>
        <w:t>Document APG19-4/</w:t>
      </w:r>
      <w:r w:rsidR="00445D14" w:rsidRPr="00445D14">
        <w:rPr>
          <w:b/>
          <w:lang w:val="en-NZ" w:eastAsia="ko-KR"/>
        </w:rPr>
        <w:t xml:space="preserve"> </w:t>
      </w:r>
      <w:r w:rsidR="00445D14">
        <w:rPr>
          <w:b/>
          <w:lang w:val="en-NZ" w:eastAsia="ko-KR"/>
        </w:rPr>
        <w:t xml:space="preserve">INP-09 </w:t>
      </w:r>
      <w:r w:rsidR="00445D14" w:rsidRPr="00445D14">
        <w:rPr>
          <w:rFonts w:hint="eastAsia"/>
          <w:b/>
          <w:lang w:val="en-NZ" w:eastAsia="ko-KR"/>
        </w:rPr>
        <w:t>(Rev.1)</w:t>
      </w:r>
    </w:p>
    <w:p w14:paraId="74A73181" w14:textId="267BCF06" w:rsidR="002D17F2" w:rsidRPr="003F70E0" w:rsidRDefault="002D17F2" w:rsidP="002D17F2">
      <w:pPr>
        <w:spacing w:afterLines="50" w:after="120"/>
        <w:rPr>
          <w:rFonts w:eastAsiaTheme="minorEastAsia"/>
          <w:lang w:val="en-NZ" w:eastAsia="zh-CN"/>
        </w:rPr>
      </w:pPr>
      <w:r>
        <w:rPr>
          <w:rFonts w:eastAsiaTheme="minorEastAsia" w:hint="eastAsia"/>
          <w:lang w:val="en-NZ" w:eastAsia="zh-CN"/>
        </w:rPr>
        <w:t>A</w:t>
      </w:r>
      <w:r w:rsidR="0015288B">
        <w:rPr>
          <w:rFonts w:eastAsiaTheme="minorEastAsia"/>
          <w:lang w:val="en-NZ" w:eastAsia="zh-CN"/>
        </w:rPr>
        <w:t>TU</w:t>
      </w:r>
      <w:r>
        <w:rPr>
          <w:rFonts w:eastAsiaTheme="minorEastAsia"/>
          <w:lang w:val="en-NZ" w:eastAsia="zh-CN"/>
        </w:rPr>
        <w:t xml:space="preserve"> position:</w:t>
      </w:r>
    </w:p>
    <w:p w14:paraId="4B14689F" w14:textId="601275EA" w:rsidR="00F5673B" w:rsidRPr="002D17F2" w:rsidRDefault="0015288B" w:rsidP="0015288B">
      <w:pPr>
        <w:pStyle w:val="ListParagraph"/>
        <w:numPr>
          <w:ilvl w:val="0"/>
          <w:numId w:val="26"/>
        </w:numPr>
        <w:ind w:left="709" w:hanging="283"/>
        <w:rPr>
          <w:lang w:val="en-NZ"/>
        </w:rPr>
      </w:pPr>
      <w:r w:rsidRPr="0015288B">
        <w:rPr>
          <w:lang w:val="en-NZ"/>
        </w:rPr>
        <w:t>Take No Change and to continue to advocate this position including at CPM19-2.</w:t>
      </w:r>
    </w:p>
    <w:p w14:paraId="11A9B48D" w14:textId="77777777" w:rsidR="004328B0" w:rsidRDefault="004328B0" w:rsidP="004328B0">
      <w:pPr>
        <w:rPr>
          <w:b/>
          <w:lang w:val="en-NZ"/>
        </w:rPr>
      </w:pPr>
    </w:p>
    <w:p w14:paraId="68FE76F3" w14:textId="0F5E41BB" w:rsidR="00F5673B" w:rsidRPr="00441526" w:rsidRDefault="00F5673B" w:rsidP="00F5673B">
      <w:pPr>
        <w:spacing w:after="120"/>
        <w:jc w:val="both"/>
        <w:rPr>
          <w:b/>
          <w:lang w:val="en-NZ" w:eastAsia="ko-KR"/>
        </w:rPr>
      </w:pPr>
      <w:r>
        <w:rPr>
          <w:b/>
          <w:lang w:val="en-NZ" w:eastAsia="ko-KR"/>
        </w:rPr>
        <w:t>7</w:t>
      </w:r>
      <w:r w:rsidRPr="00441526">
        <w:rPr>
          <w:b/>
          <w:lang w:val="en-NZ" w:eastAsia="ko-KR"/>
        </w:rPr>
        <w:t xml:space="preserve">.1.3 </w:t>
      </w:r>
      <w:r w:rsidRPr="00441526">
        <w:rPr>
          <w:b/>
          <w:lang w:val="en-NZ" w:eastAsia="ko-KR"/>
        </w:rPr>
        <w:tab/>
        <w:t xml:space="preserve">CEPT </w:t>
      </w:r>
      <w:r w:rsidRPr="00441526">
        <w:t xml:space="preserve">- </w:t>
      </w:r>
      <w:r w:rsidR="002D17F2">
        <w:rPr>
          <w:b/>
          <w:lang w:val="en-NZ" w:eastAsia="ko-KR"/>
        </w:rPr>
        <w:t>Document APG19-4</w:t>
      </w:r>
      <w:r w:rsidR="003918C1">
        <w:rPr>
          <w:b/>
          <w:lang w:val="en-NZ" w:eastAsia="ko-KR"/>
        </w:rPr>
        <w:t>/INF-</w:t>
      </w:r>
      <w:r w:rsidR="004C5A29">
        <w:rPr>
          <w:b/>
          <w:lang w:val="en-NZ" w:eastAsia="ko-KR"/>
        </w:rPr>
        <w:t>23</w:t>
      </w:r>
    </w:p>
    <w:p w14:paraId="5F0BB777" w14:textId="094C3D92" w:rsidR="00D7386D" w:rsidRPr="00D7386D" w:rsidRDefault="00D7386D" w:rsidP="00D7386D">
      <w:pPr>
        <w:rPr>
          <w:lang w:val="en-NZ"/>
        </w:rPr>
      </w:pPr>
      <w:r w:rsidRPr="00D7386D">
        <w:rPr>
          <w:lang w:val="en-NZ"/>
        </w:rPr>
        <w:lastRenderedPageBreak/>
        <w:t>Preliminary CEPT position:</w:t>
      </w:r>
    </w:p>
    <w:p w14:paraId="4E5FC23D" w14:textId="22DB4E18" w:rsidR="002D17F2" w:rsidRPr="002D17F2" w:rsidRDefault="002D17F2" w:rsidP="002D17F2">
      <w:pPr>
        <w:numPr>
          <w:ilvl w:val="0"/>
          <w:numId w:val="18"/>
        </w:numPr>
        <w:ind w:left="709"/>
        <w:rPr>
          <w:lang w:val="en-NZ"/>
        </w:rPr>
      </w:pPr>
      <w:r w:rsidRPr="002D17F2">
        <w:rPr>
          <w:lang w:val="en-NZ"/>
        </w:rPr>
        <w:t xml:space="preserve">CEPT supports no changes to the provisions of RR Article </w:t>
      </w:r>
      <w:r w:rsidRPr="002D17F2">
        <w:rPr>
          <w:b/>
          <w:lang w:val="en-NZ"/>
        </w:rPr>
        <w:t>21</w:t>
      </w:r>
      <w:r w:rsidRPr="002D17F2">
        <w:rPr>
          <w:lang w:val="en-NZ"/>
        </w:rPr>
        <w:t xml:space="preserve"> and Article </w:t>
      </w:r>
      <w:r w:rsidRPr="002D17F2">
        <w:rPr>
          <w:b/>
          <w:lang w:val="en-NZ"/>
        </w:rPr>
        <w:t>22</w:t>
      </w:r>
      <w:r w:rsidRPr="002D17F2">
        <w:rPr>
          <w:lang w:val="en-NZ"/>
        </w:rPr>
        <w:t xml:space="preserve"> in the frequency</w:t>
      </w:r>
      <w:r w:rsidR="00601F41">
        <w:rPr>
          <w:lang w:val="en-NZ"/>
        </w:rPr>
        <w:t xml:space="preserve"> </w:t>
      </w:r>
      <w:r w:rsidRPr="002D17F2">
        <w:rPr>
          <w:lang w:val="en-NZ"/>
        </w:rPr>
        <w:t xml:space="preserve">bands 3700 - 4200 MHz, 4500-4800 MHz, </w:t>
      </w:r>
      <w:r w:rsidR="00601F41">
        <w:rPr>
          <w:lang w:val="en-NZ"/>
        </w:rPr>
        <w:t xml:space="preserve">5925-6425 MHz and 6725-7025 </w:t>
      </w:r>
      <w:proofErr w:type="spellStart"/>
      <w:r w:rsidR="00601F41">
        <w:rPr>
          <w:lang w:val="en-NZ"/>
        </w:rPr>
        <w:t>MHz.</w:t>
      </w:r>
      <w:proofErr w:type="spellEnd"/>
    </w:p>
    <w:p w14:paraId="042D379D" w14:textId="64EFBA71" w:rsidR="006649CD" w:rsidRPr="002D17F2" w:rsidRDefault="002D17F2" w:rsidP="002D17F2">
      <w:pPr>
        <w:numPr>
          <w:ilvl w:val="0"/>
          <w:numId w:val="18"/>
        </w:numPr>
        <w:ind w:left="709"/>
        <w:rPr>
          <w:lang w:val="en-NZ"/>
        </w:rPr>
      </w:pPr>
      <w:r w:rsidRPr="002D17F2">
        <w:rPr>
          <w:lang w:val="en-NZ"/>
        </w:rPr>
        <w:t xml:space="preserve">CEPT is considering the introduction of a coordination procedure under RR No. </w:t>
      </w:r>
      <w:r w:rsidRPr="002D17F2">
        <w:rPr>
          <w:b/>
          <w:lang w:val="en-NZ"/>
        </w:rPr>
        <w:t>9.12</w:t>
      </w:r>
      <w:r w:rsidRPr="002D17F2">
        <w:rPr>
          <w:lang w:val="en-NZ"/>
        </w:rPr>
        <w:t xml:space="preserve"> in order</w:t>
      </w:r>
      <w:r>
        <w:rPr>
          <w:rFonts w:eastAsiaTheme="minorEastAsia" w:hint="eastAsia"/>
          <w:lang w:val="en-NZ" w:eastAsia="zh-CN"/>
        </w:rPr>
        <w:t xml:space="preserve"> </w:t>
      </w:r>
      <w:r w:rsidRPr="002D17F2">
        <w:rPr>
          <w:lang w:val="en-NZ"/>
        </w:rPr>
        <w:t>to address coordination between non-GSO FSS systems in the frequency bands</w:t>
      </w:r>
      <w:r>
        <w:rPr>
          <w:rFonts w:eastAsiaTheme="minorEastAsia" w:hint="eastAsia"/>
          <w:lang w:val="en-NZ" w:eastAsia="zh-CN"/>
        </w:rPr>
        <w:t xml:space="preserve"> </w:t>
      </w:r>
      <w:r w:rsidRPr="002D17F2">
        <w:rPr>
          <w:lang w:val="en-NZ"/>
        </w:rPr>
        <w:t xml:space="preserve">3700−4200 MHz and 5925−6425 </w:t>
      </w:r>
      <w:proofErr w:type="spellStart"/>
      <w:r w:rsidRPr="002D17F2">
        <w:rPr>
          <w:lang w:val="en-NZ"/>
        </w:rPr>
        <w:t>MHz.</w:t>
      </w:r>
      <w:proofErr w:type="spellEnd"/>
    </w:p>
    <w:p w14:paraId="234B06D2" w14:textId="77777777" w:rsidR="00F5673B" w:rsidRPr="00441526" w:rsidRDefault="00F5673B" w:rsidP="00F5673B">
      <w:pPr>
        <w:rPr>
          <w:lang w:val="en-NZ"/>
        </w:rPr>
      </w:pPr>
    </w:p>
    <w:p w14:paraId="10517B43" w14:textId="6A5838A2" w:rsidR="00F5673B" w:rsidRPr="00852343" w:rsidRDefault="00F5673B" w:rsidP="00852343">
      <w:pPr>
        <w:pStyle w:val="ListParagraph"/>
        <w:numPr>
          <w:ilvl w:val="2"/>
          <w:numId w:val="24"/>
        </w:numPr>
        <w:spacing w:after="120"/>
        <w:jc w:val="both"/>
        <w:rPr>
          <w:b/>
          <w:lang w:val="en-NZ" w:eastAsia="ko-KR"/>
        </w:rPr>
      </w:pPr>
      <w:r w:rsidRPr="00852343">
        <w:rPr>
          <w:b/>
          <w:lang w:val="en-NZ" w:eastAsia="ko-KR"/>
        </w:rPr>
        <w:t xml:space="preserve">CITEL </w:t>
      </w:r>
      <w:r w:rsidRPr="00441526">
        <w:t xml:space="preserve">- </w:t>
      </w:r>
      <w:r w:rsidR="004C5A29">
        <w:rPr>
          <w:b/>
          <w:lang w:val="en-NZ" w:eastAsia="ko-KR"/>
        </w:rPr>
        <w:t>Document APG19-4</w:t>
      </w:r>
      <w:r w:rsidR="003918C1" w:rsidRPr="00852343">
        <w:rPr>
          <w:b/>
          <w:lang w:val="en-NZ" w:eastAsia="ko-KR"/>
        </w:rPr>
        <w:t>/INF-</w:t>
      </w:r>
      <w:r w:rsidR="004C5A29">
        <w:rPr>
          <w:b/>
          <w:lang w:val="en-NZ" w:eastAsia="ko-KR"/>
        </w:rPr>
        <w:t>22</w:t>
      </w:r>
    </w:p>
    <w:p w14:paraId="4C232931" w14:textId="77777777" w:rsidR="00B14564" w:rsidRDefault="00B14564" w:rsidP="00B14564">
      <w:r>
        <w:t>Inter</w:t>
      </w:r>
      <w:r w:rsidRPr="00852343">
        <w:rPr>
          <w:rFonts w:ascii="Microsoft YaHei" w:eastAsia="Microsoft YaHei" w:hAnsi="Microsoft YaHei" w:cs="Microsoft YaHei" w:hint="eastAsia"/>
        </w:rPr>
        <w:t>‐</w:t>
      </w:r>
      <w:r w:rsidRPr="00852343">
        <w:t>A</w:t>
      </w:r>
      <w:r>
        <w:t>merica</w:t>
      </w:r>
      <w:r w:rsidRPr="00852343">
        <w:t xml:space="preserve"> P</w:t>
      </w:r>
      <w:r>
        <w:t>roposal</w:t>
      </w:r>
      <w:r w:rsidRPr="00852343">
        <w:t xml:space="preserve"> (IAP)</w:t>
      </w:r>
      <w:r>
        <w:t>:</w:t>
      </w:r>
    </w:p>
    <w:p w14:paraId="7BF00900" w14:textId="76A590D9" w:rsidR="00B14564" w:rsidRPr="004C5A29" w:rsidRDefault="004C5A29" w:rsidP="004C5A29">
      <w:pPr>
        <w:numPr>
          <w:ilvl w:val="0"/>
          <w:numId w:val="18"/>
        </w:numPr>
        <w:ind w:left="709"/>
        <w:rPr>
          <w:lang w:val="en-NZ"/>
        </w:rPr>
      </w:pPr>
      <w:r w:rsidRPr="004C5A29">
        <w:rPr>
          <w:lang w:val="en-NZ"/>
        </w:rPr>
        <w:t>Outcome should not impact Region 2 or studies do not support</w:t>
      </w:r>
      <w:r>
        <w:rPr>
          <w:rFonts w:eastAsiaTheme="minorEastAsia" w:hint="eastAsia"/>
          <w:lang w:val="en-NZ" w:eastAsia="zh-CN"/>
        </w:rPr>
        <w:t xml:space="preserve"> </w:t>
      </w:r>
      <w:r w:rsidRPr="004C5A29">
        <w:rPr>
          <w:lang w:val="en-NZ"/>
        </w:rPr>
        <w:t>taking action</w:t>
      </w:r>
      <w:r w:rsidR="00B14564" w:rsidRPr="004C5A29">
        <w:rPr>
          <w:lang w:val="en-NZ"/>
        </w:rPr>
        <w:t>.</w:t>
      </w:r>
    </w:p>
    <w:p w14:paraId="7F51248D" w14:textId="77777777" w:rsidR="00B14564" w:rsidRPr="00B14564" w:rsidRDefault="00B14564" w:rsidP="00B14564">
      <w:pPr>
        <w:rPr>
          <w:lang w:val="en-NZ"/>
        </w:rPr>
      </w:pPr>
    </w:p>
    <w:p w14:paraId="24B12711" w14:textId="247D8657" w:rsidR="00F5673B" w:rsidRPr="00441526" w:rsidRDefault="00F5673B" w:rsidP="00F5673B">
      <w:pPr>
        <w:spacing w:after="120"/>
        <w:jc w:val="both"/>
        <w:rPr>
          <w:b/>
          <w:lang w:val="en-NZ" w:eastAsia="ko-KR"/>
        </w:rPr>
      </w:pPr>
      <w:r>
        <w:rPr>
          <w:b/>
          <w:lang w:val="en-NZ" w:eastAsia="ko-KR"/>
        </w:rPr>
        <w:t>7</w:t>
      </w:r>
      <w:r w:rsidRPr="00441526">
        <w:rPr>
          <w:b/>
          <w:lang w:val="en-NZ" w:eastAsia="ko-KR"/>
        </w:rPr>
        <w:t xml:space="preserve">.1.5 </w:t>
      </w:r>
      <w:r w:rsidRPr="00441526">
        <w:rPr>
          <w:b/>
          <w:lang w:val="en-NZ" w:eastAsia="ko-KR"/>
        </w:rPr>
        <w:tab/>
        <w:t xml:space="preserve">RCC </w:t>
      </w:r>
      <w:r w:rsidRPr="00441526">
        <w:t xml:space="preserve">- </w:t>
      </w:r>
      <w:r w:rsidR="004C5A29">
        <w:rPr>
          <w:b/>
          <w:lang w:val="en-NZ" w:eastAsia="ko-KR"/>
        </w:rPr>
        <w:t>Document APG19-4/INF-24</w:t>
      </w:r>
    </w:p>
    <w:p w14:paraId="31863ED7" w14:textId="2F90998F" w:rsidR="004C5A29" w:rsidRDefault="004C5A29" w:rsidP="004C5A29">
      <w:pPr>
        <w:spacing w:after="120"/>
        <w:jc w:val="both"/>
      </w:pPr>
      <w:r>
        <w:t>The RCC Administrations oppose adopting new regulatory</w:t>
      </w:r>
      <w:r>
        <w:rPr>
          <w:rFonts w:eastAsiaTheme="minorEastAsia" w:hint="eastAsia"/>
          <w:lang w:eastAsia="zh-CN"/>
        </w:rPr>
        <w:t xml:space="preserve"> </w:t>
      </w:r>
      <w:r>
        <w:t>provisions for new non-geostationary-satellite orbit systems in the</w:t>
      </w:r>
      <w:r>
        <w:rPr>
          <w:rFonts w:eastAsiaTheme="minorEastAsia" w:hint="eastAsia"/>
          <w:lang w:eastAsia="zh-CN"/>
        </w:rPr>
        <w:t xml:space="preserve"> </w:t>
      </w:r>
      <w:r>
        <w:t>3700−4200 MHz, 4500−4800 MHz, 5925−6425 MHz and</w:t>
      </w:r>
      <w:r>
        <w:rPr>
          <w:rFonts w:eastAsiaTheme="minorEastAsia" w:hint="eastAsia"/>
          <w:lang w:eastAsia="zh-CN"/>
        </w:rPr>
        <w:t xml:space="preserve"> </w:t>
      </w:r>
      <w:r>
        <w:t>6725−7025 MHz frequency bands allocated to the fixed-satellite</w:t>
      </w:r>
      <w:r>
        <w:rPr>
          <w:rFonts w:eastAsiaTheme="minorEastAsia" w:hint="eastAsia"/>
          <w:lang w:eastAsia="zh-CN"/>
        </w:rPr>
        <w:t xml:space="preserve"> </w:t>
      </w:r>
      <w:r>
        <w:t>service, as the studies carried out by ITU-R have concluded that</w:t>
      </w:r>
      <w:r>
        <w:rPr>
          <w:rFonts w:eastAsiaTheme="minorEastAsia" w:hint="eastAsia"/>
          <w:lang w:eastAsia="zh-CN"/>
        </w:rPr>
        <w:t xml:space="preserve"> </w:t>
      </w:r>
      <w:r>
        <w:t>the compatibility of these systems with stations of the incumbent</w:t>
      </w:r>
      <w:r>
        <w:rPr>
          <w:rFonts w:eastAsiaTheme="minorEastAsia" w:hint="eastAsia"/>
          <w:lang w:eastAsia="zh-CN"/>
        </w:rPr>
        <w:t xml:space="preserve"> </w:t>
      </w:r>
      <w:r>
        <w:t>services is unachievable.</w:t>
      </w:r>
    </w:p>
    <w:p w14:paraId="0E8FF5B6" w14:textId="619E4BCC" w:rsidR="004328B0" w:rsidRPr="004C5A29" w:rsidRDefault="004C5A29" w:rsidP="004C5A29">
      <w:pPr>
        <w:spacing w:after="120"/>
        <w:jc w:val="both"/>
      </w:pPr>
      <w:r>
        <w:t xml:space="preserve">At the same time the RCC Administrations are in </w:t>
      </w:r>
      <w:proofErr w:type="spellStart"/>
      <w:r>
        <w:t>favour</w:t>
      </w:r>
      <w:proofErr w:type="spellEnd"/>
      <w:r>
        <w:t xml:space="preserve"> of adopting</w:t>
      </w:r>
      <w:r>
        <w:rPr>
          <w:rFonts w:eastAsiaTheme="minorEastAsia" w:hint="eastAsia"/>
          <w:lang w:eastAsia="zh-CN"/>
        </w:rPr>
        <w:t xml:space="preserve"> </w:t>
      </w:r>
      <w:r>
        <w:t>the conditions ensuring the compatibility for new non-</w:t>
      </w:r>
      <w:proofErr w:type="spellStart"/>
      <w:r>
        <w:t>geostationarysatellite</w:t>
      </w:r>
      <w:proofErr w:type="spellEnd"/>
      <w:r>
        <w:rPr>
          <w:rFonts w:eastAsiaTheme="minorEastAsia" w:hint="eastAsia"/>
          <w:lang w:eastAsia="zh-CN"/>
        </w:rPr>
        <w:t xml:space="preserve"> </w:t>
      </w:r>
      <w:r>
        <w:t>orbit systems in 3700−4200 MHz and 5925−6425 MHz</w:t>
      </w:r>
      <w:r>
        <w:rPr>
          <w:rFonts w:eastAsiaTheme="minorEastAsia" w:hint="eastAsia"/>
          <w:lang w:eastAsia="zh-CN"/>
        </w:rPr>
        <w:t xml:space="preserve"> </w:t>
      </w:r>
      <w:r>
        <w:t>frequency bands by applying the coordination procedure under No.</w:t>
      </w:r>
      <w:r>
        <w:rPr>
          <w:rFonts w:eastAsiaTheme="minorEastAsia" w:hint="eastAsia"/>
          <w:lang w:eastAsia="zh-CN"/>
        </w:rPr>
        <w:t xml:space="preserve"> </w:t>
      </w:r>
      <w:r w:rsidRPr="004C5A29">
        <w:rPr>
          <w:b/>
        </w:rPr>
        <w:t>9.12</w:t>
      </w:r>
      <w:r>
        <w:t xml:space="preserve"> RR between non-GSO FSS systems in the specified</w:t>
      </w:r>
      <w:r>
        <w:rPr>
          <w:rFonts w:eastAsiaTheme="minorEastAsia" w:hint="eastAsia"/>
          <w:lang w:eastAsia="zh-CN"/>
        </w:rPr>
        <w:t xml:space="preserve"> </w:t>
      </w:r>
      <w:r>
        <w:t>frequency bands.</w:t>
      </w:r>
    </w:p>
    <w:p w14:paraId="18C3916E" w14:textId="77777777" w:rsidR="00F5673B" w:rsidRPr="00441526" w:rsidRDefault="00F5673B" w:rsidP="00F5673B">
      <w:pPr>
        <w:rPr>
          <w:lang w:val="en-NZ"/>
        </w:rPr>
      </w:pPr>
    </w:p>
    <w:p w14:paraId="21AEF71D" w14:textId="77777777" w:rsidR="00F5673B" w:rsidRPr="00441526" w:rsidRDefault="00F5673B" w:rsidP="00F5673B">
      <w:pPr>
        <w:spacing w:after="120"/>
        <w:jc w:val="both"/>
        <w:rPr>
          <w:b/>
          <w:lang w:val="en-NZ" w:eastAsia="ko-KR"/>
        </w:rPr>
      </w:pPr>
      <w:r>
        <w:rPr>
          <w:b/>
          <w:lang w:val="en-NZ" w:eastAsia="ko-KR"/>
        </w:rPr>
        <w:t>7</w:t>
      </w:r>
      <w:r w:rsidRPr="00441526">
        <w:rPr>
          <w:b/>
          <w:lang w:val="en-NZ" w:eastAsia="ko-KR"/>
        </w:rPr>
        <w:t xml:space="preserve">.2 </w:t>
      </w:r>
      <w:r w:rsidRPr="00441526">
        <w:rPr>
          <w:b/>
          <w:lang w:val="en-NZ" w:eastAsia="ko-KR"/>
        </w:rPr>
        <w:tab/>
        <w:t>International Organisations</w:t>
      </w:r>
    </w:p>
    <w:p w14:paraId="780CC651" w14:textId="71747694" w:rsidR="00F5673B" w:rsidRDefault="00F5673B" w:rsidP="00F5673B">
      <w:pPr>
        <w:rPr>
          <w:lang w:val="en-NZ"/>
        </w:rPr>
      </w:pPr>
    </w:p>
    <w:p w14:paraId="4423A027" w14:textId="7C10483E" w:rsidR="004C5A29" w:rsidRPr="00441526" w:rsidRDefault="00B17191" w:rsidP="004C5A29">
      <w:pPr>
        <w:spacing w:after="120"/>
        <w:jc w:val="both"/>
        <w:rPr>
          <w:b/>
          <w:lang w:val="en-NZ" w:eastAsia="ko-KR"/>
        </w:rPr>
      </w:pPr>
      <w:r>
        <w:rPr>
          <w:b/>
          <w:lang w:val="en-NZ" w:eastAsia="ko-KR"/>
        </w:rPr>
        <w:t>7.2.1</w:t>
      </w:r>
      <w:r w:rsidR="004C5A29">
        <w:rPr>
          <w:b/>
          <w:lang w:val="en-NZ" w:eastAsia="ko-KR"/>
        </w:rPr>
        <w:t xml:space="preserve"> </w:t>
      </w:r>
      <w:r w:rsidR="004C5A29">
        <w:rPr>
          <w:b/>
          <w:lang w:val="en-NZ" w:eastAsia="ko-KR"/>
        </w:rPr>
        <w:tab/>
        <w:t>ICA</w:t>
      </w:r>
      <w:r w:rsidR="004C5A29" w:rsidRPr="00441526">
        <w:rPr>
          <w:b/>
          <w:lang w:val="en-NZ" w:eastAsia="ko-KR"/>
        </w:rPr>
        <w:t xml:space="preserve">O </w:t>
      </w:r>
      <w:r w:rsidR="004C5A29" w:rsidRPr="00441526">
        <w:t xml:space="preserve">- </w:t>
      </w:r>
      <w:r w:rsidR="004C5A29">
        <w:rPr>
          <w:b/>
          <w:lang w:val="en-NZ" w:eastAsia="ko-KR"/>
        </w:rPr>
        <w:t>Document APG19-4</w:t>
      </w:r>
      <w:r w:rsidR="004C5A29" w:rsidRPr="00441526">
        <w:rPr>
          <w:b/>
          <w:lang w:val="en-NZ" w:eastAsia="ko-KR"/>
        </w:rPr>
        <w:t>/IN</w:t>
      </w:r>
      <w:r w:rsidR="00187630">
        <w:rPr>
          <w:b/>
          <w:lang w:val="en-NZ" w:eastAsia="ko-KR"/>
        </w:rPr>
        <w:t>F-04</w:t>
      </w:r>
    </w:p>
    <w:p w14:paraId="30E69C78" w14:textId="4B70243A" w:rsidR="00187630" w:rsidRPr="00187630" w:rsidRDefault="00187630" w:rsidP="00187630">
      <w:pPr>
        <w:spacing w:afterLines="50" w:after="120"/>
        <w:rPr>
          <w:rFonts w:eastAsia="MS Mincho"/>
          <w:lang w:eastAsia="ja-JP"/>
        </w:rPr>
      </w:pPr>
      <w:r w:rsidRPr="00187630">
        <w:rPr>
          <w:lang w:eastAsia="ja-JP"/>
        </w:rPr>
        <w:t>ICAO Position:</w:t>
      </w:r>
    </w:p>
    <w:p w14:paraId="5F932BB8" w14:textId="77777777" w:rsidR="00187630" w:rsidRDefault="00187630" w:rsidP="00187630">
      <w:pPr>
        <w:pStyle w:val="ListParagraph"/>
        <w:numPr>
          <w:ilvl w:val="0"/>
          <w:numId w:val="26"/>
        </w:numPr>
        <w:spacing w:afterLines="50" w:after="120"/>
        <w:ind w:left="709"/>
        <w:rPr>
          <w:lang w:val="en-NZ"/>
        </w:rPr>
      </w:pPr>
      <w:r w:rsidRPr="00187630">
        <w:rPr>
          <w:lang w:val="en-NZ"/>
        </w:rPr>
        <w:t>To oppose any new or changes to existing regulatory provisions in Article 21 of the ITU Radio Regulations for the frequency bands 3 700 ‒ 4 200 MHz and 5 925 ‒ 6 425 MHz unless it has been demonstrated through agreed ITU-R studies that there will be no impact from the potential introduction of new non-geostationary-satellites on aviation use in those bands.</w:t>
      </w:r>
    </w:p>
    <w:p w14:paraId="25C3D023" w14:textId="4DDD1644" w:rsidR="004C5A29" w:rsidRPr="00187630" w:rsidRDefault="00187630" w:rsidP="00187630">
      <w:pPr>
        <w:pStyle w:val="ListParagraph"/>
        <w:numPr>
          <w:ilvl w:val="0"/>
          <w:numId w:val="26"/>
        </w:numPr>
        <w:spacing w:afterLines="50" w:after="120"/>
        <w:ind w:left="709"/>
        <w:rPr>
          <w:lang w:val="en-NZ"/>
        </w:rPr>
      </w:pPr>
      <w:r w:rsidRPr="00187630">
        <w:rPr>
          <w:lang w:val="en-NZ"/>
        </w:rPr>
        <w:t>To oppose introduction of new non-geostationary-satellites in frequency bands   near   to   t</w:t>
      </w:r>
      <w:r>
        <w:rPr>
          <w:lang w:val="en-NZ"/>
        </w:rPr>
        <w:t>he   frequency   band   4 200 ‒</w:t>
      </w:r>
      <w:r w:rsidRPr="00187630">
        <w:rPr>
          <w:lang w:val="en-NZ"/>
        </w:rPr>
        <w:t xml:space="preserve"> 4 400 MHz unless aviat</w:t>
      </w:r>
      <w:r w:rsidR="00601F41">
        <w:rPr>
          <w:lang w:val="en-NZ"/>
        </w:rPr>
        <w:t>ion use of that band is ensured</w:t>
      </w:r>
      <w:r w:rsidRPr="00187630">
        <w:rPr>
          <w:lang w:val="en-NZ"/>
        </w:rPr>
        <w:t xml:space="preserve"> through agreed ITU-R studies.</w:t>
      </w:r>
    </w:p>
    <w:p w14:paraId="7AEB75F0" w14:textId="307FDD39" w:rsidR="00B17191" w:rsidRPr="00B17191" w:rsidRDefault="00B17191" w:rsidP="00B17191">
      <w:pPr>
        <w:pStyle w:val="ListParagraph"/>
        <w:numPr>
          <w:ilvl w:val="2"/>
          <w:numId w:val="27"/>
        </w:numPr>
        <w:spacing w:after="120"/>
        <w:jc w:val="both"/>
        <w:rPr>
          <w:b/>
          <w:lang w:val="en-NZ" w:eastAsia="ko-KR"/>
        </w:rPr>
      </w:pPr>
      <w:r w:rsidRPr="00B17191">
        <w:rPr>
          <w:b/>
          <w:lang w:val="en-NZ" w:eastAsia="ko-KR"/>
        </w:rPr>
        <w:t xml:space="preserve">WMO </w:t>
      </w:r>
      <w:r w:rsidRPr="00441526">
        <w:t xml:space="preserve">- </w:t>
      </w:r>
      <w:r w:rsidRPr="00B17191">
        <w:rPr>
          <w:b/>
          <w:lang w:val="en-NZ" w:eastAsia="ko-KR"/>
        </w:rPr>
        <w:t>Document APG19-4/INF-02</w:t>
      </w:r>
    </w:p>
    <w:p w14:paraId="3618777E" w14:textId="77777777" w:rsidR="00B17191" w:rsidRPr="00B17191" w:rsidRDefault="00B17191" w:rsidP="00B17191">
      <w:pPr>
        <w:ind w:leftChars="118" w:left="283"/>
        <w:rPr>
          <w:lang w:val="en-NZ"/>
        </w:rPr>
      </w:pPr>
      <w:r>
        <w:rPr>
          <w:lang w:eastAsia="ja-JP"/>
        </w:rPr>
        <w:t>-       None.</w:t>
      </w:r>
    </w:p>
    <w:p w14:paraId="608C216E" w14:textId="77777777" w:rsidR="00B17191" w:rsidRDefault="00B17191" w:rsidP="00B17191">
      <w:pPr>
        <w:spacing w:after="120"/>
        <w:jc w:val="both"/>
        <w:rPr>
          <w:b/>
          <w:lang w:val="en-NZ" w:eastAsia="ko-KR"/>
        </w:rPr>
      </w:pPr>
    </w:p>
    <w:p w14:paraId="12DB09B8" w14:textId="68956B13" w:rsidR="00B17191" w:rsidRPr="00B17191" w:rsidRDefault="00B17191" w:rsidP="00B17191">
      <w:pPr>
        <w:spacing w:after="120"/>
        <w:jc w:val="both"/>
        <w:rPr>
          <w:b/>
          <w:lang w:val="en-NZ" w:eastAsia="ko-KR"/>
        </w:rPr>
      </w:pPr>
      <w:r w:rsidRPr="00B17191">
        <w:rPr>
          <w:b/>
          <w:lang w:val="en-NZ" w:eastAsia="ko-KR"/>
        </w:rPr>
        <w:t>7</w:t>
      </w:r>
      <w:r>
        <w:rPr>
          <w:b/>
          <w:lang w:val="en-NZ" w:eastAsia="ko-KR"/>
        </w:rPr>
        <w:t>.2.3</w:t>
      </w:r>
      <w:r w:rsidRPr="00B17191">
        <w:rPr>
          <w:b/>
          <w:lang w:val="en-NZ" w:eastAsia="ko-KR"/>
        </w:rPr>
        <w:t xml:space="preserve"> </w:t>
      </w:r>
      <w:r w:rsidRPr="00B17191">
        <w:rPr>
          <w:b/>
          <w:lang w:val="en-NZ" w:eastAsia="ko-KR"/>
        </w:rPr>
        <w:tab/>
        <w:t xml:space="preserve">IARU </w:t>
      </w:r>
      <w:r w:rsidRPr="00441526">
        <w:t xml:space="preserve">- </w:t>
      </w:r>
      <w:r w:rsidRPr="00B17191">
        <w:rPr>
          <w:b/>
          <w:lang w:val="en-NZ" w:eastAsia="ko-KR"/>
        </w:rPr>
        <w:t>Document APG19-4/INF-03</w:t>
      </w:r>
    </w:p>
    <w:p w14:paraId="78109EB9" w14:textId="77777777" w:rsidR="00B17191" w:rsidRPr="00B17191" w:rsidRDefault="00B17191" w:rsidP="00B17191">
      <w:pPr>
        <w:pStyle w:val="ListParagraph"/>
        <w:numPr>
          <w:ilvl w:val="0"/>
          <w:numId w:val="26"/>
        </w:numPr>
        <w:ind w:left="709"/>
        <w:rPr>
          <w:lang w:val="en-NZ"/>
        </w:rPr>
      </w:pPr>
      <w:r w:rsidRPr="00B17191">
        <w:rPr>
          <w:lang w:val="en-NZ"/>
        </w:rPr>
        <w:t>None.</w:t>
      </w:r>
    </w:p>
    <w:p w14:paraId="1BF60D3F" w14:textId="77777777" w:rsidR="004C5A29" w:rsidRPr="004C5A29" w:rsidRDefault="004C5A29" w:rsidP="00F5673B">
      <w:pPr>
        <w:rPr>
          <w:lang w:val="en-NZ"/>
        </w:rPr>
      </w:pPr>
    </w:p>
    <w:p w14:paraId="2E0E676F" w14:textId="77777777" w:rsidR="00654896" w:rsidRPr="00441526" w:rsidRDefault="00654896" w:rsidP="00B64A60">
      <w:pPr>
        <w:rPr>
          <w:b/>
          <w:lang w:val="en-NZ"/>
        </w:rPr>
      </w:pPr>
    </w:p>
    <w:p w14:paraId="2E0E6770" w14:textId="77777777" w:rsidR="00B64A60" w:rsidRPr="00710333" w:rsidRDefault="00B64A60" w:rsidP="00B64A60">
      <w:pPr>
        <w:jc w:val="center"/>
        <w:rPr>
          <w:snapToGrid w:val="0"/>
          <w:lang w:val="en-NZ"/>
        </w:rPr>
      </w:pPr>
      <w:r w:rsidRPr="00441526">
        <w:rPr>
          <w:lang w:val="en-NZ"/>
        </w:rPr>
        <w:t>____________</w:t>
      </w:r>
    </w:p>
    <w:p w14:paraId="2E0E6771" w14:textId="77777777" w:rsidR="00930E64" w:rsidRPr="007673CA" w:rsidRDefault="00930E64" w:rsidP="00D13D9D">
      <w:pPr>
        <w:jc w:val="both"/>
        <w:rPr>
          <w:lang w:val="en-NZ"/>
        </w:rPr>
      </w:pPr>
    </w:p>
    <w:sectPr w:rsidR="00930E64" w:rsidRPr="007673CA" w:rsidSect="006C75FA">
      <w:headerReference w:type="default" r:id="rId9"/>
      <w:footerReference w:type="even" r:id="rId10"/>
      <w:footerReference w:type="default" r:id="rId11"/>
      <w:footerReference w:type="first" r:id="rId12"/>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3BDC3" w14:textId="77777777" w:rsidR="003408F6" w:rsidRDefault="003408F6">
      <w:r>
        <w:separator/>
      </w:r>
    </w:p>
  </w:endnote>
  <w:endnote w:type="continuationSeparator" w:id="0">
    <w:p w14:paraId="2BEC884D" w14:textId="77777777" w:rsidR="003408F6" w:rsidRDefault="00340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BatangChe">
    <w:altName w:val="Arial Unicode MS"/>
    <w:panose1 w:val="02030609000101010101"/>
    <w:charset w:val="81"/>
    <w:family w:val="modern"/>
    <w:pitch w:val="fixed"/>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A"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E677B" w14:textId="77777777"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C" w14:textId="16211043" w:rsidR="0097693B" w:rsidRDefault="00EA2051" w:rsidP="002C7EA9">
    <w:pPr>
      <w:pStyle w:val="Footer"/>
      <w:ind w:right="360"/>
      <w:jc w:val="right"/>
    </w:pPr>
    <w:r>
      <w:rPr>
        <w:rFonts w:hint="eastAsia"/>
        <w:lang w:eastAsia="ko-KR"/>
      </w:rPr>
      <w:t>A</w:t>
    </w:r>
    <w:r w:rsidR="00932322">
      <w:rPr>
        <w:lang w:eastAsia="ko-KR"/>
      </w:rPr>
      <w:t>PG19-4/OUT-03</w:t>
    </w:r>
    <w:r>
      <w:rPr>
        <w:lang w:eastAsia="ko-KR"/>
      </w:rPr>
      <w:t xml:space="preserve">                                                                                                 </w:t>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6C75FA">
      <w:rPr>
        <w:rStyle w:val="PageNumber"/>
        <w:noProof/>
      </w:rPr>
      <w:t>4</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6C75FA">
      <w:rPr>
        <w:rStyle w:val="PageNumber"/>
        <w:noProof/>
      </w:rPr>
      <w:t>4</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4068"/>
      <w:gridCol w:w="3996"/>
    </w:tblGrid>
    <w:tr w:rsidR="006C75FA" w:rsidRPr="00690609" w14:paraId="13D943BB" w14:textId="77777777" w:rsidTr="00214505">
      <w:trPr>
        <w:cantSplit/>
        <w:trHeight w:val="204"/>
        <w:jc w:val="center"/>
      </w:trPr>
      <w:tc>
        <w:tcPr>
          <w:tcW w:w="1152" w:type="dxa"/>
        </w:tcPr>
        <w:p w14:paraId="5724AA3D" w14:textId="77777777" w:rsidR="006C75FA" w:rsidRPr="00690609" w:rsidRDefault="006C75FA" w:rsidP="006C75FA">
          <w:pPr>
            <w:rPr>
              <w:b/>
              <w:bCs/>
            </w:rPr>
          </w:pPr>
          <w:r w:rsidRPr="00690609">
            <w:rPr>
              <w:b/>
              <w:bCs/>
            </w:rPr>
            <w:t>Contact:</w:t>
          </w:r>
        </w:p>
      </w:tc>
      <w:tc>
        <w:tcPr>
          <w:tcW w:w="4068" w:type="dxa"/>
        </w:tcPr>
        <w:p w14:paraId="34A3C8EB" w14:textId="77777777" w:rsidR="006C75FA" w:rsidRPr="00690609" w:rsidRDefault="006C75FA" w:rsidP="006C75FA">
          <w:pPr>
            <w:overflowPunct w:val="0"/>
            <w:autoSpaceDE w:val="0"/>
            <w:autoSpaceDN w:val="0"/>
            <w:adjustRightInd w:val="0"/>
            <w:spacing w:line="240" w:lineRule="atLeast"/>
            <w:textAlignment w:val="baseline"/>
            <w:rPr>
              <w:rFonts w:eastAsia="Batang"/>
              <w:szCs w:val="22"/>
              <w:lang w:val="en-GB"/>
            </w:rPr>
          </w:pPr>
          <w:r>
            <w:rPr>
              <w:rFonts w:eastAsia="Batang"/>
              <w:szCs w:val="22"/>
              <w:lang w:val="en-GB"/>
            </w:rPr>
            <w:t>MR. MUNEO ABE</w:t>
          </w:r>
        </w:p>
        <w:p w14:paraId="0A5FA249" w14:textId="77777777" w:rsidR="006C75FA" w:rsidRPr="00690609" w:rsidRDefault="006C75FA" w:rsidP="006C75FA">
          <w:pPr>
            <w:overflowPunct w:val="0"/>
            <w:autoSpaceDE w:val="0"/>
            <w:autoSpaceDN w:val="0"/>
            <w:adjustRightInd w:val="0"/>
            <w:spacing w:line="240" w:lineRule="atLeast"/>
            <w:textAlignment w:val="baseline"/>
            <w:rPr>
              <w:rFonts w:eastAsia="Batang"/>
              <w:szCs w:val="22"/>
              <w:lang w:val="en-GB"/>
            </w:rPr>
          </w:pPr>
          <w:r>
            <w:rPr>
              <w:rFonts w:eastAsia="Batang"/>
              <w:szCs w:val="22"/>
              <w:lang w:val="en-GB"/>
            </w:rPr>
            <w:t>Chairman, WP3</w:t>
          </w:r>
        </w:p>
      </w:tc>
      <w:tc>
        <w:tcPr>
          <w:tcW w:w="3996" w:type="dxa"/>
        </w:tcPr>
        <w:p w14:paraId="11E185DE" w14:textId="77777777" w:rsidR="006C75FA" w:rsidRPr="00690609" w:rsidRDefault="006C75FA" w:rsidP="006C75FA">
          <w:pPr>
            <w:rPr>
              <w:lang w:eastAsia="ja-JP"/>
            </w:rPr>
          </w:pPr>
          <w:r w:rsidRPr="00690609">
            <w:t>Email</w:t>
          </w:r>
          <w:r>
            <w:rPr>
              <w:rFonts w:hint="eastAsia"/>
            </w:rPr>
            <w:t>:</w:t>
          </w:r>
          <w:r>
            <w:t xml:space="preserve"> </w:t>
          </w:r>
          <w:hyperlink r:id="rId1" w:history="1">
            <w:r w:rsidRPr="00492A22">
              <w:rPr>
                <w:rStyle w:val="Hyperlink"/>
              </w:rPr>
              <w:t>Abe.Muneo@cj.MitsubishiElectric.co.jp</w:t>
            </w:r>
          </w:hyperlink>
          <w:r>
            <w:t xml:space="preserve"> </w:t>
          </w:r>
        </w:p>
      </w:tc>
    </w:tr>
  </w:tbl>
  <w:p w14:paraId="2E0E6781" w14:textId="77777777" w:rsidR="0097693B" w:rsidRDefault="0097693B" w:rsidP="006C7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0B3D8" w14:textId="77777777" w:rsidR="003408F6" w:rsidRDefault="003408F6">
      <w:r>
        <w:separator/>
      </w:r>
    </w:p>
  </w:footnote>
  <w:footnote w:type="continuationSeparator" w:id="0">
    <w:p w14:paraId="5F513E87" w14:textId="77777777" w:rsidR="003408F6" w:rsidRDefault="00340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8" w14:textId="359951CE" w:rsidR="0097693B" w:rsidRDefault="0097693B" w:rsidP="00C15633">
    <w:pPr>
      <w:pStyle w:val="Header"/>
      <w:tabs>
        <w:tab w:val="center" w:pos="4763"/>
        <w:tab w:val="left" w:pos="5820"/>
      </w:tabs>
      <w:rPr>
        <w:lang w:eastAsia="ko-KR"/>
      </w:rPr>
    </w:pPr>
    <w:r>
      <w:rPr>
        <w:lang w:eastAsia="ko-KR"/>
      </w:rPr>
      <w:tab/>
    </w:r>
  </w:p>
  <w:p w14:paraId="2E0E6779" w14:textId="77777777"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0EAC1C2C"/>
    <w:multiLevelType w:val="multilevel"/>
    <w:tmpl w:val="F018687C"/>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F67FF9"/>
    <w:multiLevelType w:val="multilevel"/>
    <w:tmpl w:val="AD481670"/>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A31686"/>
    <w:multiLevelType w:val="hybridMultilevel"/>
    <w:tmpl w:val="AAF29156"/>
    <w:lvl w:ilvl="0" w:tplc="A114EBFA">
      <w:start w:val="1"/>
      <w:numFmt w:val="bullet"/>
      <w:lvlText w:val="-"/>
      <w:lvlJc w:val="left"/>
      <w:pPr>
        <w:ind w:left="703" w:hanging="420"/>
      </w:pPr>
      <w:rPr>
        <w:rFonts w:ascii="Malgun Gothic" w:eastAsia="Malgun Gothic" w:hAnsi="Malgun Gothic" w:cstheme="minorBidi" w:hint="eastAsia"/>
      </w:rPr>
    </w:lvl>
    <w:lvl w:ilvl="1" w:tplc="04090003" w:tentative="1">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10"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3491534B"/>
    <w:multiLevelType w:val="hybridMultilevel"/>
    <w:tmpl w:val="28F21802"/>
    <w:lvl w:ilvl="0" w:tplc="103AF6D0">
      <w:start w:val="2"/>
      <w:numFmt w:val="bullet"/>
      <w:lvlText w:val="-"/>
      <w:lvlJc w:val="left"/>
      <w:pPr>
        <w:ind w:left="600" w:hanging="360"/>
      </w:pPr>
      <w:rPr>
        <w:rFonts w:ascii="Times New Roman" w:eastAsia="BatangChe"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3"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BBE1A4D"/>
    <w:multiLevelType w:val="hybridMultilevel"/>
    <w:tmpl w:val="E8E6722C"/>
    <w:lvl w:ilvl="0" w:tplc="A114EBFA">
      <w:start w:val="1"/>
      <w:numFmt w:val="bullet"/>
      <w:lvlText w:val="-"/>
      <w:lvlJc w:val="left"/>
      <w:pPr>
        <w:ind w:left="1080" w:hanging="360"/>
      </w:pPr>
      <w:rPr>
        <w:rFonts w:ascii="Malgun Gothic" w:eastAsia="Malgun Gothic" w:hAnsi="Malgun Gothic" w:cstheme="minorBidi" w:hint="eastAsia"/>
      </w:rPr>
    </w:lvl>
    <w:lvl w:ilvl="1" w:tplc="04090003">
      <w:start w:val="1"/>
      <w:numFmt w:val="bullet"/>
      <w:lvlText w:val=""/>
      <w:lvlJc w:val="left"/>
      <w:pPr>
        <w:ind w:left="1520" w:hanging="400"/>
      </w:pPr>
      <w:rPr>
        <w:rFonts w:ascii="Wingdings" w:hAnsi="Wingdings" w:hint="default"/>
      </w:rPr>
    </w:lvl>
    <w:lvl w:ilvl="2" w:tplc="04090005">
      <w:start w:val="1"/>
      <w:numFmt w:val="bullet"/>
      <w:lvlText w:val=""/>
      <w:lvlJc w:val="left"/>
      <w:pPr>
        <w:ind w:left="1920" w:hanging="400"/>
      </w:pPr>
      <w:rPr>
        <w:rFonts w:ascii="Wingdings" w:hAnsi="Wingdings" w:hint="default"/>
      </w:rPr>
    </w:lvl>
    <w:lvl w:ilvl="3" w:tplc="14090003">
      <w:start w:val="1"/>
      <w:numFmt w:val="bullet"/>
      <w:lvlText w:val="o"/>
      <w:lvlJc w:val="left"/>
      <w:pPr>
        <w:ind w:left="2320" w:hanging="400"/>
      </w:pPr>
      <w:rPr>
        <w:rFonts w:ascii="Courier New" w:hAnsi="Courier New" w:cs="Courier New"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6"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A2D4016"/>
    <w:multiLevelType w:val="hybridMultilevel"/>
    <w:tmpl w:val="DEF4EF58"/>
    <w:lvl w:ilvl="0" w:tplc="B816B436">
      <w:start w:val="1"/>
      <w:numFmt w:val="bullet"/>
      <w:lvlText w:val="-"/>
      <w:lvlJc w:val="left"/>
      <w:pPr>
        <w:ind w:left="1140" w:hanging="420"/>
      </w:pPr>
      <w:rPr>
        <w:rFonts w:ascii="Times New Roman" w:eastAsia="BatangChe"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8"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2"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4"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3"/>
  </w:num>
  <w:num w:numId="2">
    <w:abstractNumId w:val="7"/>
  </w:num>
  <w:num w:numId="3">
    <w:abstractNumId w:val="6"/>
  </w:num>
  <w:num w:numId="4">
    <w:abstractNumId w:val="20"/>
  </w:num>
  <w:num w:numId="5">
    <w:abstractNumId w:val="11"/>
  </w:num>
  <w:num w:numId="6">
    <w:abstractNumId w:val="14"/>
  </w:num>
  <w:num w:numId="7">
    <w:abstractNumId w:val="4"/>
  </w:num>
  <w:num w:numId="8">
    <w:abstractNumId w:val="1"/>
  </w:num>
  <w:num w:numId="9">
    <w:abstractNumId w:val="23"/>
  </w:num>
  <w:num w:numId="10">
    <w:abstractNumId w:val="19"/>
  </w:num>
  <w:num w:numId="11">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0"/>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4"/>
  </w:num>
  <w:num w:numId="17">
    <w:abstractNumId w:val="18"/>
  </w:num>
  <w:num w:numId="18">
    <w:abstractNumId w:val="15"/>
  </w:num>
  <w:num w:numId="19">
    <w:abstractNumId w:val="22"/>
  </w:num>
  <w:num w:numId="20">
    <w:abstractNumId w:val="10"/>
  </w:num>
  <w:num w:numId="21">
    <w:abstractNumId w:val="21"/>
  </w:num>
  <w:num w:numId="22">
    <w:abstractNumId w:val="25"/>
  </w:num>
  <w:num w:numId="23">
    <w:abstractNumId w:val="12"/>
  </w:num>
  <w:num w:numId="24">
    <w:abstractNumId w:val="2"/>
  </w:num>
  <w:num w:numId="25">
    <w:abstractNumId w:val="9"/>
  </w:num>
  <w:num w:numId="26">
    <w:abstractNumId w:val="1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35BD"/>
    <w:rsid w:val="00010C8E"/>
    <w:rsid w:val="0003595B"/>
    <w:rsid w:val="00036517"/>
    <w:rsid w:val="00036CC9"/>
    <w:rsid w:val="00040149"/>
    <w:rsid w:val="00043CC3"/>
    <w:rsid w:val="00061D34"/>
    <w:rsid w:val="00062E73"/>
    <w:rsid w:val="0006587E"/>
    <w:rsid w:val="00070642"/>
    <w:rsid w:val="000713CF"/>
    <w:rsid w:val="000718E3"/>
    <w:rsid w:val="00071FB1"/>
    <w:rsid w:val="000726E9"/>
    <w:rsid w:val="00075C14"/>
    <w:rsid w:val="000822B5"/>
    <w:rsid w:val="00094B87"/>
    <w:rsid w:val="000A012B"/>
    <w:rsid w:val="000A5418"/>
    <w:rsid w:val="000C081A"/>
    <w:rsid w:val="000D6477"/>
    <w:rsid w:val="000F2C0F"/>
    <w:rsid w:val="000F345F"/>
    <w:rsid w:val="000F517C"/>
    <w:rsid w:val="000F5540"/>
    <w:rsid w:val="00105F1A"/>
    <w:rsid w:val="00116C38"/>
    <w:rsid w:val="00125FBD"/>
    <w:rsid w:val="001409B2"/>
    <w:rsid w:val="00152636"/>
    <w:rsid w:val="0015288B"/>
    <w:rsid w:val="001539DD"/>
    <w:rsid w:val="00156782"/>
    <w:rsid w:val="00165F01"/>
    <w:rsid w:val="001731F4"/>
    <w:rsid w:val="00187630"/>
    <w:rsid w:val="001916F2"/>
    <w:rsid w:val="001930A7"/>
    <w:rsid w:val="00196568"/>
    <w:rsid w:val="00197C18"/>
    <w:rsid w:val="001A2F16"/>
    <w:rsid w:val="001A40F7"/>
    <w:rsid w:val="001B1804"/>
    <w:rsid w:val="001B18C2"/>
    <w:rsid w:val="001C443F"/>
    <w:rsid w:val="001C61A5"/>
    <w:rsid w:val="001C6707"/>
    <w:rsid w:val="001C6F13"/>
    <w:rsid w:val="001D5D7E"/>
    <w:rsid w:val="001F5947"/>
    <w:rsid w:val="00201E1E"/>
    <w:rsid w:val="00202410"/>
    <w:rsid w:val="00214A0C"/>
    <w:rsid w:val="0021588B"/>
    <w:rsid w:val="002161B6"/>
    <w:rsid w:val="002216AC"/>
    <w:rsid w:val="002414FA"/>
    <w:rsid w:val="0024741B"/>
    <w:rsid w:val="002475E2"/>
    <w:rsid w:val="002506D2"/>
    <w:rsid w:val="00250DE2"/>
    <w:rsid w:val="00254A1B"/>
    <w:rsid w:val="0026064A"/>
    <w:rsid w:val="00264566"/>
    <w:rsid w:val="0027219F"/>
    <w:rsid w:val="0028454D"/>
    <w:rsid w:val="00291C9E"/>
    <w:rsid w:val="002926D4"/>
    <w:rsid w:val="0029734E"/>
    <w:rsid w:val="002A3CF5"/>
    <w:rsid w:val="002B06A3"/>
    <w:rsid w:val="002B435C"/>
    <w:rsid w:val="002B447F"/>
    <w:rsid w:val="002C07DA"/>
    <w:rsid w:val="002C2A49"/>
    <w:rsid w:val="002C7EA9"/>
    <w:rsid w:val="002D17F2"/>
    <w:rsid w:val="002F575D"/>
    <w:rsid w:val="003113D7"/>
    <w:rsid w:val="00311E8A"/>
    <w:rsid w:val="00321418"/>
    <w:rsid w:val="00326E2B"/>
    <w:rsid w:val="003408F6"/>
    <w:rsid w:val="00342BE5"/>
    <w:rsid w:val="00342F20"/>
    <w:rsid w:val="00360377"/>
    <w:rsid w:val="00363E12"/>
    <w:rsid w:val="0036402F"/>
    <w:rsid w:val="00364B55"/>
    <w:rsid w:val="00366548"/>
    <w:rsid w:val="0038005B"/>
    <w:rsid w:val="003809C7"/>
    <w:rsid w:val="0038236C"/>
    <w:rsid w:val="003918C1"/>
    <w:rsid w:val="00393DCD"/>
    <w:rsid w:val="00395B40"/>
    <w:rsid w:val="003A2006"/>
    <w:rsid w:val="003A6568"/>
    <w:rsid w:val="003A723F"/>
    <w:rsid w:val="003B4FD1"/>
    <w:rsid w:val="003B6263"/>
    <w:rsid w:val="003C29E6"/>
    <w:rsid w:val="003C3D0F"/>
    <w:rsid w:val="003C64A7"/>
    <w:rsid w:val="003D1128"/>
    <w:rsid w:val="003D1671"/>
    <w:rsid w:val="003D3FDA"/>
    <w:rsid w:val="003D6D00"/>
    <w:rsid w:val="003E166F"/>
    <w:rsid w:val="003F307E"/>
    <w:rsid w:val="003F70E0"/>
    <w:rsid w:val="004001E5"/>
    <w:rsid w:val="0041313C"/>
    <w:rsid w:val="00420822"/>
    <w:rsid w:val="00420C74"/>
    <w:rsid w:val="004328B0"/>
    <w:rsid w:val="00434CBB"/>
    <w:rsid w:val="00441526"/>
    <w:rsid w:val="00445D14"/>
    <w:rsid w:val="004465AA"/>
    <w:rsid w:val="00446A5E"/>
    <w:rsid w:val="0045458F"/>
    <w:rsid w:val="004633B4"/>
    <w:rsid w:val="00495CED"/>
    <w:rsid w:val="004A2F96"/>
    <w:rsid w:val="004B3553"/>
    <w:rsid w:val="004B3F4B"/>
    <w:rsid w:val="004C5A29"/>
    <w:rsid w:val="004E1FCA"/>
    <w:rsid w:val="004E2B07"/>
    <w:rsid w:val="004E47D6"/>
    <w:rsid w:val="004F67AF"/>
    <w:rsid w:val="00503189"/>
    <w:rsid w:val="005145A6"/>
    <w:rsid w:val="00526D01"/>
    <w:rsid w:val="00530E8C"/>
    <w:rsid w:val="00535D34"/>
    <w:rsid w:val="00545933"/>
    <w:rsid w:val="00550252"/>
    <w:rsid w:val="00552105"/>
    <w:rsid w:val="005562F2"/>
    <w:rsid w:val="00557544"/>
    <w:rsid w:val="00565BBB"/>
    <w:rsid w:val="00570C8C"/>
    <w:rsid w:val="00585F3C"/>
    <w:rsid w:val="00586CA0"/>
    <w:rsid w:val="00587875"/>
    <w:rsid w:val="005A63EB"/>
    <w:rsid w:val="005B0876"/>
    <w:rsid w:val="005B5A88"/>
    <w:rsid w:val="005C33B6"/>
    <w:rsid w:val="005D6202"/>
    <w:rsid w:val="005D6E98"/>
    <w:rsid w:val="005F1281"/>
    <w:rsid w:val="005F2785"/>
    <w:rsid w:val="00601F41"/>
    <w:rsid w:val="00607E2B"/>
    <w:rsid w:val="006139D6"/>
    <w:rsid w:val="00616D1B"/>
    <w:rsid w:val="00623CE1"/>
    <w:rsid w:val="00627880"/>
    <w:rsid w:val="0063062B"/>
    <w:rsid w:val="00634A82"/>
    <w:rsid w:val="00637351"/>
    <w:rsid w:val="00646166"/>
    <w:rsid w:val="00654896"/>
    <w:rsid w:val="006621F0"/>
    <w:rsid w:val="006647BA"/>
    <w:rsid w:val="006649CD"/>
    <w:rsid w:val="00667229"/>
    <w:rsid w:val="00680269"/>
    <w:rsid w:val="00682BE5"/>
    <w:rsid w:val="00683846"/>
    <w:rsid w:val="006872DC"/>
    <w:rsid w:val="00690FED"/>
    <w:rsid w:val="006939A5"/>
    <w:rsid w:val="006C75FA"/>
    <w:rsid w:val="006D5223"/>
    <w:rsid w:val="006E12FC"/>
    <w:rsid w:val="006F0F24"/>
    <w:rsid w:val="006F2B2E"/>
    <w:rsid w:val="006F6A5C"/>
    <w:rsid w:val="0070339F"/>
    <w:rsid w:val="00703F6F"/>
    <w:rsid w:val="007052B3"/>
    <w:rsid w:val="00705962"/>
    <w:rsid w:val="00707C21"/>
    <w:rsid w:val="00712451"/>
    <w:rsid w:val="00717DE9"/>
    <w:rsid w:val="00723FEF"/>
    <w:rsid w:val="0072518B"/>
    <w:rsid w:val="00731041"/>
    <w:rsid w:val="007329E4"/>
    <w:rsid w:val="00732F08"/>
    <w:rsid w:val="007342F0"/>
    <w:rsid w:val="0074190C"/>
    <w:rsid w:val="0075493D"/>
    <w:rsid w:val="00762576"/>
    <w:rsid w:val="007673CA"/>
    <w:rsid w:val="0077428D"/>
    <w:rsid w:val="0078478F"/>
    <w:rsid w:val="00791060"/>
    <w:rsid w:val="007926EA"/>
    <w:rsid w:val="007B5626"/>
    <w:rsid w:val="007B6124"/>
    <w:rsid w:val="007C1250"/>
    <w:rsid w:val="007D3C53"/>
    <w:rsid w:val="007D7750"/>
    <w:rsid w:val="007E0456"/>
    <w:rsid w:val="007E3A0F"/>
    <w:rsid w:val="007F2628"/>
    <w:rsid w:val="007F2FBA"/>
    <w:rsid w:val="00800C3A"/>
    <w:rsid w:val="0080570B"/>
    <w:rsid w:val="008148E1"/>
    <w:rsid w:val="00823912"/>
    <w:rsid w:val="0082735D"/>
    <w:rsid w:val="008319BF"/>
    <w:rsid w:val="008415F0"/>
    <w:rsid w:val="008433C2"/>
    <w:rsid w:val="00844457"/>
    <w:rsid w:val="008454C8"/>
    <w:rsid w:val="00851D78"/>
    <w:rsid w:val="00852343"/>
    <w:rsid w:val="008A016F"/>
    <w:rsid w:val="008A1A0D"/>
    <w:rsid w:val="008A72E1"/>
    <w:rsid w:val="008A76ED"/>
    <w:rsid w:val="008B3C72"/>
    <w:rsid w:val="008D0E09"/>
    <w:rsid w:val="00903007"/>
    <w:rsid w:val="00923816"/>
    <w:rsid w:val="00926098"/>
    <w:rsid w:val="0093074B"/>
    <w:rsid w:val="00930E64"/>
    <w:rsid w:val="00932322"/>
    <w:rsid w:val="00943CF9"/>
    <w:rsid w:val="00956F8C"/>
    <w:rsid w:val="00961D57"/>
    <w:rsid w:val="009633F1"/>
    <w:rsid w:val="00976716"/>
    <w:rsid w:val="0097693B"/>
    <w:rsid w:val="009825DE"/>
    <w:rsid w:val="00993355"/>
    <w:rsid w:val="009963F7"/>
    <w:rsid w:val="009A11CB"/>
    <w:rsid w:val="009A4A6D"/>
    <w:rsid w:val="009B44DD"/>
    <w:rsid w:val="009B7E42"/>
    <w:rsid w:val="009C3210"/>
    <w:rsid w:val="009D3066"/>
    <w:rsid w:val="009D38A9"/>
    <w:rsid w:val="009D46CE"/>
    <w:rsid w:val="009D4ADA"/>
    <w:rsid w:val="009E13DD"/>
    <w:rsid w:val="009F547A"/>
    <w:rsid w:val="00A0503B"/>
    <w:rsid w:val="00A059CD"/>
    <w:rsid w:val="00A13265"/>
    <w:rsid w:val="00A14900"/>
    <w:rsid w:val="00A2159F"/>
    <w:rsid w:val="00A438D0"/>
    <w:rsid w:val="00A529BC"/>
    <w:rsid w:val="00A5346C"/>
    <w:rsid w:val="00A53F51"/>
    <w:rsid w:val="00A53FC8"/>
    <w:rsid w:val="00A562F0"/>
    <w:rsid w:val="00A564FB"/>
    <w:rsid w:val="00A614C1"/>
    <w:rsid w:val="00A61EA6"/>
    <w:rsid w:val="00A657BF"/>
    <w:rsid w:val="00A71136"/>
    <w:rsid w:val="00A92578"/>
    <w:rsid w:val="00AA474C"/>
    <w:rsid w:val="00AB1900"/>
    <w:rsid w:val="00AC35EF"/>
    <w:rsid w:val="00AC4D5B"/>
    <w:rsid w:val="00AD1DDB"/>
    <w:rsid w:val="00AD2697"/>
    <w:rsid w:val="00AD7E5F"/>
    <w:rsid w:val="00AE3066"/>
    <w:rsid w:val="00AF0F21"/>
    <w:rsid w:val="00AF68E4"/>
    <w:rsid w:val="00B00A87"/>
    <w:rsid w:val="00B01AA1"/>
    <w:rsid w:val="00B06025"/>
    <w:rsid w:val="00B14564"/>
    <w:rsid w:val="00B17191"/>
    <w:rsid w:val="00B30C81"/>
    <w:rsid w:val="00B30DA1"/>
    <w:rsid w:val="00B43A6A"/>
    <w:rsid w:val="00B4793B"/>
    <w:rsid w:val="00B56099"/>
    <w:rsid w:val="00B64A60"/>
    <w:rsid w:val="00B937D7"/>
    <w:rsid w:val="00B96B67"/>
    <w:rsid w:val="00B96BF3"/>
    <w:rsid w:val="00BC57EF"/>
    <w:rsid w:val="00BC69DB"/>
    <w:rsid w:val="00BE6B6B"/>
    <w:rsid w:val="00BF25F9"/>
    <w:rsid w:val="00C10790"/>
    <w:rsid w:val="00C13FD5"/>
    <w:rsid w:val="00C15633"/>
    <w:rsid w:val="00C15799"/>
    <w:rsid w:val="00C32E84"/>
    <w:rsid w:val="00C35415"/>
    <w:rsid w:val="00C357AD"/>
    <w:rsid w:val="00C36A60"/>
    <w:rsid w:val="00C51C5F"/>
    <w:rsid w:val="00C554CC"/>
    <w:rsid w:val="00C6069C"/>
    <w:rsid w:val="00C70477"/>
    <w:rsid w:val="00C74745"/>
    <w:rsid w:val="00C85119"/>
    <w:rsid w:val="00C95C48"/>
    <w:rsid w:val="00CB21D6"/>
    <w:rsid w:val="00CD170C"/>
    <w:rsid w:val="00CD320B"/>
    <w:rsid w:val="00CD3F37"/>
    <w:rsid w:val="00CD5431"/>
    <w:rsid w:val="00CE4B93"/>
    <w:rsid w:val="00CF2491"/>
    <w:rsid w:val="00CF3963"/>
    <w:rsid w:val="00D1252E"/>
    <w:rsid w:val="00D13D9D"/>
    <w:rsid w:val="00D416A3"/>
    <w:rsid w:val="00D459A2"/>
    <w:rsid w:val="00D530FF"/>
    <w:rsid w:val="00D53688"/>
    <w:rsid w:val="00D5407A"/>
    <w:rsid w:val="00D57772"/>
    <w:rsid w:val="00D72AE3"/>
    <w:rsid w:val="00D7386D"/>
    <w:rsid w:val="00D75A4D"/>
    <w:rsid w:val="00D8478B"/>
    <w:rsid w:val="00D86151"/>
    <w:rsid w:val="00D9172D"/>
    <w:rsid w:val="00D97E84"/>
    <w:rsid w:val="00DA18B4"/>
    <w:rsid w:val="00DA5641"/>
    <w:rsid w:val="00DA7595"/>
    <w:rsid w:val="00DB04A6"/>
    <w:rsid w:val="00DB0A68"/>
    <w:rsid w:val="00DC43A3"/>
    <w:rsid w:val="00DC4CF3"/>
    <w:rsid w:val="00DC5C01"/>
    <w:rsid w:val="00DD7C09"/>
    <w:rsid w:val="00DE6806"/>
    <w:rsid w:val="00DF0EB4"/>
    <w:rsid w:val="00DF4847"/>
    <w:rsid w:val="00E0124F"/>
    <w:rsid w:val="00E34CDB"/>
    <w:rsid w:val="00E5762A"/>
    <w:rsid w:val="00E63335"/>
    <w:rsid w:val="00E674D3"/>
    <w:rsid w:val="00E70FD0"/>
    <w:rsid w:val="00E7309D"/>
    <w:rsid w:val="00E77C4B"/>
    <w:rsid w:val="00E9301F"/>
    <w:rsid w:val="00E9690A"/>
    <w:rsid w:val="00E97DC7"/>
    <w:rsid w:val="00EA2051"/>
    <w:rsid w:val="00EB57D0"/>
    <w:rsid w:val="00ED5380"/>
    <w:rsid w:val="00EE7F93"/>
    <w:rsid w:val="00F000EF"/>
    <w:rsid w:val="00F11BCC"/>
    <w:rsid w:val="00F17EEA"/>
    <w:rsid w:val="00F2504E"/>
    <w:rsid w:val="00F2585B"/>
    <w:rsid w:val="00F4053F"/>
    <w:rsid w:val="00F516E7"/>
    <w:rsid w:val="00F5673B"/>
    <w:rsid w:val="00F57BF7"/>
    <w:rsid w:val="00F6263E"/>
    <w:rsid w:val="00F627C2"/>
    <w:rsid w:val="00F81587"/>
    <w:rsid w:val="00F84067"/>
    <w:rsid w:val="00F9333A"/>
    <w:rsid w:val="00F960D6"/>
    <w:rsid w:val="00F963EB"/>
    <w:rsid w:val="00FA50B4"/>
    <w:rsid w:val="00FB6E83"/>
    <w:rsid w:val="00FC156A"/>
    <w:rsid w:val="00FD5FFA"/>
    <w:rsid w:val="00FD6235"/>
    <w:rsid w:val="00FE13D1"/>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0E672F"/>
  <w15:docId w15:val="{D918BC9A-2CED-493D-A894-2ADA9B1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ECC Hyperlink,CEO_Hyperlink,超级链接"/>
    <w:basedOn w:val="DefaultParagraphFont"/>
    <w:unhideWhenUsed/>
    <w:qFormat/>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character" w:customStyle="1" w:styleId="ECCHLbold">
    <w:name w:val="ECC HL bold"/>
    <w:basedOn w:val="DefaultParagraphFont"/>
    <w:uiPriority w:val="1"/>
    <w:qFormat/>
    <w:rsid w:val="00363E12"/>
    <w:rPr>
      <w:b/>
      <w:bCs/>
    </w:rPr>
  </w:style>
  <w:style w:type="character" w:customStyle="1" w:styleId="ECCParagraph">
    <w:name w:val="ECC Paragraph"/>
    <w:basedOn w:val="DefaultParagraphFont"/>
    <w:uiPriority w:val="1"/>
    <w:qFormat/>
    <w:rsid w:val="00363E12"/>
    <w:rPr>
      <w:rFonts w:ascii="Arial" w:hAnsi="Arial" w:cs="Arial" w:hint="default"/>
      <w:noProof w:val="0"/>
      <w:sz w:val="20"/>
      <w:bdr w:val="none" w:sz="0" w:space="0" w:color="auto" w:frame="1"/>
      <w:lang w:val="en-GB"/>
    </w:rPr>
  </w:style>
  <w:style w:type="character" w:customStyle="1" w:styleId="Heading8Char">
    <w:name w:val="Heading 8 Char"/>
    <w:basedOn w:val="DefaultParagraphFont"/>
    <w:link w:val="Heading8"/>
    <w:rsid w:val="006C75FA"/>
    <w:rPr>
      <w:rFonts w:eastAsia="BatangChe"/>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614118">
      <w:bodyDiv w:val="1"/>
      <w:marLeft w:val="0"/>
      <w:marRight w:val="0"/>
      <w:marTop w:val="0"/>
      <w:marBottom w:val="0"/>
      <w:divBdr>
        <w:top w:val="none" w:sz="0" w:space="0" w:color="auto"/>
        <w:left w:val="none" w:sz="0" w:space="0" w:color="auto"/>
        <w:bottom w:val="none" w:sz="0" w:space="0" w:color="auto"/>
        <w:right w:val="none" w:sz="0" w:space="0" w:color="auto"/>
      </w:divBdr>
    </w:div>
    <w:div w:id="978804633">
      <w:bodyDiv w:val="1"/>
      <w:marLeft w:val="0"/>
      <w:marRight w:val="0"/>
      <w:marTop w:val="0"/>
      <w:marBottom w:val="0"/>
      <w:divBdr>
        <w:top w:val="none" w:sz="0" w:space="0" w:color="auto"/>
        <w:left w:val="none" w:sz="0" w:space="0" w:color="auto"/>
        <w:bottom w:val="none" w:sz="0" w:space="0" w:color="auto"/>
        <w:right w:val="none" w:sz="0" w:space="0" w:color="auto"/>
      </w:divBdr>
    </w:div>
    <w:div w:id="1397319795">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631782073">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Abe.Muneo@cj.MitsubishiElectric.c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1105E-1909-416C-B614-94DC7CC00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1480</Words>
  <Characters>8440</Characters>
  <Application>Microsoft Office Word</Application>
  <DocSecurity>0</DocSecurity>
  <Lines>70</Lines>
  <Paragraphs>19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APT</Company>
  <LinksUpToDate>false</LinksUpToDate>
  <CharactersWithSpaces>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2</cp:revision>
  <cp:lastPrinted>2015-02-02T07:28:00Z</cp:lastPrinted>
  <dcterms:created xsi:type="dcterms:W3CDTF">2019-01-15T01:55:00Z</dcterms:created>
  <dcterms:modified xsi:type="dcterms:W3CDTF">2019-01-15T01:55:00Z</dcterms:modified>
</cp:coreProperties>
</file>