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2EFDD"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14:paraId="3D98A24A" w14:textId="5CE6AA88"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960D3D">
        <w:rPr>
          <w:rFonts w:ascii="Times New Roman" w:hAnsi="Times New Roman" w:cs="Times New Roman"/>
          <w:sz w:val="24"/>
          <w:szCs w:val="24"/>
        </w:rPr>
        <w:t xml:space="preserve"> Fahmi (</w:t>
      </w:r>
      <w:hyperlink r:id="rId7" w:history="1">
        <w:r w:rsidR="00960D3D" w:rsidRPr="008C0B21">
          <w:rPr>
            <w:rStyle w:val="Hyperlink"/>
            <w:rFonts w:ascii="Times New Roman" w:hAnsi="Times New Roman" w:cs="Times New Roman"/>
            <w:sz w:val="24"/>
            <w:szCs w:val="24"/>
          </w:rPr>
          <w:t>fahmi@postel.go.id</w:t>
        </w:r>
      </w:hyperlink>
      <w:r w:rsidR="00960D3D">
        <w:rPr>
          <w:rFonts w:ascii="Times New Roman" w:hAnsi="Times New Roman" w:cs="Times New Roman"/>
          <w:sz w:val="24"/>
          <w:szCs w:val="24"/>
        </w:rPr>
        <w:t xml:space="preserve">) </w:t>
      </w:r>
    </w:p>
    <w:p w14:paraId="2396C2C8" w14:textId="26A99DA0"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960D3D">
        <w:rPr>
          <w:rFonts w:ascii="Times New Roman" w:hAnsi="Times New Roman" w:cs="Times New Roman"/>
          <w:sz w:val="24"/>
          <w:szCs w:val="24"/>
        </w:rPr>
        <w:t>2</w:t>
      </w:r>
      <w:r w:rsidR="00472581">
        <w:rPr>
          <w:rFonts w:ascii="Times New Roman" w:hAnsi="Times New Roman" w:cs="Times New Roman"/>
          <w:sz w:val="24"/>
          <w:szCs w:val="24"/>
        </w:rPr>
        <w:t>7</w:t>
      </w:r>
      <w:r w:rsidR="00960D3D">
        <w:rPr>
          <w:rFonts w:ascii="Times New Roman" w:hAnsi="Times New Roman" w:cs="Times New Roman"/>
          <w:sz w:val="24"/>
          <w:szCs w:val="24"/>
        </w:rPr>
        <w:t xml:space="preserve"> February 2019</w:t>
      </w:r>
    </w:p>
    <w:p w14:paraId="69BB3A96" w14:textId="77777777" w:rsidR="000B5983" w:rsidRPr="00AC461C" w:rsidRDefault="000B5983" w:rsidP="00086F2C">
      <w:pPr>
        <w:rPr>
          <w:rFonts w:ascii="Times New Roman" w:hAnsi="Times New Roman" w:cs="Times New Roman"/>
          <w:sz w:val="24"/>
          <w:szCs w:val="24"/>
        </w:rPr>
      </w:pPr>
    </w:p>
    <w:p w14:paraId="4EC374B8" w14:textId="1432DAD3"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91278">
        <w:rPr>
          <w:rFonts w:ascii="Times New Roman" w:hAnsi="Times New Roman" w:cs="Times New Roman"/>
          <w:sz w:val="24"/>
          <w:szCs w:val="24"/>
        </w:rPr>
        <w:t xml:space="preserve"> 1.3</w:t>
      </w:r>
    </w:p>
    <w:p w14:paraId="7E018553" w14:textId="4C38A0F8" w:rsidR="00D91278" w:rsidRDefault="00D91278" w:rsidP="00D91278">
      <w:pPr>
        <w:pStyle w:val="ListParagraph"/>
        <w:ind w:leftChars="0" w:left="360"/>
        <w:rPr>
          <w:rFonts w:ascii="Times New Roman" w:hAnsi="Times New Roman" w:cs="Times New Roman"/>
          <w:sz w:val="24"/>
          <w:szCs w:val="24"/>
        </w:rPr>
      </w:pPr>
      <w:r w:rsidRPr="00D91278">
        <w:rPr>
          <w:rFonts w:ascii="Times New Roman" w:hAnsi="Times New Roman" w:cs="Times New Roman"/>
          <w:i/>
          <w:sz w:val="24"/>
          <w:szCs w:val="24"/>
          <w:lang w:val="en-GB"/>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D91278">
        <w:rPr>
          <w:rFonts w:ascii="Times New Roman" w:hAnsi="Times New Roman" w:cs="Times New Roman"/>
          <w:b/>
          <w:bCs/>
          <w:i/>
          <w:sz w:val="24"/>
          <w:szCs w:val="24"/>
        </w:rPr>
        <w:t>766 (WRC-15)</w:t>
      </w:r>
    </w:p>
    <w:p w14:paraId="553BCA31"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14:paraId="71C893F0" w14:textId="33C833B0" w:rsidR="004D7CC0" w:rsidRDefault="00D91278" w:rsidP="00D91278">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APT Preliminary Views (Doc: </w:t>
      </w:r>
      <w:hyperlink r:id="rId8" w:tgtFrame="_blank" w:history="1">
        <w:r w:rsidRPr="00D91278">
          <w:rPr>
            <w:rStyle w:val="Hyperlink"/>
            <w:rFonts w:ascii="Times New Roman" w:hAnsi="Times New Roman" w:cs="Times New Roman"/>
            <w:bCs/>
            <w:sz w:val="24"/>
            <w:szCs w:val="24"/>
          </w:rPr>
          <w:t>APG19-4/OUT-32</w:t>
        </w:r>
      </w:hyperlink>
      <w:r w:rsidRPr="00D91278">
        <w:rPr>
          <w:rFonts w:ascii="Times New Roman" w:hAnsi="Times New Roman" w:cs="Times New Roman"/>
          <w:sz w:val="24"/>
          <w:szCs w:val="24"/>
        </w:rPr>
        <w:t>)</w:t>
      </w:r>
    </w:p>
    <w:p w14:paraId="71FDA49F" w14:textId="40AED386"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APT members support further ITU-R sharing and compatibility studies in accordance with Resolution 766 (WRC-15), to conduct and complete in time for WRC-19, the necessary technical, operational and regulatory studies on the possibility to upgrade the secondary allocation of the meteorological-satellite service (space-to-Earth) to primary status and a primary allocation to the Earth exploration-satellite service (space-to-Earth) in the frequency band 460-470 </w:t>
      </w:r>
      <w:proofErr w:type="spellStart"/>
      <w:r w:rsidRPr="00D91278">
        <w:rPr>
          <w:rFonts w:ascii="Times New Roman" w:hAnsi="Times New Roman" w:cs="Times New Roman"/>
          <w:sz w:val="24"/>
          <w:szCs w:val="24"/>
        </w:rPr>
        <w:t>MHz.</w:t>
      </w:r>
      <w:proofErr w:type="spellEnd"/>
      <w:r w:rsidRPr="00D91278">
        <w:rPr>
          <w:rFonts w:ascii="Times New Roman" w:hAnsi="Times New Roman" w:cs="Times New Roman"/>
          <w:sz w:val="24"/>
          <w:szCs w:val="24"/>
        </w:rPr>
        <w:t xml:space="preserve">  </w:t>
      </w:r>
    </w:p>
    <w:p w14:paraId="2AA15D7A" w14:textId="3C397A81"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The appropriate measures are necessary to be taken to ensure the protection of existing fixed, mobile, and broadcasting services and not to constraint their future developments in the frequency band 460-470 MHz and in the adjacent bands, and stations of the EESS and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services shall not claim protection from the fixed, mobile, and broadcasting services. APT members also note that the priority of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over EESS should be maintained. </w:t>
      </w:r>
    </w:p>
    <w:p w14:paraId="0B8BD296" w14:textId="7A77CFB7"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APT members note that further studies are required to address appropriate I/N protection criteria with regard to the PPDR services. The decision on which Method to adopt will depend on the outcome of those studies.</w:t>
      </w:r>
    </w:p>
    <w:p w14:paraId="0B54EA0F" w14:textId="04EE17E5"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Stations of the EESS and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services shall not cause harmful interference to fixed, mobile, and broadcasting services in 460-470 MHz and adjacent bands. APT members note that further studies are required to address appropriate </w:t>
      </w:r>
      <w:proofErr w:type="spellStart"/>
      <w:r w:rsidRPr="00D91278">
        <w:rPr>
          <w:rFonts w:ascii="Times New Roman" w:hAnsi="Times New Roman" w:cs="Times New Roman"/>
          <w:sz w:val="24"/>
          <w:szCs w:val="24"/>
        </w:rPr>
        <w:t>pfd</w:t>
      </w:r>
      <w:proofErr w:type="spellEnd"/>
      <w:r w:rsidRPr="00D91278">
        <w:rPr>
          <w:rFonts w:ascii="Times New Roman" w:hAnsi="Times New Roman" w:cs="Times New Roman"/>
          <w:sz w:val="24"/>
          <w:szCs w:val="24"/>
        </w:rPr>
        <w:t xml:space="preserve"> limits for GSO and non-GSO satellites to ensure this.</w:t>
      </w:r>
    </w:p>
    <w:p w14:paraId="6090DEA3" w14:textId="2666AA05" w:rsidR="00D91278" w:rsidRDefault="00D91278" w:rsidP="00D91278">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APT Views for modification of draft CPM Report (Doc: </w:t>
      </w:r>
      <w:hyperlink r:id="rId9" w:tgtFrame="_blank" w:history="1">
        <w:r w:rsidRPr="00D91278">
          <w:rPr>
            <w:rStyle w:val="Hyperlink"/>
            <w:rFonts w:ascii="Times New Roman" w:hAnsi="Times New Roman" w:cs="Times New Roman"/>
            <w:bCs/>
            <w:sz w:val="24"/>
            <w:szCs w:val="24"/>
          </w:rPr>
          <w:t>APG19-4/OUT-33</w:t>
        </w:r>
      </w:hyperlink>
      <w:r>
        <w:rPr>
          <w:rFonts w:ascii="Times New Roman" w:hAnsi="Times New Roman" w:cs="Times New Roman"/>
          <w:sz w:val="24"/>
          <w:szCs w:val="24"/>
        </w:rPr>
        <w:t>)</w:t>
      </w:r>
    </w:p>
    <w:p w14:paraId="4B9552AA" w14:textId="26CF8F3C" w:rsidR="00D91278" w:rsidRPr="00D91278" w:rsidRDefault="00D91278" w:rsidP="00D91278">
      <w:pPr>
        <w:ind w:left="720"/>
        <w:rPr>
          <w:rFonts w:ascii="Times New Roman" w:hAnsi="Times New Roman" w:cs="Times New Roman"/>
          <w:sz w:val="24"/>
          <w:szCs w:val="24"/>
        </w:rPr>
      </w:pPr>
      <w:r w:rsidRPr="00D91278">
        <w:rPr>
          <w:rFonts w:ascii="Times New Roman" w:hAnsi="Times New Roman" w:cs="Times New Roman"/>
          <w:sz w:val="24"/>
          <w:szCs w:val="24"/>
        </w:rPr>
        <w:t>APT Members propose the following modifications to the text in the draft CPM Report related to WRC-19 Agenda Item 1.3.</w:t>
      </w:r>
    </w:p>
    <w:p w14:paraId="27DCBA2F" w14:textId="77777777" w:rsidR="00D91278" w:rsidRPr="0046687E" w:rsidRDefault="00D91278" w:rsidP="00D91278">
      <w:pPr>
        <w:pStyle w:val="Methodheading2"/>
      </w:pPr>
      <w:r w:rsidRPr="0046687E">
        <w:t>4/1.3/5.2</w:t>
      </w:r>
      <w:r w:rsidRPr="0046687E">
        <w:tab/>
        <w:t>Method B</w:t>
      </w:r>
    </w:p>
    <w:p w14:paraId="59DF76E9" w14:textId="77777777" w:rsidR="00D91278" w:rsidRDefault="00D91278" w:rsidP="00D91278"/>
    <w:p w14:paraId="6CE1C0AD" w14:textId="77777777" w:rsidR="00D91278" w:rsidRPr="00D91278" w:rsidRDefault="00D91278" w:rsidP="00D91278">
      <w:pPr>
        <w:rPr>
          <w:rFonts w:ascii="Times New Roman" w:hAnsi="Times New Roman" w:cs="Times New Roman"/>
          <w:sz w:val="24"/>
          <w:szCs w:val="24"/>
        </w:rPr>
      </w:pPr>
      <w:r w:rsidRPr="00D91278">
        <w:rPr>
          <w:rFonts w:ascii="Times New Roman" w:hAnsi="Times New Roman" w:cs="Times New Roman"/>
          <w:sz w:val="24"/>
          <w:szCs w:val="24"/>
        </w:rPr>
        <w:t>MOD</w:t>
      </w:r>
    </w:p>
    <w:p w14:paraId="2BA9AC9A" w14:textId="77777777" w:rsidR="00D91278" w:rsidRPr="0046687E" w:rsidRDefault="00D91278" w:rsidP="00D91278">
      <w:pPr>
        <w:pStyle w:val="Proposal"/>
      </w:pPr>
      <w:r w:rsidRPr="0046687E">
        <w:lastRenderedPageBreak/>
        <w:t>ADD</w:t>
      </w:r>
    </w:p>
    <w:p w14:paraId="274F5E3F" w14:textId="77777777" w:rsidR="00D91278" w:rsidRPr="00CF5B0F" w:rsidRDefault="00D91278" w:rsidP="00D91278">
      <w:pPr>
        <w:pStyle w:val="Note"/>
        <w:rPr>
          <w:noProof w:val="0"/>
          <w:sz w:val="24"/>
          <w:szCs w:val="24"/>
          <w:lang w:eastAsia="en-US"/>
        </w:rPr>
      </w:pPr>
      <w:r w:rsidRPr="00CF5B0F">
        <w:rPr>
          <w:b/>
          <w:noProof w:val="0"/>
          <w:sz w:val="24"/>
          <w:szCs w:val="24"/>
          <w:lang w:eastAsia="en-US"/>
        </w:rPr>
        <w:t>5. A13</w:t>
      </w:r>
      <w:r w:rsidRPr="00CF5B0F">
        <w:rPr>
          <w:noProof w:val="0"/>
          <w:sz w:val="24"/>
          <w:szCs w:val="24"/>
          <w:lang w:eastAsia="en-US"/>
        </w:rPr>
        <w:tab/>
      </w:r>
      <w:proofErr w:type="gramStart"/>
      <w:r w:rsidRPr="00CF5B0F">
        <w:rPr>
          <w:noProof w:val="0"/>
          <w:sz w:val="24"/>
          <w:szCs w:val="24"/>
          <w:lang w:eastAsia="en-US"/>
        </w:rPr>
        <w:t>In</w:t>
      </w:r>
      <w:proofErr w:type="gramEnd"/>
      <w:r w:rsidRPr="00CF5B0F">
        <w:rPr>
          <w:noProof w:val="0"/>
          <w:sz w:val="24"/>
          <w:szCs w:val="24"/>
          <w:lang w:eastAsia="en-US"/>
        </w:rPr>
        <w:t xml:space="preserve"> the frequency band 460-470 MHz, </w:t>
      </w:r>
      <w:r w:rsidRPr="004208AB">
        <w:rPr>
          <w:noProof w:val="0"/>
          <w:sz w:val="24"/>
          <w:szCs w:val="24"/>
          <w:lang w:eastAsia="en-US"/>
        </w:rPr>
        <w:t>earth</w:t>
      </w:r>
      <w:r>
        <w:rPr>
          <w:noProof w:val="0"/>
          <w:sz w:val="24"/>
          <w:szCs w:val="24"/>
          <w:lang w:eastAsia="en-US"/>
        </w:rPr>
        <w:t xml:space="preserve"> </w:t>
      </w:r>
      <w:r w:rsidRPr="00CF5B0F">
        <w:rPr>
          <w:noProof w:val="0"/>
          <w:sz w:val="24"/>
          <w:szCs w:val="24"/>
          <w:lang w:eastAsia="en-US"/>
        </w:rPr>
        <w:t>stations in the meteorological-satellite service (space-to-Earth) and Earth exploration-satellite service (space-to-Earth</w:t>
      </w:r>
      <w:r w:rsidRPr="004208AB">
        <w:rPr>
          <w:noProof w:val="0"/>
          <w:sz w:val="24"/>
          <w:szCs w:val="24"/>
          <w:lang w:eastAsia="en-US"/>
        </w:rPr>
        <w:t xml:space="preserve">) </w:t>
      </w:r>
      <w:r w:rsidRPr="00BC0169">
        <w:rPr>
          <w:noProof w:val="0"/>
          <w:sz w:val="24"/>
          <w:szCs w:val="24"/>
          <w:lang w:eastAsia="en-US"/>
        </w:rPr>
        <w:t>shall not cause harmful interference to nor</w:t>
      </w:r>
      <w:r>
        <w:rPr>
          <w:noProof w:val="0"/>
          <w:sz w:val="24"/>
          <w:szCs w:val="24"/>
          <w:lang w:eastAsia="en-US"/>
        </w:rPr>
        <w:t xml:space="preserve"> </w:t>
      </w:r>
      <w:r w:rsidRPr="00CF5B0F">
        <w:rPr>
          <w:noProof w:val="0"/>
          <w:sz w:val="24"/>
          <w:szCs w:val="24"/>
          <w:lang w:eastAsia="en-US"/>
        </w:rPr>
        <w:t xml:space="preserve">claim protection from stations of the </w:t>
      </w:r>
      <w:r w:rsidRPr="00B901CD">
        <w:rPr>
          <w:noProof w:val="0"/>
          <w:sz w:val="24"/>
          <w:szCs w:val="24"/>
          <w:lang w:eastAsia="en-US"/>
        </w:rPr>
        <w:t>fixed</w:t>
      </w:r>
      <w:r w:rsidRPr="00BC0169">
        <w:rPr>
          <w:noProof w:val="0"/>
          <w:sz w:val="24"/>
          <w:szCs w:val="24"/>
          <w:lang w:eastAsia="en-US"/>
        </w:rPr>
        <w:t xml:space="preserve"> and</w:t>
      </w:r>
      <w:r w:rsidRPr="00B901CD">
        <w:rPr>
          <w:noProof w:val="0"/>
          <w:sz w:val="24"/>
          <w:szCs w:val="24"/>
          <w:lang w:eastAsia="en-US"/>
        </w:rPr>
        <w:t xml:space="preserve"> mobile services</w:t>
      </w:r>
      <w:r w:rsidRPr="00D91278">
        <w:rPr>
          <w:noProof w:val="0"/>
          <w:sz w:val="24"/>
          <w:szCs w:val="24"/>
          <w:highlight w:val="cyan"/>
          <w:lang w:eastAsia="en-US"/>
        </w:rPr>
        <w:t>, and shall not claim protection from broadcasting service in the adjacent bands</w:t>
      </w:r>
      <w:r w:rsidRPr="00CF5B0F">
        <w:rPr>
          <w:noProof w:val="0"/>
          <w:sz w:val="24"/>
          <w:szCs w:val="24"/>
          <w:lang w:eastAsia="en-US"/>
        </w:rPr>
        <w:t>.     (WRC</w:t>
      </w:r>
      <w:r w:rsidRPr="00CF5B0F">
        <w:rPr>
          <w:noProof w:val="0"/>
          <w:sz w:val="24"/>
          <w:szCs w:val="24"/>
          <w:lang w:eastAsia="en-US"/>
        </w:rPr>
        <w:noBreakHyphen/>
        <w:t>19)</w:t>
      </w:r>
    </w:p>
    <w:p w14:paraId="2ADF699C" w14:textId="77777777" w:rsidR="00D91278" w:rsidRDefault="00D91278" w:rsidP="00D91278"/>
    <w:p w14:paraId="57E34D87" w14:textId="77777777" w:rsidR="00D91278" w:rsidRPr="00C616DF" w:rsidRDefault="00D91278" w:rsidP="00D91278">
      <w:pPr>
        <w:pStyle w:val="Note"/>
        <w:rPr>
          <w:noProof w:val="0"/>
          <w:sz w:val="24"/>
          <w:szCs w:val="24"/>
          <w:lang w:eastAsia="en-US"/>
        </w:rPr>
      </w:pPr>
      <w:r w:rsidRPr="003654D7">
        <w:rPr>
          <w:b/>
          <w:bCs/>
          <w:noProof w:val="0"/>
          <w:sz w:val="24"/>
          <w:szCs w:val="24"/>
          <w:lang w:eastAsia="en-US"/>
        </w:rPr>
        <w:t>Reasons</w:t>
      </w:r>
      <w:r w:rsidRPr="00C616DF">
        <w:rPr>
          <w:noProof w:val="0"/>
          <w:sz w:val="24"/>
          <w:szCs w:val="24"/>
          <w:lang w:eastAsia="en-US"/>
        </w:rPr>
        <w:t xml:space="preserve">: </w:t>
      </w:r>
    </w:p>
    <w:p w14:paraId="4622154D" w14:textId="77777777" w:rsidR="00D91278" w:rsidRPr="00BC0169" w:rsidRDefault="00D91278" w:rsidP="00D91278">
      <w:pPr>
        <w:pStyle w:val="Note"/>
        <w:rPr>
          <w:highlight w:val="magenta"/>
        </w:rPr>
      </w:pPr>
      <w:r w:rsidRPr="00D91278">
        <w:rPr>
          <w:sz w:val="24"/>
          <w:szCs w:val="24"/>
          <w:highlight w:val="cyan"/>
        </w:rPr>
        <w:t xml:space="preserve">The frequency band 470-694 MHz is allocated to the broadcasting service in all three regions on a primary basis and is widely used by this service. Given the fact that, based on </w:t>
      </w:r>
      <w:r w:rsidRPr="00D91278">
        <w:rPr>
          <w:i/>
          <w:iCs/>
          <w:sz w:val="24"/>
          <w:szCs w:val="24"/>
          <w:highlight w:val="cyan"/>
        </w:rPr>
        <w:t>resolves</w:t>
      </w:r>
      <w:r w:rsidRPr="00D91278">
        <w:rPr>
          <w:sz w:val="24"/>
          <w:szCs w:val="24"/>
          <w:highlight w:val="cyan"/>
        </w:rPr>
        <w:t xml:space="preserve"> to invite the 2019 World Radiocommunication Conference(WRC-19), Resolution </w:t>
      </w:r>
      <w:r w:rsidRPr="00D91278">
        <w:rPr>
          <w:b/>
          <w:bCs/>
          <w:sz w:val="24"/>
          <w:szCs w:val="24"/>
          <w:highlight w:val="cyan"/>
        </w:rPr>
        <w:t>766</w:t>
      </w:r>
      <w:r w:rsidRPr="00D91278">
        <w:rPr>
          <w:sz w:val="24"/>
          <w:szCs w:val="24"/>
          <w:highlight w:val="cyan"/>
        </w:rPr>
        <w:t xml:space="preserve"> </w:t>
      </w:r>
      <w:r w:rsidRPr="00D91278">
        <w:rPr>
          <w:b/>
          <w:bCs/>
          <w:sz w:val="24"/>
          <w:szCs w:val="24"/>
          <w:highlight w:val="cyan"/>
        </w:rPr>
        <w:t>(WRC-15)</w:t>
      </w:r>
      <w:r w:rsidRPr="00D91278">
        <w:rPr>
          <w:sz w:val="24"/>
          <w:szCs w:val="24"/>
          <w:highlight w:val="cyan"/>
        </w:rPr>
        <w:t>, the MetSat and EESS would not claim protection from services in adjacent frequency band, the compatibility of MetSat and EESS and more importantly not claiming protection from broadcasting service in adjacent frequency band, should be ensured.</w:t>
      </w:r>
      <w:r w:rsidRPr="00D91278">
        <w:rPr>
          <w:highlight w:val="cyan"/>
        </w:rPr>
        <w:t xml:space="preserve"> </w:t>
      </w:r>
    </w:p>
    <w:p w14:paraId="36E04BBC" w14:textId="77777777" w:rsidR="004D7CC0" w:rsidRDefault="004D7CC0" w:rsidP="004D7CC0">
      <w:pPr>
        <w:rPr>
          <w:rFonts w:ascii="Times New Roman" w:hAnsi="Times New Roman" w:cs="Times New Roman"/>
          <w:sz w:val="24"/>
          <w:szCs w:val="24"/>
        </w:rPr>
      </w:pPr>
    </w:p>
    <w:p w14:paraId="2FD33E5B"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560C04D8" w14:textId="79FFE0BA" w:rsidR="004D7CC0" w:rsidRDefault="004F05DA" w:rsidP="004D7CC0">
      <w:pPr>
        <w:rPr>
          <w:rFonts w:ascii="Times New Roman" w:hAnsi="Times New Roman" w:cs="Times New Roman"/>
          <w:sz w:val="24"/>
          <w:szCs w:val="24"/>
        </w:rPr>
      </w:pPr>
      <w:r>
        <w:rPr>
          <w:rFonts w:ascii="Times New Roman" w:hAnsi="Times New Roman" w:cs="Times New Roman"/>
          <w:sz w:val="24"/>
          <w:szCs w:val="24"/>
        </w:rPr>
        <w:t xml:space="preserve">Input documents: </w:t>
      </w:r>
      <w:hyperlink r:id="rId10" w:history="1">
        <w:r w:rsidRPr="004F05DA">
          <w:rPr>
            <w:rStyle w:val="Hyperlink"/>
            <w:rFonts w:ascii="Times New Roman" w:hAnsi="Times New Roman" w:cs="Times New Roman"/>
            <w:sz w:val="24"/>
            <w:szCs w:val="24"/>
          </w:rPr>
          <w:t>1+c1</w:t>
        </w:r>
      </w:hyperlink>
      <w:r w:rsidRPr="004F05DA">
        <w:rPr>
          <w:rFonts w:ascii="Times New Roman" w:hAnsi="Times New Roman" w:cs="Times New Roman"/>
          <w:sz w:val="24"/>
          <w:szCs w:val="24"/>
        </w:rPr>
        <w:t xml:space="preserve">*, </w:t>
      </w:r>
      <w:hyperlink r:id="rId11" w:history="1">
        <w:r w:rsidRPr="004F05DA">
          <w:rPr>
            <w:rStyle w:val="Hyperlink"/>
            <w:rFonts w:ascii="Times New Roman" w:hAnsi="Times New Roman" w:cs="Times New Roman"/>
            <w:sz w:val="24"/>
            <w:szCs w:val="24"/>
          </w:rPr>
          <w:t>3 (IMO)</w:t>
        </w:r>
      </w:hyperlink>
      <w:r w:rsidRPr="004F05DA">
        <w:rPr>
          <w:rFonts w:ascii="Times New Roman" w:hAnsi="Times New Roman" w:cs="Times New Roman"/>
          <w:sz w:val="24"/>
          <w:szCs w:val="24"/>
        </w:rPr>
        <w:t xml:space="preserve">*, </w:t>
      </w:r>
      <w:hyperlink r:id="rId12" w:history="1">
        <w:r w:rsidRPr="004F05DA">
          <w:rPr>
            <w:rStyle w:val="Hyperlink"/>
            <w:rFonts w:ascii="Times New Roman" w:hAnsi="Times New Roman" w:cs="Times New Roman"/>
            <w:sz w:val="24"/>
            <w:szCs w:val="24"/>
          </w:rPr>
          <w:t>14r1+Add.4 (APT)</w:t>
        </w:r>
      </w:hyperlink>
      <w:r w:rsidRPr="004F05DA">
        <w:rPr>
          <w:rFonts w:ascii="Times New Roman" w:hAnsi="Times New Roman" w:cs="Times New Roman"/>
          <w:sz w:val="24"/>
          <w:szCs w:val="24"/>
        </w:rPr>
        <w:t xml:space="preserve">, </w:t>
      </w:r>
      <w:hyperlink r:id="rId13" w:history="1">
        <w:r w:rsidRPr="004F05DA">
          <w:rPr>
            <w:rStyle w:val="Hyperlink"/>
            <w:rFonts w:ascii="Times New Roman" w:hAnsi="Times New Roman" w:cs="Times New Roman"/>
            <w:sz w:val="24"/>
            <w:szCs w:val="24"/>
          </w:rPr>
          <w:t>18 (WMO)</w:t>
        </w:r>
      </w:hyperlink>
      <w:r w:rsidRPr="004F05DA">
        <w:rPr>
          <w:rFonts w:ascii="Times New Roman" w:hAnsi="Times New Roman" w:cs="Times New Roman"/>
          <w:sz w:val="24"/>
          <w:szCs w:val="24"/>
        </w:rPr>
        <w:t xml:space="preserve">*, </w:t>
      </w:r>
      <w:hyperlink r:id="rId14" w:history="1">
        <w:r w:rsidRPr="004F05DA">
          <w:rPr>
            <w:rStyle w:val="Hyperlink"/>
            <w:rFonts w:ascii="Times New Roman" w:hAnsi="Times New Roman" w:cs="Times New Roman"/>
            <w:sz w:val="24"/>
            <w:szCs w:val="24"/>
          </w:rPr>
          <w:t>27 (USA)</w:t>
        </w:r>
      </w:hyperlink>
      <w:r w:rsidRPr="004F05DA">
        <w:rPr>
          <w:rFonts w:ascii="Times New Roman" w:hAnsi="Times New Roman" w:cs="Times New Roman"/>
          <w:sz w:val="24"/>
          <w:szCs w:val="24"/>
        </w:rPr>
        <w:t xml:space="preserve">, </w:t>
      </w:r>
      <w:hyperlink r:id="rId15" w:history="1">
        <w:r w:rsidRPr="004F05DA">
          <w:rPr>
            <w:rStyle w:val="Hyperlink"/>
            <w:rFonts w:ascii="Times New Roman" w:hAnsi="Times New Roman" w:cs="Times New Roman"/>
            <w:sz w:val="24"/>
            <w:szCs w:val="24"/>
          </w:rPr>
          <w:t>61 (RUS)</w:t>
        </w:r>
      </w:hyperlink>
      <w:r w:rsidRPr="004F05DA">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4F05DA">
          <w:rPr>
            <w:rStyle w:val="Hyperlink"/>
            <w:rFonts w:ascii="Times New Roman" w:hAnsi="Times New Roman" w:cs="Times New Roman"/>
            <w:sz w:val="24"/>
            <w:szCs w:val="24"/>
          </w:rPr>
          <w:t>143 (IRN)</w:t>
        </w:r>
      </w:hyperlink>
      <w:r w:rsidRPr="004F05DA">
        <w:rPr>
          <w:rFonts w:ascii="Times New Roman" w:hAnsi="Times New Roman" w:cs="Times New Roman"/>
          <w:sz w:val="24"/>
          <w:szCs w:val="24"/>
        </w:rPr>
        <w:t>,</w:t>
      </w:r>
      <w:hyperlink r:id="rId17" w:history="1">
        <w:r w:rsidRPr="004F05DA">
          <w:rPr>
            <w:rStyle w:val="Hyperlink"/>
            <w:rFonts w:ascii="Times New Roman" w:hAnsi="Times New Roman" w:cs="Times New Roman"/>
            <w:sz w:val="24"/>
            <w:szCs w:val="24"/>
          </w:rPr>
          <w:t>159 (ALG, BHR, EGY, IRQ, JOR, KWT, OMA, ARS, SDN, TUN, UAE)</w:t>
        </w:r>
      </w:hyperlink>
      <w:r w:rsidRPr="004F05DA">
        <w:rPr>
          <w:rFonts w:ascii="Times New Roman" w:hAnsi="Times New Roman" w:cs="Times New Roman"/>
          <w:sz w:val="24"/>
          <w:szCs w:val="24"/>
        </w:rPr>
        <w:t xml:space="preserve">, </w:t>
      </w:r>
      <w:hyperlink r:id="rId18" w:history="1">
        <w:r w:rsidRPr="004F05DA">
          <w:rPr>
            <w:rStyle w:val="Hyperlink"/>
            <w:rFonts w:ascii="Times New Roman" w:hAnsi="Times New Roman" w:cs="Times New Roman"/>
            <w:sz w:val="24"/>
            <w:szCs w:val="24"/>
          </w:rPr>
          <w:t>191 (D)</w:t>
        </w:r>
      </w:hyperlink>
    </w:p>
    <w:p w14:paraId="2622BFDE" w14:textId="5C129382" w:rsidR="004D7CC0" w:rsidRDefault="004F05DA" w:rsidP="004D7CC0">
      <w:pPr>
        <w:rPr>
          <w:rFonts w:ascii="Times New Roman" w:hAnsi="Times New Roman" w:cs="Times New Roman"/>
          <w:sz w:val="24"/>
          <w:szCs w:val="24"/>
        </w:rPr>
      </w:pPr>
      <w:r>
        <w:rPr>
          <w:rFonts w:ascii="Times New Roman" w:hAnsi="Times New Roman" w:cs="Times New Roman"/>
          <w:sz w:val="24"/>
          <w:szCs w:val="24"/>
        </w:rPr>
        <w:t>Topic proposed by these contributions:</w:t>
      </w:r>
    </w:p>
    <w:p w14:paraId="3A4DE319" w14:textId="7FFF594A" w:rsidR="00740084" w:rsidRDefault="00740084"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Modification of </w:t>
      </w:r>
      <w:r w:rsidR="00324B3D">
        <w:rPr>
          <w:rFonts w:ascii="Times New Roman" w:hAnsi="Times New Roman" w:cs="Times New Roman"/>
          <w:sz w:val="24"/>
          <w:szCs w:val="24"/>
        </w:rPr>
        <w:t>Executive Summary, Background, and Summary of result of ITU-R Study</w:t>
      </w:r>
    </w:p>
    <w:p w14:paraId="29DCB6A7" w14:textId="72E79BB8"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description of Method A (NOC)</w:t>
      </w:r>
    </w:p>
    <w:p w14:paraId="4FB1C07C" w14:textId="504907C9" w:rsidR="004F05DA" w:rsidRDefault="004F05DA"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Modification of Method B</w:t>
      </w:r>
    </w:p>
    <w:p w14:paraId="1CBC7B9E" w14:textId="375292FE"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advantages and disadvantages of Method B</w:t>
      </w:r>
    </w:p>
    <w:p w14:paraId="5785FFCE" w14:textId="58E75A29"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Method C</w:t>
      </w:r>
    </w:p>
    <w:p w14:paraId="3E7AB1DC" w14:textId="11583625" w:rsidR="00FF60AF" w:rsidRPr="004F05DA"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Modification of draft Resolution</w:t>
      </w:r>
    </w:p>
    <w:p w14:paraId="1E27629F" w14:textId="77777777" w:rsidR="004D7CC0" w:rsidRPr="004D7CC0" w:rsidRDefault="004D7CC0" w:rsidP="004D7CC0">
      <w:pPr>
        <w:rPr>
          <w:rFonts w:ascii="Times New Roman" w:hAnsi="Times New Roman" w:cs="Times New Roman"/>
          <w:sz w:val="24"/>
          <w:szCs w:val="24"/>
        </w:rPr>
      </w:pPr>
    </w:p>
    <w:p w14:paraId="67FF1F5D"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14:paraId="1253863F" w14:textId="09FEA534" w:rsidR="002658F5" w:rsidRPr="00BD393A" w:rsidRDefault="00472581" w:rsidP="00BD393A">
      <w:pPr>
        <w:rPr>
          <w:rFonts w:ascii="Times New Roman" w:hAnsi="Times New Roman" w:cs="Times New Roman"/>
          <w:sz w:val="24"/>
          <w:szCs w:val="24"/>
        </w:rPr>
      </w:pPr>
      <w:r>
        <w:rPr>
          <w:rFonts w:ascii="Times New Roman" w:hAnsi="Times New Roman" w:cs="Times New Roman"/>
          <w:sz w:val="24"/>
          <w:szCs w:val="24"/>
        </w:rPr>
        <w:t xml:space="preserve">During the first session of </w:t>
      </w:r>
      <w:r>
        <w:rPr>
          <w:rFonts w:ascii="Times New Roman" w:hAnsi="Times New Roman" w:cs="Times New Roman"/>
          <w:sz w:val="24"/>
          <w:szCs w:val="24"/>
        </w:rPr>
        <w:t>Plenary meeting</w:t>
      </w:r>
      <w:r>
        <w:rPr>
          <w:rFonts w:ascii="Times New Roman" w:hAnsi="Times New Roman" w:cs="Times New Roman"/>
          <w:sz w:val="24"/>
          <w:szCs w:val="24"/>
        </w:rPr>
        <w:t xml:space="preserve"> on 27 February 2019, document </w:t>
      </w:r>
      <w:r w:rsidRPr="00E64137">
        <w:rPr>
          <w:rFonts w:ascii="Times New Roman" w:hAnsi="Times New Roman" w:cs="Times New Roman"/>
          <w:sz w:val="24"/>
          <w:szCs w:val="24"/>
          <w:lang w:val="en-GB"/>
        </w:rPr>
        <w:t>CPM19-2</w:t>
      </w:r>
      <w:r w:rsidRPr="00E64137">
        <w:rPr>
          <w:rFonts w:ascii="Times New Roman" w:hAnsi="Times New Roman" w:cs="Times New Roman"/>
          <w:b/>
          <w:sz w:val="24"/>
          <w:szCs w:val="24"/>
          <w:lang w:val="en-GB"/>
        </w:rPr>
        <w:t>/</w:t>
      </w:r>
      <w:hyperlink r:id="rId19" w:history="1">
        <w:r w:rsidRPr="00E64137">
          <w:rPr>
            <w:rStyle w:val="Hyperlink"/>
            <w:rFonts w:ascii="Times New Roman" w:hAnsi="Times New Roman" w:cs="Times New Roman"/>
            <w:bCs/>
            <w:sz w:val="24"/>
            <w:szCs w:val="24"/>
          </w:rPr>
          <w:t>220</w:t>
        </w:r>
      </w:hyperlink>
      <w:r>
        <w:rPr>
          <w:rStyle w:val="Hyperlink"/>
          <w:rFonts w:ascii="Times New Roman" w:hAnsi="Times New Roman" w:cs="Times New Roman"/>
          <w:bCs/>
          <w:sz w:val="24"/>
          <w:szCs w:val="24"/>
          <w:u w:val="none"/>
        </w:rPr>
        <w:t xml:space="preserve"> </w:t>
      </w:r>
      <w:r>
        <w:rPr>
          <w:rFonts w:ascii="Times New Roman" w:hAnsi="Times New Roman" w:cs="Times New Roman"/>
          <w:sz w:val="24"/>
          <w:szCs w:val="24"/>
        </w:rPr>
        <w:t xml:space="preserve">which contains the draft CPM Report for agenda item 1.3 were introduced by Chairman of WG4. </w:t>
      </w:r>
      <w:r>
        <w:rPr>
          <w:rFonts w:ascii="Times New Roman" w:hAnsi="Times New Roman" w:cs="Times New Roman"/>
          <w:sz w:val="24"/>
          <w:szCs w:val="24"/>
        </w:rPr>
        <w:t>There was no concern raised during the meeting.</w:t>
      </w:r>
      <w:r>
        <w:rPr>
          <w:rFonts w:ascii="Times New Roman" w:hAnsi="Times New Roman" w:cs="Times New Roman"/>
          <w:sz w:val="24"/>
          <w:szCs w:val="24"/>
        </w:rPr>
        <w:t xml:space="preserve"> Plenary then approved </w:t>
      </w:r>
      <w:r>
        <w:rPr>
          <w:rFonts w:ascii="Times New Roman" w:hAnsi="Times New Roman" w:cs="Times New Roman"/>
          <w:sz w:val="24"/>
          <w:szCs w:val="24"/>
        </w:rPr>
        <w:t xml:space="preserve">document </w:t>
      </w:r>
      <w:r w:rsidRPr="00E64137">
        <w:rPr>
          <w:rFonts w:ascii="Times New Roman" w:hAnsi="Times New Roman" w:cs="Times New Roman"/>
          <w:sz w:val="24"/>
          <w:szCs w:val="24"/>
          <w:lang w:val="en-GB"/>
        </w:rPr>
        <w:t>CPM19-2</w:t>
      </w:r>
      <w:r w:rsidRPr="00E64137">
        <w:rPr>
          <w:rFonts w:ascii="Times New Roman" w:hAnsi="Times New Roman" w:cs="Times New Roman"/>
          <w:b/>
          <w:sz w:val="24"/>
          <w:szCs w:val="24"/>
          <w:lang w:val="en-GB"/>
        </w:rPr>
        <w:t>/</w:t>
      </w:r>
      <w:hyperlink r:id="rId20" w:history="1">
        <w:r w:rsidRPr="00E64137">
          <w:rPr>
            <w:rStyle w:val="Hyperlink"/>
            <w:rFonts w:ascii="Times New Roman" w:hAnsi="Times New Roman" w:cs="Times New Roman"/>
            <w:bCs/>
            <w:sz w:val="24"/>
            <w:szCs w:val="24"/>
          </w:rPr>
          <w:t>220</w:t>
        </w:r>
      </w:hyperlink>
      <w:r>
        <w:rPr>
          <w:rFonts w:ascii="Times New Roman" w:hAnsi="Times New Roman" w:cs="Times New Roman"/>
          <w:sz w:val="24"/>
          <w:szCs w:val="24"/>
        </w:rPr>
        <w:t xml:space="preserve">. </w:t>
      </w:r>
      <w:bookmarkStart w:id="0" w:name="_GoBack"/>
      <w:bookmarkEnd w:id="0"/>
    </w:p>
    <w:p w14:paraId="036FFDD2"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14:paraId="7A691357" w14:textId="097124C2" w:rsidR="00C82B13" w:rsidRDefault="00BD393A" w:rsidP="00C82B13">
      <w:pPr>
        <w:rPr>
          <w:rFonts w:ascii="Times New Roman" w:hAnsi="Times New Roman" w:cs="Times New Roman"/>
          <w:sz w:val="24"/>
          <w:szCs w:val="24"/>
        </w:rPr>
      </w:pPr>
      <w:r>
        <w:rPr>
          <w:rFonts w:ascii="Times New Roman" w:hAnsi="Times New Roman" w:cs="Times New Roman"/>
          <w:sz w:val="24"/>
          <w:szCs w:val="24"/>
        </w:rPr>
        <w:t>None</w:t>
      </w:r>
      <w:r w:rsidR="003E52CB">
        <w:rPr>
          <w:rFonts w:ascii="Times New Roman" w:hAnsi="Times New Roman" w:cs="Times New Roman"/>
          <w:sz w:val="24"/>
          <w:szCs w:val="24"/>
        </w:rPr>
        <w:t xml:space="preserve">. </w:t>
      </w:r>
    </w:p>
    <w:p w14:paraId="2C17D755" w14:textId="77777777" w:rsidR="004D7CC0" w:rsidRDefault="004D7CC0" w:rsidP="00C82B13">
      <w:pPr>
        <w:rPr>
          <w:rFonts w:ascii="Times New Roman" w:hAnsi="Times New Roman" w:cs="Times New Roman"/>
          <w:i/>
          <w:sz w:val="24"/>
          <w:szCs w:val="24"/>
        </w:rPr>
      </w:pPr>
    </w:p>
    <w:p w14:paraId="29ACB2EB"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B867" w14:textId="77777777" w:rsidR="00AD42D9" w:rsidRDefault="00AD42D9" w:rsidP="00D1517A">
      <w:pPr>
        <w:spacing w:after="0" w:line="240" w:lineRule="auto"/>
      </w:pPr>
      <w:r>
        <w:separator/>
      </w:r>
    </w:p>
  </w:endnote>
  <w:endnote w:type="continuationSeparator" w:id="0">
    <w:p w14:paraId="671D2CE6" w14:textId="77777777" w:rsidR="00AD42D9" w:rsidRDefault="00AD42D9"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61199" w14:textId="77777777" w:rsidR="00AD42D9" w:rsidRDefault="00AD42D9" w:rsidP="00D1517A">
      <w:pPr>
        <w:spacing w:after="0" w:line="240" w:lineRule="auto"/>
      </w:pPr>
      <w:r>
        <w:separator/>
      </w:r>
    </w:p>
  </w:footnote>
  <w:footnote w:type="continuationSeparator" w:id="0">
    <w:p w14:paraId="518580A3" w14:textId="77777777" w:rsidR="00AD42D9" w:rsidRDefault="00AD42D9"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D55"/>
    <w:multiLevelType w:val="hybridMultilevel"/>
    <w:tmpl w:val="E262604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BC52D0C"/>
    <w:multiLevelType w:val="hybridMultilevel"/>
    <w:tmpl w:val="A2B0E908"/>
    <w:lvl w:ilvl="0" w:tplc="722A45E8">
      <w:start w:val="2"/>
      <w:numFmt w:val="bullet"/>
      <w:lvlText w:val="-"/>
      <w:lvlJc w:val="left"/>
      <w:pPr>
        <w:ind w:left="1080" w:hanging="360"/>
      </w:pPr>
      <w:rPr>
        <w:rFonts w:ascii="Times New Roman" w:eastAsia="GulimChe"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D4D1539"/>
    <w:multiLevelType w:val="hybridMultilevel"/>
    <w:tmpl w:val="B002AA5C"/>
    <w:lvl w:ilvl="0" w:tplc="38090001">
      <w:start w:val="1"/>
      <w:numFmt w:val="bullet"/>
      <w:lvlText w:val=""/>
      <w:lvlJc w:val="left"/>
      <w:pPr>
        <w:ind w:left="842" w:hanging="360"/>
      </w:pPr>
      <w:rPr>
        <w:rFonts w:ascii="Symbol" w:hAnsi="Symbol" w:hint="default"/>
      </w:rPr>
    </w:lvl>
    <w:lvl w:ilvl="1" w:tplc="38090003" w:tentative="1">
      <w:start w:val="1"/>
      <w:numFmt w:val="bullet"/>
      <w:lvlText w:val="o"/>
      <w:lvlJc w:val="left"/>
      <w:pPr>
        <w:ind w:left="1562" w:hanging="360"/>
      </w:pPr>
      <w:rPr>
        <w:rFonts w:ascii="Courier New" w:hAnsi="Courier New" w:cs="Courier New" w:hint="default"/>
      </w:rPr>
    </w:lvl>
    <w:lvl w:ilvl="2" w:tplc="38090005" w:tentative="1">
      <w:start w:val="1"/>
      <w:numFmt w:val="bullet"/>
      <w:lvlText w:val=""/>
      <w:lvlJc w:val="left"/>
      <w:pPr>
        <w:ind w:left="2282" w:hanging="360"/>
      </w:pPr>
      <w:rPr>
        <w:rFonts w:ascii="Wingdings" w:hAnsi="Wingdings" w:hint="default"/>
      </w:rPr>
    </w:lvl>
    <w:lvl w:ilvl="3" w:tplc="38090001" w:tentative="1">
      <w:start w:val="1"/>
      <w:numFmt w:val="bullet"/>
      <w:lvlText w:val=""/>
      <w:lvlJc w:val="left"/>
      <w:pPr>
        <w:ind w:left="3002" w:hanging="360"/>
      </w:pPr>
      <w:rPr>
        <w:rFonts w:ascii="Symbol" w:hAnsi="Symbol" w:hint="default"/>
      </w:rPr>
    </w:lvl>
    <w:lvl w:ilvl="4" w:tplc="38090003" w:tentative="1">
      <w:start w:val="1"/>
      <w:numFmt w:val="bullet"/>
      <w:lvlText w:val="o"/>
      <w:lvlJc w:val="left"/>
      <w:pPr>
        <w:ind w:left="3722" w:hanging="360"/>
      </w:pPr>
      <w:rPr>
        <w:rFonts w:ascii="Courier New" w:hAnsi="Courier New" w:cs="Courier New" w:hint="default"/>
      </w:rPr>
    </w:lvl>
    <w:lvl w:ilvl="5" w:tplc="38090005" w:tentative="1">
      <w:start w:val="1"/>
      <w:numFmt w:val="bullet"/>
      <w:lvlText w:val=""/>
      <w:lvlJc w:val="left"/>
      <w:pPr>
        <w:ind w:left="4442" w:hanging="360"/>
      </w:pPr>
      <w:rPr>
        <w:rFonts w:ascii="Wingdings" w:hAnsi="Wingdings" w:hint="default"/>
      </w:rPr>
    </w:lvl>
    <w:lvl w:ilvl="6" w:tplc="38090001" w:tentative="1">
      <w:start w:val="1"/>
      <w:numFmt w:val="bullet"/>
      <w:lvlText w:val=""/>
      <w:lvlJc w:val="left"/>
      <w:pPr>
        <w:ind w:left="5162" w:hanging="360"/>
      </w:pPr>
      <w:rPr>
        <w:rFonts w:ascii="Symbol" w:hAnsi="Symbol" w:hint="default"/>
      </w:rPr>
    </w:lvl>
    <w:lvl w:ilvl="7" w:tplc="38090003" w:tentative="1">
      <w:start w:val="1"/>
      <w:numFmt w:val="bullet"/>
      <w:lvlText w:val="o"/>
      <w:lvlJc w:val="left"/>
      <w:pPr>
        <w:ind w:left="5882" w:hanging="360"/>
      </w:pPr>
      <w:rPr>
        <w:rFonts w:ascii="Courier New" w:hAnsi="Courier New" w:cs="Courier New" w:hint="default"/>
      </w:rPr>
    </w:lvl>
    <w:lvl w:ilvl="8" w:tplc="38090005" w:tentative="1">
      <w:start w:val="1"/>
      <w:numFmt w:val="bullet"/>
      <w:lvlText w:val=""/>
      <w:lvlJc w:val="left"/>
      <w:pPr>
        <w:ind w:left="6602" w:hanging="360"/>
      </w:pPr>
      <w:rPr>
        <w:rFonts w:ascii="Wingdings" w:hAnsi="Wingdings" w:hint="default"/>
      </w:rPr>
    </w:lvl>
  </w:abstractNum>
  <w:abstractNum w:abstractNumId="4" w15:restartNumberingAfterBreak="0">
    <w:nsid w:val="5E1509AD"/>
    <w:multiLevelType w:val="hybridMultilevel"/>
    <w:tmpl w:val="30C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0B62D8"/>
    <w:rsid w:val="000C6C8A"/>
    <w:rsid w:val="001C28BB"/>
    <w:rsid w:val="001E0789"/>
    <w:rsid w:val="002572F8"/>
    <w:rsid w:val="002658F5"/>
    <w:rsid w:val="00283D24"/>
    <w:rsid w:val="00324B3D"/>
    <w:rsid w:val="00392C75"/>
    <w:rsid w:val="003E52CB"/>
    <w:rsid w:val="00461165"/>
    <w:rsid w:val="00472581"/>
    <w:rsid w:val="00493310"/>
    <w:rsid w:val="004A574B"/>
    <w:rsid w:val="004D6D17"/>
    <w:rsid w:val="004D7CC0"/>
    <w:rsid w:val="004F05DA"/>
    <w:rsid w:val="00506743"/>
    <w:rsid w:val="005755E6"/>
    <w:rsid w:val="00677357"/>
    <w:rsid w:val="00683E04"/>
    <w:rsid w:val="00740084"/>
    <w:rsid w:val="0076349A"/>
    <w:rsid w:val="008742F3"/>
    <w:rsid w:val="009223DF"/>
    <w:rsid w:val="0094703C"/>
    <w:rsid w:val="00960D3D"/>
    <w:rsid w:val="00976FCF"/>
    <w:rsid w:val="009873E5"/>
    <w:rsid w:val="009E27EC"/>
    <w:rsid w:val="00A443E0"/>
    <w:rsid w:val="00A8101D"/>
    <w:rsid w:val="00AC461C"/>
    <w:rsid w:val="00AD42D9"/>
    <w:rsid w:val="00AE49CF"/>
    <w:rsid w:val="00B83191"/>
    <w:rsid w:val="00BD393A"/>
    <w:rsid w:val="00C750CB"/>
    <w:rsid w:val="00C82B13"/>
    <w:rsid w:val="00CA2531"/>
    <w:rsid w:val="00CF0EC8"/>
    <w:rsid w:val="00CF2D55"/>
    <w:rsid w:val="00D1366B"/>
    <w:rsid w:val="00D1517A"/>
    <w:rsid w:val="00D91278"/>
    <w:rsid w:val="00DF6050"/>
    <w:rsid w:val="00E64137"/>
    <w:rsid w:val="00EA1B34"/>
    <w:rsid w:val="00EC68D5"/>
    <w:rsid w:val="00ED374F"/>
    <w:rsid w:val="00EF7969"/>
    <w:rsid w:val="00F0725A"/>
    <w:rsid w:val="00F85CEF"/>
    <w:rsid w:val="00F96733"/>
    <w:rsid w:val="00FD1A84"/>
    <w:rsid w:val="00FF288C"/>
    <w:rsid w:val="00FF60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47FC3"/>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paragraph" w:styleId="Heading2">
    <w:name w:val="heading 2"/>
    <w:basedOn w:val="Normal"/>
    <w:next w:val="Normal"/>
    <w:link w:val="Heading2Char"/>
    <w:uiPriority w:val="9"/>
    <w:semiHidden/>
    <w:unhideWhenUsed/>
    <w:qFormat/>
    <w:rsid w:val="00D912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960D3D"/>
    <w:rPr>
      <w:color w:val="0563C1" w:themeColor="hyperlink"/>
      <w:u w:val="single"/>
    </w:rPr>
  </w:style>
  <w:style w:type="character" w:styleId="UnresolvedMention">
    <w:name w:val="Unresolved Mention"/>
    <w:basedOn w:val="DefaultParagraphFont"/>
    <w:uiPriority w:val="99"/>
    <w:semiHidden/>
    <w:unhideWhenUsed/>
    <w:rsid w:val="00960D3D"/>
    <w:rPr>
      <w:color w:val="605E5C"/>
      <w:shd w:val="clear" w:color="auto" w:fill="E1DFDD"/>
    </w:rPr>
  </w:style>
  <w:style w:type="character" w:styleId="FollowedHyperlink">
    <w:name w:val="FollowedHyperlink"/>
    <w:basedOn w:val="DefaultParagraphFont"/>
    <w:uiPriority w:val="99"/>
    <w:semiHidden/>
    <w:unhideWhenUsed/>
    <w:rsid w:val="00D91278"/>
    <w:rPr>
      <w:color w:val="954F72" w:themeColor="followedHyperlink"/>
      <w:u w:val="single"/>
    </w:rPr>
  </w:style>
  <w:style w:type="paragraph" w:customStyle="1" w:styleId="Note">
    <w:name w:val="Note"/>
    <w:basedOn w:val="Normal"/>
    <w:link w:val="NoteChar"/>
    <w:rsid w:val="00D91278"/>
    <w:pPr>
      <w:widowControl/>
      <w:tabs>
        <w:tab w:val="left" w:pos="284"/>
        <w:tab w:val="left" w:pos="1134"/>
        <w:tab w:val="left" w:pos="1871"/>
        <w:tab w:val="left" w:pos="2268"/>
      </w:tabs>
      <w:wordWrap/>
      <w:autoSpaceDE/>
      <w:autoSpaceDN/>
      <w:spacing w:before="160" w:after="0" w:line="240" w:lineRule="auto"/>
    </w:pPr>
    <w:rPr>
      <w:rFonts w:ascii="Times New Roman" w:eastAsia="BatangChe" w:hAnsi="Times New Roman" w:cs="Times New Roman"/>
      <w:noProof/>
      <w:kern w:val="0"/>
      <w:szCs w:val="20"/>
    </w:rPr>
  </w:style>
  <w:style w:type="paragraph" w:customStyle="1" w:styleId="Methodheading2">
    <w:name w:val="Method_heading2"/>
    <w:basedOn w:val="Heading2"/>
    <w:next w:val="Normal"/>
    <w:qFormat/>
    <w:rsid w:val="00D91278"/>
    <w:pPr>
      <w:widowControl/>
      <w:tabs>
        <w:tab w:val="left" w:pos="1134"/>
        <w:tab w:val="left" w:pos="1871"/>
        <w:tab w:val="left" w:pos="2268"/>
      </w:tabs>
      <w:wordWrap/>
      <w:overflowPunct w:val="0"/>
      <w:adjustRightInd w:val="0"/>
      <w:spacing w:before="200" w:line="240" w:lineRule="auto"/>
      <w:ind w:left="1134" w:hanging="1134"/>
      <w:jc w:val="left"/>
      <w:textAlignment w:val="baseline"/>
    </w:pPr>
    <w:rPr>
      <w:rFonts w:ascii="Times New Roman" w:eastAsia="Times New Roman" w:hAnsi="Times New Roman" w:cs="Times New Roman"/>
      <w:b/>
      <w:color w:val="auto"/>
      <w:kern w:val="0"/>
      <w:sz w:val="24"/>
      <w:szCs w:val="20"/>
      <w:lang w:val="en-GB" w:eastAsia="en-US"/>
    </w:rPr>
  </w:style>
  <w:style w:type="paragraph" w:customStyle="1" w:styleId="Proposal">
    <w:name w:val="Proposal"/>
    <w:basedOn w:val="Normal"/>
    <w:next w:val="Normal"/>
    <w:link w:val="ProposalChar"/>
    <w:rsid w:val="00D9127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customStyle="1" w:styleId="NoteChar">
    <w:name w:val="Note Char"/>
    <w:basedOn w:val="DefaultParagraphFont"/>
    <w:link w:val="Note"/>
    <w:locked/>
    <w:rsid w:val="00D91278"/>
    <w:rPr>
      <w:rFonts w:ascii="Times New Roman" w:eastAsia="BatangChe" w:hAnsi="Times New Roman" w:cs="Times New Roman"/>
      <w:noProof/>
      <w:kern w:val="0"/>
      <w:szCs w:val="20"/>
    </w:rPr>
  </w:style>
  <w:style w:type="character" w:customStyle="1" w:styleId="ProposalChar">
    <w:name w:val="Proposal Char"/>
    <w:basedOn w:val="DefaultParagraphFont"/>
    <w:link w:val="Proposal"/>
    <w:locked/>
    <w:rsid w:val="00D91278"/>
    <w:rPr>
      <w:rFonts w:ascii="Times New Roman" w:eastAsia="Times New Roman" w:hAnsi="Times New Roman Bold" w:cs="Times New Roman"/>
      <w:b/>
      <w:kern w:val="0"/>
      <w:sz w:val="24"/>
      <w:szCs w:val="20"/>
      <w:lang w:val="en-GB" w:eastAsia="en-US"/>
    </w:rPr>
  </w:style>
  <w:style w:type="character" w:customStyle="1" w:styleId="Heading2Char">
    <w:name w:val="Heading 2 Char"/>
    <w:basedOn w:val="DefaultParagraphFont"/>
    <w:link w:val="Heading2"/>
    <w:uiPriority w:val="9"/>
    <w:semiHidden/>
    <w:rsid w:val="00D912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int/sites/default/files/2019/01/APG19-4-OUT-32_PV_AI1.3.docx" TargetMode="External"/><Relationship Id="rId13" Type="http://schemas.openxmlformats.org/officeDocument/2006/relationships/hyperlink" Target="https://www.itu.int/md/R15-CPM19.02-C-0018/en" TargetMode="External"/><Relationship Id="rId18" Type="http://schemas.openxmlformats.org/officeDocument/2006/relationships/hyperlink" Target="https://www.itu.int/md/R15-CPM19.02-C-019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ahmi@postel.go.id" TargetMode="External"/><Relationship Id="rId12" Type="http://schemas.openxmlformats.org/officeDocument/2006/relationships/hyperlink" Target="https://www.itu.int/md/R15-CPM19.02-C-0014/en" TargetMode="External"/><Relationship Id="rId17" Type="http://schemas.openxmlformats.org/officeDocument/2006/relationships/hyperlink" Target="https://www.itu.int/md/R15-CPM19.02-C-0159" TargetMode="External"/><Relationship Id="rId2" Type="http://schemas.openxmlformats.org/officeDocument/2006/relationships/styles" Target="styles.xml"/><Relationship Id="rId16" Type="http://schemas.openxmlformats.org/officeDocument/2006/relationships/hyperlink" Target="https://www.itu.int/md/R15-CPM19.02-C-0143" TargetMode="External"/><Relationship Id="rId20" Type="http://schemas.openxmlformats.org/officeDocument/2006/relationships/hyperlink" Target="https://www.itu.int/md/meetingdoc.asp?lang=en&amp;parent=R15-CPM19.02-C-0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CPM19.02-C-0003/en" TargetMode="External"/><Relationship Id="rId5" Type="http://schemas.openxmlformats.org/officeDocument/2006/relationships/footnotes" Target="footnotes.xml"/><Relationship Id="rId15" Type="http://schemas.openxmlformats.org/officeDocument/2006/relationships/hyperlink" Target="https://www.itu.int/md/R15-CPM19.02-C-0061/en" TargetMode="External"/><Relationship Id="rId10" Type="http://schemas.openxmlformats.org/officeDocument/2006/relationships/hyperlink" Target="https://www.itu.int/md/R15-CPM19.02-C-0001/en" TargetMode="External"/><Relationship Id="rId19" Type="http://schemas.openxmlformats.org/officeDocument/2006/relationships/hyperlink" Target="https://www.itu.int/md/meetingdoc.asp?lang=en&amp;parent=R15-CPM19.02-C-0220" TargetMode="External"/><Relationship Id="rId4" Type="http://schemas.openxmlformats.org/officeDocument/2006/relationships/webSettings" Target="webSettings.xml"/><Relationship Id="rId9" Type="http://schemas.openxmlformats.org/officeDocument/2006/relationships/hyperlink" Target="https://www.apt.int/sites/default/files/2019/01/APG19-4-OUT-33_Draft_CPM_Chapter_4.docx" TargetMode="External"/><Relationship Id="rId14" Type="http://schemas.openxmlformats.org/officeDocument/2006/relationships/hyperlink" Target="https://www.itu.int/md/R15-CPM19.02-C-0027/en"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798</Words>
  <Characters>4553</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orsat</cp:lastModifiedBy>
  <cp:revision>3</cp:revision>
  <dcterms:created xsi:type="dcterms:W3CDTF">2019-02-27T08:41:00Z</dcterms:created>
  <dcterms:modified xsi:type="dcterms:W3CDTF">2019-02-27T08:48:00Z</dcterms:modified>
</cp:coreProperties>
</file>