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691"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w:t>
      </w:r>
      <w:bookmarkStart w:id="0" w:name="_GoBack"/>
      <w:bookmarkEnd w:id="0"/>
      <w:r w:rsidRPr="005755E6">
        <w:rPr>
          <w:rFonts w:ascii="Times New Roman" w:hAnsi="Times New Roman" w:cs="Times New Roman"/>
          <w:b/>
          <w:sz w:val="28"/>
          <w:szCs w:val="28"/>
        </w:rPr>
        <w:t>nator during CPM</w:t>
      </w:r>
      <w:r w:rsidR="000B5983" w:rsidRPr="005755E6">
        <w:rPr>
          <w:rFonts w:ascii="Times New Roman" w:hAnsi="Times New Roman" w:cs="Times New Roman"/>
          <w:b/>
          <w:sz w:val="28"/>
          <w:szCs w:val="28"/>
        </w:rPr>
        <w:t>19-2</w:t>
      </w:r>
    </w:p>
    <w:p w:rsidR="00EA1B34" w:rsidRDefault="00C00A44" w:rsidP="00AC461C">
      <w:pPr>
        <w:jc w:val="center"/>
        <w:rPr>
          <w:rFonts w:ascii="Times New Roman" w:hAnsi="Times New Roman" w:cs="Times New Roman"/>
          <w:sz w:val="24"/>
          <w:szCs w:val="24"/>
        </w:rPr>
      </w:pPr>
      <w:proofErr w:type="spellStart"/>
      <w:r>
        <w:rPr>
          <w:rFonts w:ascii="Times New Roman" w:hAnsi="Times New Roman" w:cs="Times New Roman"/>
          <w:sz w:val="24"/>
          <w:szCs w:val="24"/>
        </w:rPr>
        <w:t>Jong</w:t>
      </w:r>
      <w:r w:rsidR="00184C26">
        <w:rPr>
          <w:rFonts w:ascii="Times New Roman" w:hAnsi="Times New Roman" w:cs="Times New Roman"/>
          <w:sz w:val="24"/>
          <w:szCs w:val="24"/>
        </w:rPr>
        <w:t>min</w:t>
      </w:r>
      <w:proofErr w:type="spellEnd"/>
      <w:r>
        <w:rPr>
          <w:rFonts w:ascii="Times New Roman" w:hAnsi="Times New Roman" w:cs="Times New Roman"/>
          <w:sz w:val="24"/>
          <w:szCs w:val="24"/>
        </w:rPr>
        <w:t xml:space="preserve"> Park (jongmin@etri.re.kr)</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571507">
        <w:rPr>
          <w:rFonts w:ascii="Times New Roman" w:hAnsi="Times New Roman" w:cs="Times New Roman"/>
          <w:sz w:val="24"/>
          <w:szCs w:val="24"/>
        </w:rPr>
        <w:t>27</w:t>
      </w:r>
      <w:r w:rsidR="009E5530">
        <w:rPr>
          <w:rFonts w:ascii="Times New Roman" w:hAnsi="Times New Roman" w:cs="Times New Roman"/>
          <w:sz w:val="24"/>
          <w:szCs w:val="24"/>
        </w:rPr>
        <w:t xml:space="preserve"> </w:t>
      </w:r>
      <w:r w:rsidR="009E5530">
        <w:rPr>
          <w:rFonts w:ascii="Times New Roman" w:hAnsi="Times New Roman" w:cs="Times New Roman" w:hint="eastAsia"/>
          <w:sz w:val="24"/>
          <w:szCs w:val="24"/>
        </w:rPr>
        <w:t>F</w:t>
      </w:r>
      <w:r w:rsidR="009E5530">
        <w:rPr>
          <w:rFonts w:ascii="Times New Roman" w:hAnsi="Times New Roman" w:cs="Times New Roman"/>
          <w:sz w:val="24"/>
          <w:szCs w:val="24"/>
        </w:rPr>
        <w:t>ebruary 2019</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8A7691">
        <w:rPr>
          <w:rFonts w:ascii="Times New Roman" w:hAnsi="Times New Roman" w:cs="Times New Roman"/>
          <w:sz w:val="24"/>
          <w:szCs w:val="24"/>
        </w:rPr>
        <w:t xml:space="preserve"> 1.14</w:t>
      </w:r>
    </w:p>
    <w:p w:rsidR="004D7CC0" w:rsidRPr="009258E0" w:rsidRDefault="008A7691" w:rsidP="00031B83">
      <w:pPr>
        <w:ind w:left="400"/>
        <w:rPr>
          <w:rFonts w:ascii="Times New Roman" w:hAnsi="Times New Roman" w:cs="Times New Roman"/>
          <w:sz w:val="24"/>
          <w:szCs w:val="24"/>
        </w:rPr>
      </w:pPr>
      <w:r w:rsidRPr="009258E0">
        <w:rPr>
          <w:rFonts w:ascii="Times New Roman" w:hAnsi="Times New Roman" w:cs="Times New Roman"/>
          <w:sz w:val="24"/>
          <w:szCs w:val="24"/>
        </w:rPr>
        <w:t xml:space="preserve">to consider, on the basis of ITU-R studies in accordance with Resolution </w:t>
      </w:r>
      <w:r w:rsidRPr="009258E0">
        <w:rPr>
          <w:rFonts w:ascii="Times New Roman" w:hAnsi="Times New Roman" w:cs="Times New Roman"/>
          <w:b/>
          <w:sz w:val="24"/>
          <w:szCs w:val="24"/>
        </w:rPr>
        <w:t>160 (WRC-15)</w:t>
      </w:r>
      <w:r w:rsidRPr="009258E0">
        <w:rPr>
          <w:rFonts w:ascii="Times New Roman" w:hAnsi="Times New Roman" w:cs="Times New Roman"/>
          <w:sz w:val="24"/>
          <w:szCs w:val="24"/>
        </w:rPr>
        <w:t>, appropriate regulatory actions for high-altitude platform stations (HAPS), within existing fixed-service allocations;</w:t>
      </w:r>
    </w:p>
    <w:p w:rsidR="004D7CC0" w:rsidRP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9E40B6" w:rsidRPr="009258E0" w:rsidRDefault="009E40B6" w:rsidP="009E40B6">
      <w:pPr>
        <w:ind w:left="400"/>
        <w:rPr>
          <w:rFonts w:ascii="Times New Roman" w:hAnsi="Times New Roman" w:cs="Times New Roman"/>
          <w:sz w:val="24"/>
          <w:szCs w:val="24"/>
        </w:rPr>
      </w:pPr>
      <w:r w:rsidRPr="009258E0">
        <w:rPr>
          <w:rFonts w:ascii="Times New Roman" w:hAnsi="Times New Roman" w:cs="Times New Roman"/>
          <w:sz w:val="24"/>
          <w:szCs w:val="24"/>
        </w:rPr>
        <w:t xml:space="preserve">For the APT Preliminary Views on the Agenda item adopted at APG19-4, please refer to the </w:t>
      </w:r>
      <w:r w:rsidR="00461BA3" w:rsidRPr="009258E0">
        <w:rPr>
          <w:rFonts w:ascii="Times New Roman" w:hAnsi="Times New Roman" w:cs="Times New Roman"/>
          <w:sz w:val="24"/>
          <w:szCs w:val="24"/>
        </w:rPr>
        <w:t>o</w:t>
      </w:r>
      <w:r w:rsidRPr="009258E0">
        <w:rPr>
          <w:rFonts w:ascii="Times New Roman" w:hAnsi="Times New Roman" w:cs="Times New Roman"/>
          <w:sz w:val="24"/>
          <w:szCs w:val="24"/>
        </w:rPr>
        <w:t>utput document of APG19-4 meeting (Doc. APG19-4/OUT-17).</w:t>
      </w:r>
    </w:p>
    <w:p w:rsidR="004D7CC0" w:rsidRPr="009258E0" w:rsidRDefault="009E40B6" w:rsidP="009E40B6">
      <w:pPr>
        <w:ind w:left="400"/>
        <w:rPr>
          <w:rFonts w:ascii="Times New Roman" w:hAnsi="Times New Roman" w:cs="Times New Roman"/>
          <w:sz w:val="24"/>
          <w:szCs w:val="24"/>
        </w:rPr>
      </w:pPr>
      <w:r w:rsidRPr="009258E0">
        <w:rPr>
          <w:rFonts w:ascii="Times New Roman" w:hAnsi="Times New Roman" w:cs="Times New Roman"/>
          <w:sz w:val="24"/>
          <w:szCs w:val="24"/>
        </w:rPr>
        <w:t>APT did not submit any input contributions to CPM19-2 meeting on this Agenda item.</w:t>
      </w:r>
    </w:p>
    <w:p w:rsidR="00C320B0" w:rsidRPr="004D7CC0" w:rsidRDefault="00C320B0" w:rsidP="004D7CC0">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387C94" w:rsidRPr="009258E0" w:rsidRDefault="00893CB0" w:rsidP="00387C94">
      <w:pPr>
        <w:ind w:left="360"/>
        <w:rPr>
          <w:rFonts w:ascii="Times New Roman" w:hAnsi="Times New Roman" w:cs="Times New Roman" w:hint="eastAsia"/>
          <w:sz w:val="24"/>
          <w:szCs w:val="24"/>
        </w:rPr>
      </w:pPr>
      <w:r w:rsidRPr="009258E0">
        <w:rPr>
          <w:rFonts w:ascii="Times New Roman" w:hAnsi="Times New Roman" w:cs="Times New Roman"/>
          <w:sz w:val="24"/>
          <w:szCs w:val="24"/>
        </w:rPr>
        <w:t>Several ITU Members proposed updates of the draft CPM Report based on the recent study results</w:t>
      </w:r>
      <w:r w:rsidR="00387C94" w:rsidRPr="009258E0">
        <w:rPr>
          <w:rFonts w:ascii="Times New Roman" w:hAnsi="Times New Roman" w:cs="Times New Roman"/>
          <w:sz w:val="24"/>
          <w:szCs w:val="24"/>
        </w:rPr>
        <w:t xml:space="preserve"> related to this agenda item</w:t>
      </w:r>
      <w:r w:rsidRPr="009258E0">
        <w:rPr>
          <w:rFonts w:ascii="Times New Roman" w:hAnsi="Times New Roman" w:cs="Times New Roman"/>
          <w:sz w:val="24"/>
          <w:szCs w:val="24"/>
        </w:rPr>
        <w:t>.</w:t>
      </w:r>
    </w:p>
    <w:p w:rsidR="004D7CC0" w:rsidRPr="004D7CC0" w:rsidRDefault="004D7CC0" w:rsidP="004D7CC0">
      <w:pPr>
        <w:rPr>
          <w:rFonts w:ascii="Times New Roman" w:hAnsi="Times New Roman" w:cs="Times New Roman"/>
          <w:sz w:val="24"/>
          <w:szCs w:val="24"/>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8A7691" w:rsidRPr="009258E0" w:rsidRDefault="00E87CA0" w:rsidP="008A7691">
      <w:pPr>
        <w:ind w:left="400"/>
        <w:rPr>
          <w:rFonts w:ascii="Times New Roman" w:hAnsi="Times New Roman" w:cs="Times New Roman"/>
          <w:sz w:val="24"/>
          <w:szCs w:val="24"/>
        </w:rPr>
      </w:pPr>
      <w:r w:rsidRPr="009258E0">
        <w:rPr>
          <w:rFonts w:ascii="Times New Roman" w:hAnsi="Times New Roman" w:cs="Times New Roman"/>
          <w:sz w:val="24"/>
          <w:szCs w:val="24"/>
        </w:rPr>
        <w:t xml:space="preserve">SWG 1c </w:t>
      </w:r>
      <w:r w:rsidR="00387C94" w:rsidRPr="009258E0">
        <w:rPr>
          <w:rFonts w:ascii="Times New Roman" w:hAnsi="Times New Roman" w:cs="Times New Roman"/>
          <w:sz w:val="24"/>
          <w:szCs w:val="24"/>
        </w:rPr>
        <w:t xml:space="preserve">under WG 1 </w:t>
      </w:r>
      <w:r w:rsidR="00184C26">
        <w:rPr>
          <w:rFonts w:ascii="Times New Roman" w:hAnsi="Times New Roman" w:cs="Times New Roman"/>
          <w:sz w:val="24"/>
          <w:szCs w:val="24"/>
        </w:rPr>
        <w:t>considered</w:t>
      </w:r>
      <w:r w:rsidR="00387C94" w:rsidRPr="009258E0">
        <w:rPr>
          <w:rFonts w:ascii="Times New Roman" w:hAnsi="Times New Roman" w:cs="Times New Roman"/>
          <w:sz w:val="24"/>
          <w:szCs w:val="24"/>
        </w:rPr>
        <w:t xml:space="preserve"> this agenda item </w:t>
      </w:r>
      <w:r w:rsidR="00184C26">
        <w:rPr>
          <w:rFonts w:ascii="Times New Roman" w:hAnsi="Times New Roman" w:cs="Times New Roman"/>
          <w:sz w:val="24"/>
          <w:szCs w:val="24"/>
        </w:rPr>
        <w:t xml:space="preserve">with </w:t>
      </w:r>
      <w:r w:rsidR="00387C94" w:rsidRPr="009258E0">
        <w:rPr>
          <w:rFonts w:ascii="Times New Roman" w:hAnsi="Times New Roman" w:cs="Times New Roman"/>
          <w:sz w:val="24"/>
          <w:szCs w:val="24"/>
        </w:rPr>
        <w:t>establishing</w:t>
      </w:r>
      <w:r w:rsidR="00C320B0" w:rsidRPr="009258E0">
        <w:rPr>
          <w:rFonts w:ascii="Times New Roman" w:hAnsi="Times New Roman" w:cs="Times New Roman"/>
          <w:sz w:val="24"/>
          <w:szCs w:val="24"/>
        </w:rPr>
        <w:t xml:space="preserve"> </w:t>
      </w:r>
      <w:r w:rsidRPr="009258E0">
        <w:rPr>
          <w:rFonts w:ascii="Times New Roman" w:hAnsi="Times New Roman" w:cs="Times New Roman"/>
          <w:sz w:val="24"/>
          <w:szCs w:val="24"/>
        </w:rPr>
        <w:t>3 drafting groups as follows</w:t>
      </w:r>
      <w:r w:rsidR="00C00A44" w:rsidRPr="009258E0">
        <w:rPr>
          <w:rFonts w:ascii="Times New Roman" w:hAnsi="Times New Roman" w:cs="Times New Roman"/>
          <w:sz w:val="24"/>
          <w:szCs w:val="24"/>
        </w:rPr>
        <w:t>.</w:t>
      </w:r>
      <w:r w:rsidR="00C320B0" w:rsidRPr="009258E0">
        <w:rPr>
          <w:rFonts w:ascii="Times New Roman" w:hAnsi="Times New Roman" w:cs="Times New Roman"/>
          <w:sz w:val="24"/>
          <w:szCs w:val="24"/>
        </w:rPr>
        <w:t xml:space="preserve"> </w:t>
      </w:r>
    </w:p>
    <w:p w:rsidR="00E87CA0" w:rsidRPr="009258E0" w:rsidRDefault="00E87CA0" w:rsidP="009E40B6">
      <w:pPr>
        <w:pStyle w:val="a3"/>
        <w:numPr>
          <w:ilvl w:val="0"/>
          <w:numId w:val="2"/>
        </w:numPr>
        <w:spacing w:after="0"/>
        <w:ind w:leftChars="0" w:left="1202" w:hanging="403"/>
        <w:rPr>
          <w:rFonts w:ascii="Times New Roman" w:hAnsi="Times New Roman" w:cs="Times New Roman"/>
          <w:sz w:val="24"/>
          <w:szCs w:val="24"/>
        </w:rPr>
      </w:pPr>
      <w:r w:rsidRPr="009258E0">
        <w:rPr>
          <w:rFonts w:ascii="Times New Roman" w:hAnsi="Times New Roman" w:cs="Times New Roman"/>
          <w:sz w:val="24"/>
          <w:szCs w:val="24"/>
        </w:rPr>
        <w:t>DG 1c1 – ai 1.14 FS/MS/AMS (Chairman: Ms</w:t>
      </w:r>
      <w:r w:rsidR="00184C26">
        <w:rPr>
          <w:rFonts w:ascii="Times New Roman" w:hAnsi="Times New Roman" w:cs="Times New Roman"/>
          <w:sz w:val="24"/>
          <w:szCs w:val="24"/>
        </w:rPr>
        <w:t>.</w:t>
      </w:r>
      <w:r w:rsidRPr="009258E0">
        <w:rPr>
          <w:rFonts w:ascii="Times New Roman" w:hAnsi="Times New Roman" w:cs="Times New Roman"/>
          <w:sz w:val="24"/>
          <w:szCs w:val="24"/>
        </w:rPr>
        <w:t xml:space="preserve"> Azar Zarrebini)</w:t>
      </w:r>
    </w:p>
    <w:p w:rsidR="00E87CA0" w:rsidRPr="009258E0" w:rsidRDefault="00E87CA0" w:rsidP="009E40B6">
      <w:pPr>
        <w:pStyle w:val="a3"/>
        <w:numPr>
          <w:ilvl w:val="0"/>
          <w:numId w:val="2"/>
        </w:numPr>
        <w:spacing w:after="0"/>
        <w:ind w:leftChars="0" w:left="1202" w:hanging="403"/>
        <w:rPr>
          <w:rFonts w:ascii="Times New Roman" w:hAnsi="Times New Roman" w:cs="Times New Roman"/>
          <w:sz w:val="24"/>
          <w:szCs w:val="24"/>
        </w:rPr>
      </w:pPr>
      <w:r w:rsidRPr="009258E0">
        <w:rPr>
          <w:rFonts w:ascii="Times New Roman" w:hAnsi="Times New Roman" w:cs="Times New Roman"/>
          <w:sz w:val="24"/>
          <w:szCs w:val="24"/>
        </w:rPr>
        <w:t>DG 1c2 – ai 1.14 SCIENTIFIC (Chairman: Mr</w:t>
      </w:r>
      <w:r w:rsidR="00184C26">
        <w:rPr>
          <w:rFonts w:ascii="Times New Roman" w:hAnsi="Times New Roman" w:cs="Times New Roman"/>
          <w:sz w:val="24"/>
          <w:szCs w:val="24"/>
        </w:rPr>
        <w:t xml:space="preserve">. </w:t>
      </w:r>
      <w:r w:rsidRPr="009258E0">
        <w:rPr>
          <w:rFonts w:ascii="Times New Roman" w:hAnsi="Times New Roman" w:cs="Times New Roman"/>
          <w:sz w:val="24"/>
          <w:szCs w:val="24"/>
        </w:rPr>
        <w:t xml:space="preserve">Jean-Yves </w:t>
      </w:r>
      <w:proofErr w:type="spellStart"/>
      <w:r w:rsidRPr="009258E0">
        <w:rPr>
          <w:rFonts w:ascii="Times New Roman" w:hAnsi="Times New Roman" w:cs="Times New Roman"/>
          <w:sz w:val="24"/>
          <w:szCs w:val="24"/>
        </w:rPr>
        <w:t>Guyomard</w:t>
      </w:r>
      <w:proofErr w:type="spellEnd"/>
      <w:r w:rsidRPr="009258E0">
        <w:rPr>
          <w:rFonts w:ascii="Times New Roman" w:hAnsi="Times New Roman" w:cs="Times New Roman"/>
          <w:sz w:val="24"/>
          <w:szCs w:val="24"/>
        </w:rPr>
        <w:t>)</w:t>
      </w:r>
    </w:p>
    <w:p w:rsidR="00C320B0" w:rsidRPr="009258E0" w:rsidRDefault="00E87CA0" w:rsidP="009E40B6">
      <w:pPr>
        <w:pStyle w:val="a3"/>
        <w:numPr>
          <w:ilvl w:val="0"/>
          <w:numId w:val="2"/>
        </w:numPr>
        <w:spacing w:after="0"/>
        <w:ind w:leftChars="0" w:left="1202" w:hanging="403"/>
        <w:rPr>
          <w:rFonts w:ascii="Times New Roman" w:hAnsi="Times New Roman" w:cs="Times New Roman"/>
          <w:sz w:val="24"/>
          <w:szCs w:val="24"/>
        </w:rPr>
      </w:pPr>
      <w:r w:rsidRPr="009258E0">
        <w:rPr>
          <w:rFonts w:ascii="Times New Roman" w:hAnsi="Times New Roman" w:cs="Times New Roman"/>
          <w:sz w:val="24"/>
          <w:szCs w:val="24"/>
        </w:rPr>
        <w:t>DG 1c3 – ai 1.14 FSS/ISS (Chairman: Mr</w:t>
      </w:r>
      <w:r w:rsidR="00184C26">
        <w:rPr>
          <w:rFonts w:ascii="Times New Roman" w:hAnsi="Times New Roman" w:cs="Times New Roman"/>
          <w:sz w:val="24"/>
          <w:szCs w:val="24"/>
        </w:rPr>
        <w:t>.</w:t>
      </w:r>
      <w:r w:rsidRPr="009258E0">
        <w:rPr>
          <w:rFonts w:ascii="Times New Roman" w:hAnsi="Times New Roman" w:cs="Times New Roman"/>
          <w:sz w:val="24"/>
          <w:szCs w:val="24"/>
        </w:rPr>
        <w:t xml:space="preserve"> Boris Sorokin</w:t>
      </w:r>
      <w:r w:rsidR="003964E9" w:rsidRPr="009258E0">
        <w:rPr>
          <w:rFonts w:ascii="Times New Roman" w:hAnsi="Times New Roman" w:cs="Times New Roman"/>
          <w:sz w:val="24"/>
          <w:szCs w:val="24"/>
        </w:rPr>
        <w:t>)</w:t>
      </w:r>
      <w:r w:rsidRPr="009258E0">
        <w:rPr>
          <w:rFonts w:ascii="Times New Roman" w:hAnsi="Times New Roman" w:cs="Times New Roman"/>
          <w:sz w:val="24"/>
          <w:szCs w:val="24"/>
        </w:rPr>
        <w:br/>
      </w:r>
    </w:p>
    <w:p w:rsidR="00C00A44" w:rsidRPr="009258E0" w:rsidRDefault="00387C94" w:rsidP="00C320B0">
      <w:pPr>
        <w:ind w:left="400"/>
        <w:rPr>
          <w:rFonts w:ascii="Times New Roman" w:hAnsi="Times New Roman" w:cs="Times New Roman"/>
          <w:sz w:val="24"/>
          <w:szCs w:val="24"/>
        </w:rPr>
      </w:pPr>
      <w:r w:rsidRPr="009258E0">
        <w:rPr>
          <w:rFonts w:ascii="Times New Roman" w:hAnsi="Times New Roman" w:cs="Times New Roman"/>
          <w:sz w:val="24"/>
          <w:szCs w:val="24"/>
        </w:rPr>
        <w:t>CPM Report on this agenda item was finalized with the fo</w:t>
      </w:r>
      <w:r w:rsidR="009258E0" w:rsidRPr="009258E0">
        <w:rPr>
          <w:rFonts w:ascii="Times New Roman" w:hAnsi="Times New Roman" w:cs="Times New Roman"/>
          <w:sz w:val="24"/>
          <w:szCs w:val="24"/>
        </w:rPr>
        <w:t>llowing methods to satisfy the agenda item and their regulatory and procedural considerations based on the updated study results</w:t>
      </w:r>
      <w:r w:rsidRPr="009258E0">
        <w:rPr>
          <w:rFonts w:ascii="Times New Roman" w:hAnsi="Times New Roman" w:cs="Times New Roman"/>
          <w:sz w:val="24"/>
          <w:szCs w:val="24"/>
        </w:rPr>
        <w:t>.</w:t>
      </w:r>
    </w:p>
    <w:p w:rsidR="009258E0" w:rsidRPr="009258E0" w:rsidRDefault="009258E0" w:rsidP="009258E0">
      <w:pPr>
        <w:pStyle w:val="a3"/>
        <w:numPr>
          <w:ilvl w:val="0"/>
          <w:numId w:val="3"/>
        </w:numPr>
        <w:tabs>
          <w:tab w:val="left" w:pos="1358"/>
        </w:tabs>
        <w:ind w:leftChars="0"/>
        <w:rPr>
          <w:rFonts w:ascii="Times New Roman" w:hAnsi="Times New Roman" w:cs="Times New Roman"/>
          <w:bCs/>
          <w:sz w:val="24"/>
          <w:szCs w:val="24"/>
        </w:rPr>
      </w:pPr>
      <w:r w:rsidRPr="009258E0">
        <w:rPr>
          <w:rFonts w:ascii="Times New Roman" w:hAnsi="Times New Roman" w:cs="Times New Roman"/>
          <w:b/>
          <w:sz w:val="24"/>
          <w:szCs w:val="24"/>
        </w:rPr>
        <w:t>Method A</w:t>
      </w:r>
      <w:r w:rsidRPr="009258E0">
        <w:rPr>
          <w:rFonts w:ascii="Times New Roman" w:hAnsi="Times New Roman" w:cs="Times New Roman"/>
          <w:bCs/>
          <w:sz w:val="24"/>
          <w:szCs w:val="24"/>
        </w:rPr>
        <w:t xml:space="preserve"> – </w:t>
      </w:r>
      <w:r w:rsidRPr="009258E0">
        <w:rPr>
          <w:rFonts w:ascii="Times New Roman" w:hAnsi="Times New Roman" w:cs="Times New Roman"/>
          <w:bCs/>
          <w:sz w:val="24"/>
          <w:szCs w:val="24"/>
        </w:rPr>
        <w:tab/>
        <w:t>No change</w:t>
      </w:r>
    </w:p>
    <w:p w:rsidR="009258E0" w:rsidRPr="009258E0" w:rsidRDefault="009258E0" w:rsidP="009258E0">
      <w:pPr>
        <w:ind w:leftChars="425" w:left="850" w:firstLine="1"/>
        <w:rPr>
          <w:rFonts w:ascii="Times New Roman" w:hAnsi="Times New Roman" w:cs="Times New Roman"/>
          <w:sz w:val="24"/>
          <w:szCs w:val="24"/>
        </w:rPr>
      </w:pPr>
      <w:r w:rsidRPr="009258E0">
        <w:rPr>
          <w:rFonts w:ascii="Times New Roman" w:hAnsi="Times New Roman" w:cs="Times New Roman"/>
          <w:sz w:val="24"/>
          <w:szCs w:val="24"/>
        </w:rPr>
        <w:t xml:space="preserve">The existing provisions in the Radio Regulation remain unchanged in the corresponding frequency band. </w:t>
      </w:r>
    </w:p>
    <w:p w:rsidR="009258E0" w:rsidRPr="009258E0" w:rsidRDefault="009258E0" w:rsidP="009258E0">
      <w:pPr>
        <w:pStyle w:val="a3"/>
        <w:numPr>
          <w:ilvl w:val="0"/>
          <w:numId w:val="3"/>
        </w:numPr>
        <w:tabs>
          <w:tab w:val="left" w:pos="1358"/>
        </w:tabs>
        <w:ind w:leftChars="0"/>
        <w:rPr>
          <w:rFonts w:ascii="Times New Roman" w:hAnsi="Times New Roman" w:cs="Times New Roman"/>
          <w:sz w:val="24"/>
          <w:szCs w:val="24"/>
        </w:rPr>
      </w:pPr>
      <w:r w:rsidRPr="009258E0">
        <w:rPr>
          <w:rFonts w:ascii="Times New Roman" w:hAnsi="Times New Roman" w:cs="Times New Roman"/>
          <w:b/>
          <w:sz w:val="24"/>
          <w:szCs w:val="24"/>
        </w:rPr>
        <w:t>Method B</w:t>
      </w:r>
      <w:r w:rsidRPr="009258E0">
        <w:rPr>
          <w:rFonts w:ascii="Times New Roman" w:hAnsi="Times New Roman" w:cs="Times New Roman"/>
          <w:sz w:val="24"/>
          <w:szCs w:val="24"/>
        </w:rPr>
        <w:t xml:space="preserve"> – </w:t>
      </w:r>
      <w:r w:rsidRPr="009258E0">
        <w:rPr>
          <w:rFonts w:ascii="Times New Roman" w:hAnsi="Times New Roman" w:cs="Times New Roman"/>
          <w:sz w:val="24"/>
          <w:szCs w:val="24"/>
        </w:rPr>
        <w:tab/>
        <w:t xml:space="preserve">Identification of bands, or parts thereof in accordance with Resolution </w:t>
      </w:r>
      <w:r w:rsidRPr="009258E0">
        <w:rPr>
          <w:rStyle w:val="headingbZchn"/>
          <w:szCs w:val="24"/>
          <w:lang w:val="en-GB"/>
        </w:rPr>
        <w:t>160 (WRC-15)</w:t>
      </w:r>
      <w:r w:rsidRPr="009258E0">
        <w:rPr>
          <w:rFonts w:ascii="Times New Roman" w:hAnsi="Times New Roman" w:cs="Times New Roman"/>
          <w:sz w:val="24"/>
          <w:szCs w:val="24"/>
        </w:rPr>
        <w:t xml:space="preserve"> with options</w:t>
      </w:r>
    </w:p>
    <w:p w:rsidR="009258E0" w:rsidRPr="009258E0" w:rsidRDefault="009258E0" w:rsidP="009258E0">
      <w:pPr>
        <w:pStyle w:val="a3"/>
        <w:numPr>
          <w:ilvl w:val="0"/>
          <w:numId w:val="3"/>
        </w:numPr>
        <w:tabs>
          <w:tab w:val="left" w:pos="1358"/>
        </w:tabs>
        <w:ind w:leftChars="0"/>
        <w:rPr>
          <w:rFonts w:ascii="Times New Roman" w:hAnsi="Times New Roman" w:cs="Times New Roman"/>
          <w:sz w:val="24"/>
          <w:szCs w:val="24"/>
        </w:rPr>
      </w:pPr>
      <w:r w:rsidRPr="009258E0">
        <w:rPr>
          <w:rFonts w:ascii="Times New Roman" w:hAnsi="Times New Roman" w:cs="Times New Roman"/>
          <w:b/>
          <w:sz w:val="24"/>
          <w:szCs w:val="24"/>
        </w:rPr>
        <w:t>Method B1</w:t>
      </w:r>
      <w:r w:rsidRPr="009258E0">
        <w:rPr>
          <w:rFonts w:ascii="Times New Roman" w:hAnsi="Times New Roman" w:cs="Times New Roman"/>
          <w:sz w:val="24"/>
          <w:szCs w:val="24"/>
        </w:rPr>
        <w:t xml:space="preserve"> –</w:t>
      </w:r>
      <w:r w:rsidRPr="009258E0">
        <w:rPr>
          <w:rFonts w:ascii="Times New Roman" w:hAnsi="Times New Roman" w:cs="Times New Roman"/>
          <w:sz w:val="24"/>
          <w:szCs w:val="24"/>
        </w:rPr>
        <w:tab/>
        <w:t xml:space="preserve">Revision of the regulatory provisions for HAPS in the FS with a primary status in bands already identified for HAPS </w:t>
      </w:r>
    </w:p>
    <w:p w:rsidR="009258E0" w:rsidRPr="009258E0" w:rsidRDefault="009258E0" w:rsidP="00184C26">
      <w:pPr>
        <w:ind w:leftChars="425" w:left="850" w:firstLine="1"/>
        <w:rPr>
          <w:rFonts w:ascii="Times New Roman" w:hAnsi="Times New Roman" w:cs="Times New Roman"/>
          <w:sz w:val="24"/>
          <w:szCs w:val="24"/>
        </w:rPr>
      </w:pPr>
      <w:r w:rsidRPr="009258E0">
        <w:rPr>
          <w:rFonts w:ascii="Times New Roman" w:hAnsi="Times New Roman" w:cs="Times New Roman"/>
          <w:sz w:val="24"/>
          <w:szCs w:val="24"/>
        </w:rPr>
        <w:lastRenderedPageBreak/>
        <w:t>This may include, e.g. global or regional identification for HAPS, limitations regarding link directions, and inclusion of the technical conditions of operation of HAPS systems for the protection of other services. This could be achieved by new or revised footnotes to the Table of Frequency Allocations, and new or revised associated Resolutions.</w:t>
      </w:r>
    </w:p>
    <w:p w:rsidR="009258E0" w:rsidRPr="009258E0" w:rsidRDefault="009258E0" w:rsidP="009258E0">
      <w:pPr>
        <w:pStyle w:val="a3"/>
        <w:numPr>
          <w:ilvl w:val="0"/>
          <w:numId w:val="4"/>
        </w:numPr>
        <w:tabs>
          <w:tab w:val="left" w:pos="1358"/>
        </w:tabs>
        <w:ind w:leftChars="0"/>
        <w:rPr>
          <w:rFonts w:ascii="Times New Roman" w:hAnsi="Times New Roman" w:cs="Times New Roman"/>
          <w:sz w:val="24"/>
          <w:szCs w:val="24"/>
        </w:rPr>
      </w:pPr>
      <w:r w:rsidRPr="009258E0">
        <w:rPr>
          <w:rFonts w:ascii="Times New Roman" w:hAnsi="Times New Roman" w:cs="Times New Roman"/>
          <w:b/>
          <w:sz w:val="24"/>
          <w:szCs w:val="24"/>
        </w:rPr>
        <w:t>Method B2</w:t>
      </w:r>
      <w:r w:rsidRPr="009258E0">
        <w:rPr>
          <w:rFonts w:ascii="Times New Roman" w:hAnsi="Times New Roman" w:cs="Times New Roman"/>
          <w:sz w:val="24"/>
          <w:szCs w:val="24"/>
        </w:rPr>
        <w:t xml:space="preserve"> –</w:t>
      </w:r>
      <w:r w:rsidRPr="009258E0">
        <w:rPr>
          <w:rFonts w:ascii="Times New Roman" w:hAnsi="Times New Roman" w:cs="Times New Roman"/>
          <w:sz w:val="24"/>
          <w:szCs w:val="24"/>
        </w:rPr>
        <w:tab/>
        <w:t>Add new identification(s) for HAPS in bands already allocated to the FS with a primary status</w:t>
      </w:r>
    </w:p>
    <w:p w:rsidR="009258E0" w:rsidRPr="009258E0" w:rsidRDefault="009258E0" w:rsidP="00184C26">
      <w:pPr>
        <w:ind w:leftChars="425" w:left="850" w:firstLine="1"/>
        <w:rPr>
          <w:rFonts w:ascii="Times New Roman" w:hAnsi="Times New Roman" w:cs="Times New Roman"/>
          <w:sz w:val="24"/>
          <w:szCs w:val="24"/>
        </w:rPr>
      </w:pPr>
      <w:r w:rsidRPr="009258E0">
        <w:rPr>
          <w:rFonts w:ascii="Times New Roman" w:hAnsi="Times New Roman" w:cs="Times New Roman"/>
          <w:sz w:val="24"/>
          <w:szCs w:val="24"/>
        </w:rPr>
        <w:t>This may include, e.g. global or regional identification for HAPS, limitations regarding link directions, and inclusion of the technical conditions of operation of HAPS systems for the protection of other services. This could be achieved by new or revised footnotes to the Table of Frequency Allocations, and new or revised associated Resolutions.</w:t>
      </w:r>
    </w:p>
    <w:p w:rsidR="009258E0" w:rsidRPr="009258E0" w:rsidRDefault="009258E0" w:rsidP="009258E0">
      <w:pPr>
        <w:pStyle w:val="a3"/>
        <w:numPr>
          <w:ilvl w:val="0"/>
          <w:numId w:val="4"/>
        </w:numPr>
        <w:tabs>
          <w:tab w:val="left" w:pos="1358"/>
        </w:tabs>
        <w:ind w:leftChars="0"/>
        <w:rPr>
          <w:rFonts w:ascii="Times New Roman" w:hAnsi="Times New Roman" w:cs="Times New Roman"/>
          <w:sz w:val="24"/>
          <w:szCs w:val="24"/>
        </w:rPr>
      </w:pPr>
      <w:r w:rsidRPr="009258E0">
        <w:rPr>
          <w:rFonts w:ascii="Times New Roman" w:hAnsi="Times New Roman" w:cs="Times New Roman"/>
          <w:b/>
          <w:sz w:val="24"/>
          <w:szCs w:val="24"/>
        </w:rPr>
        <w:t>Method B3</w:t>
      </w:r>
      <w:r w:rsidRPr="009258E0">
        <w:rPr>
          <w:rFonts w:ascii="Times New Roman" w:hAnsi="Times New Roman" w:cs="Times New Roman"/>
          <w:sz w:val="24"/>
          <w:szCs w:val="24"/>
        </w:rPr>
        <w:t xml:space="preserve"> –</w:t>
      </w:r>
      <w:r w:rsidRPr="009258E0">
        <w:rPr>
          <w:rFonts w:ascii="Times New Roman" w:hAnsi="Times New Roman" w:cs="Times New Roman"/>
          <w:sz w:val="24"/>
          <w:szCs w:val="24"/>
        </w:rPr>
        <w:tab/>
        <w:t>Add a primary allocation to the FS and a new identification for HAPS</w:t>
      </w:r>
      <w:r w:rsidRPr="009258E0" w:rsidDel="003A6721">
        <w:rPr>
          <w:rFonts w:ascii="Times New Roman" w:hAnsi="Times New Roman" w:cs="Times New Roman"/>
          <w:sz w:val="24"/>
          <w:szCs w:val="24"/>
        </w:rPr>
        <w:t xml:space="preserve"> </w:t>
      </w:r>
      <w:r w:rsidRPr="009258E0">
        <w:rPr>
          <w:rFonts w:ascii="Times New Roman" w:hAnsi="Times New Roman" w:cs="Times New Roman"/>
          <w:sz w:val="24"/>
          <w:szCs w:val="24"/>
        </w:rPr>
        <w:t>in the band 24.25-25.25 GHz (Region 2) not already allocated to the FS</w:t>
      </w:r>
    </w:p>
    <w:p w:rsidR="009258E0" w:rsidRPr="009258E0" w:rsidRDefault="009258E0" w:rsidP="00184C26">
      <w:pPr>
        <w:ind w:leftChars="425" w:left="850" w:firstLine="1"/>
        <w:rPr>
          <w:rFonts w:ascii="Times New Roman" w:hAnsi="Times New Roman" w:cs="Times New Roman"/>
          <w:sz w:val="24"/>
          <w:szCs w:val="24"/>
        </w:rPr>
      </w:pPr>
      <w:r w:rsidRPr="009258E0">
        <w:rPr>
          <w:rFonts w:ascii="Times New Roman" w:hAnsi="Times New Roman" w:cs="Times New Roman"/>
          <w:sz w:val="24"/>
          <w:szCs w:val="24"/>
        </w:rPr>
        <w:t>This may include, primary allocation for FS in Region 2 and identification for HAPS in that Region, together with conditions e.g. limitations regarding link directions, and inclusion of the technical conditions of operation of HAPS systems for the protection of other services. This could be achieved by new or revised footnotes to the Table of Frequency Allocations, and new or revised associated Resolutions.</w:t>
      </w:r>
    </w:p>
    <w:p w:rsidR="009258E0" w:rsidRPr="009258E0" w:rsidRDefault="009258E0" w:rsidP="009258E0">
      <w:pPr>
        <w:pStyle w:val="a3"/>
        <w:numPr>
          <w:ilvl w:val="0"/>
          <w:numId w:val="4"/>
        </w:numPr>
        <w:tabs>
          <w:tab w:val="left" w:pos="1358"/>
        </w:tabs>
        <w:ind w:leftChars="0"/>
        <w:rPr>
          <w:rFonts w:ascii="Times New Roman" w:hAnsi="Times New Roman" w:cs="Times New Roman"/>
          <w:sz w:val="24"/>
          <w:szCs w:val="24"/>
        </w:rPr>
      </w:pPr>
      <w:r w:rsidRPr="009258E0">
        <w:rPr>
          <w:rFonts w:ascii="Times New Roman" w:hAnsi="Times New Roman" w:cs="Times New Roman"/>
          <w:b/>
          <w:sz w:val="24"/>
          <w:szCs w:val="24"/>
        </w:rPr>
        <w:t>Method C</w:t>
      </w:r>
      <w:r w:rsidRPr="009258E0">
        <w:rPr>
          <w:rFonts w:ascii="Times New Roman" w:hAnsi="Times New Roman" w:cs="Times New Roman"/>
          <w:bCs/>
          <w:sz w:val="24"/>
          <w:szCs w:val="24"/>
        </w:rPr>
        <w:t xml:space="preserve"> –</w:t>
      </w:r>
      <w:r w:rsidRPr="009258E0">
        <w:rPr>
          <w:rFonts w:ascii="Times New Roman" w:hAnsi="Times New Roman" w:cs="Times New Roman"/>
          <w:sz w:val="24"/>
          <w:szCs w:val="24"/>
        </w:rPr>
        <w:tab/>
        <w:t xml:space="preserve">Suppress the existing HAPS identification, pursuant to </w:t>
      </w:r>
      <w:r w:rsidRPr="009258E0">
        <w:rPr>
          <w:rFonts w:ascii="Times New Roman" w:hAnsi="Times New Roman" w:cs="Times New Roman"/>
          <w:i/>
          <w:iCs/>
          <w:sz w:val="24"/>
          <w:szCs w:val="24"/>
        </w:rPr>
        <w:t>resolves</w:t>
      </w:r>
      <w:r w:rsidRPr="009258E0">
        <w:rPr>
          <w:rFonts w:ascii="Times New Roman" w:hAnsi="Times New Roman" w:cs="Times New Roman"/>
          <w:sz w:val="24"/>
          <w:szCs w:val="24"/>
        </w:rPr>
        <w:t xml:space="preserve"> 3 of Resolution </w:t>
      </w:r>
      <w:r w:rsidRPr="009258E0">
        <w:rPr>
          <w:rStyle w:val="headingbZchn"/>
          <w:szCs w:val="24"/>
          <w:lang w:val="en-GB"/>
        </w:rPr>
        <w:t>160</w:t>
      </w:r>
      <w:r w:rsidRPr="009258E0">
        <w:rPr>
          <w:rFonts w:ascii="Times New Roman" w:hAnsi="Times New Roman" w:cs="Times New Roman"/>
          <w:sz w:val="24"/>
          <w:szCs w:val="24"/>
        </w:rPr>
        <w:t> </w:t>
      </w:r>
      <w:r w:rsidRPr="009258E0">
        <w:rPr>
          <w:rStyle w:val="headingbZchn"/>
          <w:szCs w:val="24"/>
          <w:lang w:val="en-GB"/>
        </w:rPr>
        <w:t>(WRC-15)</w:t>
      </w:r>
    </w:p>
    <w:p w:rsidR="00184C26" w:rsidRPr="00184C26" w:rsidRDefault="00184C26" w:rsidP="009258E0">
      <w:pPr>
        <w:rPr>
          <w:rFonts w:ascii="Times New Roman" w:hAnsi="Times New Roman" w:cs="Times New Roman"/>
          <w:sz w:val="24"/>
          <w:szCs w:val="24"/>
        </w:rPr>
      </w:pPr>
      <w:r w:rsidRPr="00184C26">
        <w:rPr>
          <w:rFonts w:ascii="Times New Roman" w:hAnsi="Times New Roman" w:cs="Times New Roman" w:hint="eastAsia"/>
          <w:sz w:val="24"/>
          <w:szCs w:val="24"/>
        </w:rPr>
        <w:t>T</w:t>
      </w:r>
      <w:r w:rsidRPr="00184C26">
        <w:rPr>
          <w:rFonts w:ascii="Times New Roman" w:hAnsi="Times New Roman" w:cs="Times New Roman"/>
          <w:sz w:val="24"/>
          <w:szCs w:val="24"/>
        </w:rPr>
        <w:t>here are two views expressed with respect to Method B3 as follows.</w:t>
      </w:r>
    </w:p>
    <w:p w:rsidR="009258E0" w:rsidRPr="009258E0" w:rsidRDefault="009258E0" w:rsidP="009258E0">
      <w:pPr>
        <w:rPr>
          <w:rFonts w:ascii="Times New Roman" w:hAnsi="Times New Roman" w:cs="Times New Roman"/>
          <w:i/>
          <w:sz w:val="24"/>
          <w:szCs w:val="24"/>
        </w:rPr>
      </w:pPr>
      <w:r w:rsidRPr="009258E0">
        <w:rPr>
          <w:rFonts w:ascii="Times New Roman" w:hAnsi="Times New Roman" w:cs="Times New Roman"/>
          <w:i/>
          <w:sz w:val="24"/>
          <w:szCs w:val="24"/>
        </w:rPr>
        <w:t>View 1: Some administrations are of the view that method B3 is out-of-scope of Resolution 160. Resolution 160 permits HAPS identifications only in bands allocated to the fixed service on a primary basis. In Region 2, the band 24.25-25.25 GHz is not allocated to the fixed service. In addition, no studies have been performed between the fixed service and other incumbent services except for HAPS fixed links and primary and adjacent existing services.</w:t>
      </w:r>
    </w:p>
    <w:p w:rsidR="009258E0" w:rsidRPr="009258E0" w:rsidRDefault="009258E0" w:rsidP="009258E0">
      <w:pPr>
        <w:rPr>
          <w:rFonts w:ascii="Times New Roman" w:hAnsi="Times New Roman" w:cs="Times New Roman"/>
          <w:i/>
          <w:sz w:val="24"/>
          <w:szCs w:val="24"/>
        </w:rPr>
      </w:pPr>
      <w:r w:rsidRPr="009258E0">
        <w:rPr>
          <w:rFonts w:ascii="Times New Roman" w:hAnsi="Times New Roman" w:cs="Times New Roman"/>
          <w:i/>
          <w:sz w:val="24"/>
          <w:szCs w:val="24"/>
        </w:rPr>
        <w:t>View 2: Some administrations are of the view that method B3 is in the scope of Resolution 160. Resolution 160 permits a HAPS identification in the band 24.25-27.5 GHz in Region 2. In Region 2, the 24.25-25.25 GHz portion of this range is not allocated to the fixed service, but Resolution 160 inconsistently states that the entire 24.25-27.5 GHz range is allocated to the fixed service. Therefore, this sub-band could be allocated to the fixed service under agenda item 1.14, but limited to HAPS application only, since no studies have been performed between conventional fixed service systems and other incumbent services.</w:t>
      </w:r>
    </w:p>
    <w:p w:rsidR="009258E0" w:rsidRPr="009258E0" w:rsidRDefault="009258E0" w:rsidP="009258E0">
      <w:pPr>
        <w:rPr>
          <w:rFonts w:ascii="Times New Roman" w:hAnsi="Times New Roman" w:cs="Times New Roman"/>
          <w:sz w:val="24"/>
          <w:szCs w:val="24"/>
        </w:rPr>
      </w:pPr>
      <w:r w:rsidRPr="009258E0">
        <w:rPr>
          <w:rFonts w:ascii="Times New Roman" w:hAnsi="Times New Roman" w:cs="Times New Roman"/>
          <w:sz w:val="24"/>
          <w:szCs w:val="24"/>
        </w:rPr>
        <w:t>An overview of methods and relevant options currently considered in th</w:t>
      </w:r>
      <w:r w:rsidR="00184C26">
        <w:rPr>
          <w:rFonts w:ascii="Times New Roman" w:hAnsi="Times New Roman" w:cs="Times New Roman"/>
          <w:sz w:val="24"/>
          <w:szCs w:val="24"/>
        </w:rPr>
        <w:t>e</w:t>
      </w:r>
      <w:r w:rsidRPr="009258E0">
        <w:rPr>
          <w:rFonts w:ascii="Times New Roman" w:hAnsi="Times New Roman" w:cs="Times New Roman"/>
          <w:sz w:val="24"/>
          <w:szCs w:val="24"/>
        </w:rPr>
        <w:t xml:space="preserve"> CPM </w:t>
      </w:r>
      <w:r w:rsidR="00184C26">
        <w:rPr>
          <w:rFonts w:ascii="Times New Roman" w:hAnsi="Times New Roman" w:cs="Times New Roman"/>
          <w:sz w:val="24"/>
          <w:szCs w:val="24"/>
        </w:rPr>
        <w:t>Report</w:t>
      </w:r>
      <w:r w:rsidRPr="009258E0">
        <w:rPr>
          <w:rFonts w:ascii="Times New Roman" w:hAnsi="Times New Roman" w:cs="Times New Roman"/>
          <w:sz w:val="24"/>
          <w:szCs w:val="24"/>
        </w:rPr>
        <w:t xml:space="preserve"> under the agenda item is provided in the table below:</w:t>
      </w:r>
    </w:p>
    <w:p w:rsidR="00184C26" w:rsidRDefault="00184C26" w:rsidP="009258E0">
      <w:pPr>
        <w:pStyle w:val="Tabletitle"/>
      </w:pPr>
    </w:p>
    <w:p w:rsidR="009258E0" w:rsidRPr="003D1B01" w:rsidRDefault="009258E0" w:rsidP="009258E0">
      <w:pPr>
        <w:pStyle w:val="Tabletitle"/>
      </w:pPr>
      <w:r w:rsidRPr="003D1B01">
        <w:t>Summary of methods to satisfy the agenda item and associated frequency bands</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6"/>
        <w:gridCol w:w="2785"/>
        <w:gridCol w:w="1378"/>
        <w:gridCol w:w="1500"/>
        <w:gridCol w:w="1492"/>
      </w:tblGrid>
      <w:tr w:rsidR="009258E0" w:rsidRPr="003D1B01" w:rsidTr="00D65689">
        <w:trPr>
          <w:cantSplit/>
          <w:tblHeader/>
          <w:jc w:val="center"/>
        </w:trPr>
        <w:tc>
          <w:tcPr>
            <w:tcW w:w="1186" w:type="dxa"/>
            <w:vMerge w:val="restart"/>
            <w:vAlign w:val="center"/>
          </w:tcPr>
          <w:p w:rsidR="009258E0" w:rsidRPr="003D1B01" w:rsidRDefault="009258E0" w:rsidP="00D65689">
            <w:pPr>
              <w:pStyle w:val="Tablehead"/>
            </w:pPr>
            <w:r w:rsidRPr="003D1B01">
              <w:t>Section</w:t>
            </w:r>
            <w:r w:rsidRPr="003D1B01">
              <w:br/>
              <w:t>1/1.14/</w:t>
            </w:r>
          </w:p>
        </w:tc>
        <w:tc>
          <w:tcPr>
            <w:tcW w:w="2785" w:type="dxa"/>
            <w:vMerge w:val="restart"/>
            <w:vAlign w:val="center"/>
            <w:hideMark/>
          </w:tcPr>
          <w:p w:rsidR="009258E0" w:rsidRPr="003D1B01" w:rsidRDefault="009258E0" w:rsidP="00D65689">
            <w:pPr>
              <w:pStyle w:val="Tablehead"/>
            </w:pPr>
            <w:r w:rsidRPr="003D1B01">
              <w:t>Bands</w:t>
            </w:r>
          </w:p>
        </w:tc>
        <w:tc>
          <w:tcPr>
            <w:tcW w:w="4370" w:type="dxa"/>
            <w:gridSpan w:val="3"/>
            <w:vAlign w:val="center"/>
            <w:hideMark/>
          </w:tcPr>
          <w:p w:rsidR="009258E0" w:rsidRPr="003D1B01" w:rsidRDefault="009258E0" w:rsidP="00D65689">
            <w:pPr>
              <w:pStyle w:val="Tablehead"/>
            </w:pPr>
            <w:r w:rsidRPr="003D1B01">
              <w:t>Methods</w:t>
            </w:r>
            <w:r w:rsidRPr="003D1B01">
              <w:rPr>
                <w:iCs/>
              </w:rPr>
              <w:t xml:space="preserve"> and options</w:t>
            </w:r>
          </w:p>
        </w:tc>
      </w:tr>
      <w:tr w:rsidR="009258E0" w:rsidRPr="003D1B01" w:rsidTr="00D65689">
        <w:trPr>
          <w:cantSplit/>
          <w:tblHeader/>
          <w:jc w:val="center"/>
        </w:trPr>
        <w:tc>
          <w:tcPr>
            <w:tcW w:w="1186" w:type="dxa"/>
            <w:vMerge/>
          </w:tcPr>
          <w:p w:rsidR="009258E0" w:rsidRPr="003D1B01" w:rsidRDefault="009258E0" w:rsidP="00D65689">
            <w:pPr>
              <w:pStyle w:val="Tablehead"/>
            </w:pPr>
          </w:p>
        </w:tc>
        <w:tc>
          <w:tcPr>
            <w:tcW w:w="2785" w:type="dxa"/>
            <w:vMerge/>
            <w:vAlign w:val="center"/>
            <w:hideMark/>
          </w:tcPr>
          <w:p w:rsidR="009258E0" w:rsidRPr="003D1B01" w:rsidRDefault="009258E0" w:rsidP="00D65689">
            <w:pPr>
              <w:pStyle w:val="Tablehead"/>
            </w:pPr>
          </w:p>
        </w:tc>
        <w:tc>
          <w:tcPr>
            <w:tcW w:w="1378" w:type="dxa"/>
            <w:vAlign w:val="center"/>
            <w:hideMark/>
          </w:tcPr>
          <w:p w:rsidR="009258E0" w:rsidRPr="003D1B01" w:rsidRDefault="009258E0" w:rsidP="00D65689">
            <w:pPr>
              <w:pStyle w:val="Tablehead"/>
            </w:pPr>
            <w:r w:rsidRPr="003D1B01">
              <w:t>Method A</w:t>
            </w:r>
          </w:p>
        </w:tc>
        <w:tc>
          <w:tcPr>
            <w:tcW w:w="1500" w:type="dxa"/>
            <w:vAlign w:val="center"/>
            <w:hideMark/>
          </w:tcPr>
          <w:p w:rsidR="009258E0" w:rsidRPr="003D1B01" w:rsidRDefault="009258E0" w:rsidP="00D65689">
            <w:pPr>
              <w:pStyle w:val="Tablehead"/>
            </w:pPr>
            <w:r w:rsidRPr="003D1B01">
              <w:t>Method B</w:t>
            </w:r>
          </w:p>
        </w:tc>
        <w:tc>
          <w:tcPr>
            <w:tcW w:w="1492" w:type="dxa"/>
            <w:vAlign w:val="center"/>
            <w:hideMark/>
          </w:tcPr>
          <w:p w:rsidR="009258E0" w:rsidRPr="003D1B01" w:rsidRDefault="009258E0" w:rsidP="00D65689">
            <w:pPr>
              <w:pStyle w:val="Tablehead"/>
            </w:pPr>
            <w:r w:rsidRPr="003D1B01">
              <w:t>Method C</w:t>
            </w:r>
          </w:p>
        </w:tc>
      </w:tr>
      <w:tr w:rsidR="009258E0" w:rsidRPr="003D1B01" w:rsidTr="00D65689">
        <w:trPr>
          <w:cantSplit/>
          <w:jc w:val="center"/>
        </w:trPr>
        <w:tc>
          <w:tcPr>
            <w:tcW w:w="1186" w:type="dxa"/>
            <w:vAlign w:val="center"/>
          </w:tcPr>
          <w:p w:rsidR="009258E0" w:rsidRPr="003D1B01" w:rsidRDefault="009258E0" w:rsidP="00D65689">
            <w:pPr>
              <w:pStyle w:val="Tabletext"/>
              <w:jc w:val="center"/>
            </w:pPr>
            <w:r w:rsidRPr="003D1B01">
              <w:t>4.1/5.1</w:t>
            </w:r>
          </w:p>
        </w:tc>
        <w:tc>
          <w:tcPr>
            <w:tcW w:w="2785" w:type="dxa"/>
            <w:vAlign w:val="center"/>
            <w:hideMark/>
          </w:tcPr>
          <w:p w:rsidR="009258E0" w:rsidRPr="003D1B01" w:rsidRDefault="009258E0" w:rsidP="00D65689">
            <w:pPr>
              <w:pStyle w:val="Tabletext"/>
              <w:jc w:val="center"/>
            </w:pPr>
            <w:r w:rsidRPr="003D1B01">
              <w:t>6 440- 6 520 MHz</w:t>
            </w:r>
          </w:p>
        </w:tc>
        <w:tc>
          <w:tcPr>
            <w:tcW w:w="1378" w:type="dxa"/>
            <w:vAlign w:val="center"/>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B1</w:t>
            </w:r>
          </w:p>
        </w:tc>
        <w:tc>
          <w:tcPr>
            <w:tcW w:w="1492" w:type="dxa"/>
          </w:tcPr>
          <w:p w:rsidR="009258E0" w:rsidRPr="003D1B01" w:rsidRDefault="009258E0" w:rsidP="00D65689">
            <w:pPr>
              <w:pStyle w:val="Tabletext"/>
              <w:jc w:val="center"/>
            </w:pPr>
            <w:r w:rsidRPr="003D1B01">
              <w:t>√</w:t>
            </w:r>
          </w:p>
        </w:tc>
      </w:tr>
      <w:tr w:rsidR="009258E0" w:rsidRPr="003D1B01" w:rsidTr="00D65689">
        <w:trPr>
          <w:cantSplit/>
          <w:jc w:val="center"/>
        </w:trPr>
        <w:tc>
          <w:tcPr>
            <w:tcW w:w="1186" w:type="dxa"/>
            <w:vAlign w:val="center"/>
          </w:tcPr>
          <w:p w:rsidR="009258E0" w:rsidRPr="003D1B01" w:rsidRDefault="009258E0" w:rsidP="00D65689">
            <w:pPr>
              <w:pStyle w:val="Tabletext"/>
              <w:jc w:val="center"/>
            </w:pPr>
            <w:r w:rsidRPr="003D1B01">
              <w:t>4.2/5.2</w:t>
            </w:r>
          </w:p>
        </w:tc>
        <w:tc>
          <w:tcPr>
            <w:tcW w:w="2785" w:type="dxa"/>
            <w:vAlign w:val="center"/>
            <w:hideMark/>
          </w:tcPr>
          <w:p w:rsidR="009258E0" w:rsidRPr="003D1B01" w:rsidRDefault="009258E0" w:rsidP="00D65689">
            <w:pPr>
              <w:pStyle w:val="Tabletext"/>
              <w:jc w:val="center"/>
            </w:pPr>
            <w:r w:rsidRPr="003D1B01">
              <w:t>6 560- 6 640 MHz</w:t>
            </w:r>
          </w:p>
        </w:tc>
        <w:tc>
          <w:tcPr>
            <w:tcW w:w="1378" w:type="dxa"/>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Not proposed</w:t>
            </w:r>
          </w:p>
        </w:tc>
        <w:tc>
          <w:tcPr>
            <w:tcW w:w="1492" w:type="dxa"/>
          </w:tcPr>
          <w:p w:rsidR="009258E0" w:rsidRPr="003D1B01" w:rsidRDefault="009258E0" w:rsidP="00D65689">
            <w:pPr>
              <w:pStyle w:val="Tabletext"/>
              <w:jc w:val="center"/>
            </w:pPr>
            <w:r w:rsidRPr="003D1B01">
              <w:t>√</w:t>
            </w:r>
          </w:p>
        </w:tc>
      </w:tr>
      <w:tr w:rsidR="009258E0" w:rsidRPr="003D1B01" w:rsidTr="00D65689">
        <w:trPr>
          <w:cantSplit/>
          <w:jc w:val="center"/>
        </w:trPr>
        <w:tc>
          <w:tcPr>
            <w:tcW w:w="1186" w:type="dxa"/>
            <w:vAlign w:val="center"/>
          </w:tcPr>
          <w:p w:rsidR="009258E0" w:rsidRPr="003D1B01" w:rsidRDefault="009258E0" w:rsidP="00D65689">
            <w:pPr>
              <w:pStyle w:val="Tabletext"/>
              <w:jc w:val="center"/>
            </w:pPr>
            <w:r w:rsidRPr="003D1B01">
              <w:t>4.3/5.3</w:t>
            </w:r>
          </w:p>
        </w:tc>
        <w:tc>
          <w:tcPr>
            <w:tcW w:w="2785" w:type="dxa"/>
            <w:vAlign w:val="center"/>
            <w:hideMark/>
          </w:tcPr>
          <w:p w:rsidR="009258E0" w:rsidRPr="003D1B01" w:rsidRDefault="009258E0" w:rsidP="00D65689">
            <w:pPr>
              <w:pStyle w:val="Tabletext"/>
              <w:jc w:val="center"/>
            </w:pPr>
            <w:r w:rsidRPr="003D1B01">
              <w:t>21.4-22 GHz (R2 only)</w:t>
            </w:r>
          </w:p>
        </w:tc>
        <w:tc>
          <w:tcPr>
            <w:tcW w:w="1378" w:type="dxa"/>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B2</w:t>
            </w:r>
          </w:p>
        </w:tc>
        <w:tc>
          <w:tcPr>
            <w:tcW w:w="1492" w:type="dxa"/>
            <w:vAlign w:val="center"/>
          </w:tcPr>
          <w:p w:rsidR="009258E0" w:rsidRPr="003D1B01" w:rsidRDefault="009258E0" w:rsidP="00D65689">
            <w:pPr>
              <w:pStyle w:val="Tabletext"/>
              <w:jc w:val="center"/>
            </w:pPr>
            <w:r w:rsidRPr="003D1B01">
              <w:t>N/A</w:t>
            </w:r>
          </w:p>
        </w:tc>
      </w:tr>
      <w:tr w:rsidR="009258E0" w:rsidRPr="003D1B01" w:rsidTr="00184C26">
        <w:trPr>
          <w:cantSplit/>
          <w:jc w:val="center"/>
        </w:trPr>
        <w:tc>
          <w:tcPr>
            <w:tcW w:w="1186" w:type="dxa"/>
            <w:shd w:val="clear" w:color="auto" w:fill="auto"/>
            <w:vAlign w:val="center"/>
          </w:tcPr>
          <w:p w:rsidR="009258E0" w:rsidRPr="003D1B01" w:rsidRDefault="009258E0" w:rsidP="00D65689">
            <w:pPr>
              <w:pStyle w:val="Tabletext"/>
              <w:jc w:val="center"/>
            </w:pPr>
            <w:r w:rsidRPr="003D1B01">
              <w:lastRenderedPageBreak/>
              <w:t>4.4/5.4</w:t>
            </w:r>
          </w:p>
        </w:tc>
        <w:tc>
          <w:tcPr>
            <w:tcW w:w="2785" w:type="dxa"/>
            <w:vAlign w:val="center"/>
          </w:tcPr>
          <w:p w:rsidR="009258E0" w:rsidRPr="003D1B01" w:rsidRDefault="009258E0" w:rsidP="00D65689">
            <w:pPr>
              <w:pStyle w:val="Tabletext"/>
              <w:jc w:val="center"/>
            </w:pPr>
            <w:r w:rsidRPr="003D1B01">
              <w:t>24.25-25.25 GHz (R2 only)</w:t>
            </w:r>
          </w:p>
        </w:tc>
        <w:tc>
          <w:tcPr>
            <w:tcW w:w="1378" w:type="dxa"/>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B3</w:t>
            </w:r>
          </w:p>
        </w:tc>
        <w:tc>
          <w:tcPr>
            <w:tcW w:w="1492" w:type="dxa"/>
            <w:vAlign w:val="center"/>
          </w:tcPr>
          <w:p w:rsidR="009258E0" w:rsidRPr="003D1B01" w:rsidRDefault="009258E0" w:rsidP="00D65689">
            <w:pPr>
              <w:pStyle w:val="Tabletext"/>
              <w:jc w:val="center"/>
            </w:pPr>
            <w:r w:rsidRPr="003D1B01">
              <w:t>N/A</w:t>
            </w:r>
          </w:p>
        </w:tc>
      </w:tr>
      <w:tr w:rsidR="009258E0" w:rsidRPr="003D1B01" w:rsidTr="00D65689">
        <w:trPr>
          <w:cantSplit/>
          <w:jc w:val="center"/>
        </w:trPr>
        <w:tc>
          <w:tcPr>
            <w:tcW w:w="1186" w:type="dxa"/>
            <w:vAlign w:val="center"/>
          </w:tcPr>
          <w:p w:rsidR="009258E0" w:rsidRPr="003D1B01" w:rsidRDefault="009258E0" w:rsidP="00D65689">
            <w:pPr>
              <w:pStyle w:val="Tabletext"/>
              <w:jc w:val="center"/>
            </w:pPr>
            <w:r w:rsidRPr="003D1B01">
              <w:t>4.5/5.5</w:t>
            </w:r>
          </w:p>
        </w:tc>
        <w:tc>
          <w:tcPr>
            <w:tcW w:w="2785" w:type="dxa"/>
            <w:vAlign w:val="center"/>
          </w:tcPr>
          <w:p w:rsidR="009258E0" w:rsidRPr="003D1B01" w:rsidRDefault="009258E0" w:rsidP="00D65689">
            <w:pPr>
              <w:pStyle w:val="Tabletext"/>
              <w:jc w:val="center"/>
            </w:pPr>
            <w:r w:rsidRPr="003D1B01">
              <w:t>25.25-27.5 GHz (R2 only)</w:t>
            </w:r>
          </w:p>
        </w:tc>
        <w:tc>
          <w:tcPr>
            <w:tcW w:w="1378" w:type="dxa"/>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B2</w:t>
            </w:r>
          </w:p>
        </w:tc>
        <w:tc>
          <w:tcPr>
            <w:tcW w:w="1492" w:type="dxa"/>
            <w:vAlign w:val="center"/>
          </w:tcPr>
          <w:p w:rsidR="009258E0" w:rsidRPr="003D1B01" w:rsidRDefault="009258E0" w:rsidP="00D65689">
            <w:pPr>
              <w:pStyle w:val="Tabletext"/>
              <w:jc w:val="center"/>
            </w:pPr>
            <w:r w:rsidRPr="003D1B01">
              <w:t>N/A</w:t>
            </w:r>
          </w:p>
        </w:tc>
      </w:tr>
      <w:tr w:rsidR="009258E0" w:rsidRPr="003D1B01" w:rsidTr="00D65689">
        <w:trPr>
          <w:cantSplit/>
          <w:jc w:val="center"/>
        </w:trPr>
        <w:tc>
          <w:tcPr>
            <w:tcW w:w="1186" w:type="dxa"/>
            <w:vAlign w:val="center"/>
          </w:tcPr>
          <w:p w:rsidR="009258E0" w:rsidRPr="003D1B01" w:rsidRDefault="009258E0" w:rsidP="00D65689">
            <w:pPr>
              <w:pStyle w:val="Tabletext"/>
              <w:jc w:val="center"/>
            </w:pPr>
            <w:r w:rsidRPr="003D1B01">
              <w:t>4.6/5.6</w:t>
            </w:r>
          </w:p>
        </w:tc>
        <w:tc>
          <w:tcPr>
            <w:tcW w:w="2785" w:type="dxa"/>
            <w:vAlign w:val="center"/>
            <w:hideMark/>
          </w:tcPr>
          <w:p w:rsidR="009258E0" w:rsidRPr="003D1B01" w:rsidRDefault="009258E0" w:rsidP="00D65689">
            <w:pPr>
              <w:pStyle w:val="Tabletext"/>
              <w:jc w:val="center"/>
            </w:pPr>
            <w:r w:rsidRPr="003D1B01">
              <w:t>27.9-28.2 GHz</w:t>
            </w:r>
          </w:p>
        </w:tc>
        <w:tc>
          <w:tcPr>
            <w:tcW w:w="1378" w:type="dxa"/>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B1</w:t>
            </w:r>
          </w:p>
        </w:tc>
        <w:tc>
          <w:tcPr>
            <w:tcW w:w="1492" w:type="dxa"/>
          </w:tcPr>
          <w:p w:rsidR="009258E0" w:rsidRPr="003D1B01" w:rsidRDefault="009258E0" w:rsidP="00D65689">
            <w:pPr>
              <w:pStyle w:val="Tabletext"/>
              <w:jc w:val="center"/>
            </w:pPr>
            <w:r w:rsidRPr="003D1B01">
              <w:t>√</w:t>
            </w:r>
          </w:p>
        </w:tc>
      </w:tr>
      <w:tr w:rsidR="009258E0" w:rsidRPr="003D1B01" w:rsidTr="00D65689">
        <w:trPr>
          <w:cantSplit/>
          <w:jc w:val="center"/>
        </w:trPr>
        <w:tc>
          <w:tcPr>
            <w:tcW w:w="1186" w:type="dxa"/>
            <w:vAlign w:val="center"/>
          </w:tcPr>
          <w:p w:rsidR="009258E0" w:rsidRPr="003D1B01" w:rsidRDefault="009258E0" w:rsidP="00D65689">
            <w:pPr>
              <w:pStyle w:val="Tabletext"/>
              <w:jc w:val="center"/>
            </w:pPr>
            <w:r w:rsidRPr="003D1B01">
              <w:t>4.7/5.7</w:t>
            </w:r>
          </w:p>
        </w:tc>
        <w:tc>
          <w:tcPr>
            <w:tcW w:w="2785" w:type="dxa"/>
            <w:vAlign w:val="center"/>
            <w:hideMark/>
          </w:tcPr>
          <w:p w:rsidR="009258E0" w:rsidRPr="003D1B01" w:rsidRDefault="009258E0" w:rsidP="00D65689">
            <w:pPr>
              <w:pStyle w:val="Tabletext"/>
              <w:jc w:val="center"/>
            </w:pPr>
            <w:r w:rsidRPr="003D1B01">
              <w:t>31-31.3 GHz</w:t>
            </w:r>
          </w:p>
        </w:tc>
        <w:tc>
          <w:tcPr>
            <w:tcW w:w="1378" w:type="dxa"/>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B1</w:t>
            </w:r>
          </w:p>
        </w:tc>
        <w:tc>
          <w:tcPr>
            <w:tcW w:w="1492" w:type="dxa"/>
          </w:tcPr>
          <w:p w:rsidR="009258E0" w:rsidRPr="003D1B01" w:rsidRDefault="009258E0" w:rsidP="00D65689">
            <w:pPr>
              <w:pStyle w:val="Tabletext"/>
              <w:jc w:val="center"/>
            </w:pPr>
            <w:r w:rsidRPr="003D1B01">
              <w:t>√</w:t>
            </w:r>
          </w:p>
        </w:tc>
      </w:tr>
      <w:tr w:rsidR="009258E0" w:rsidRPr="003D1B01" w:rsidTr="00D65689">
        <w:trPr>
          <w:cantSplit/>
          <w:jc w:val="center"/>
        </w:trPr>
        <w:tc>
          <w:tcPr>
            <w:tcW w:w="1186" w:type="dxa"/>
            <w:vAlign w:val="center"/>
          </w:tcPr>
          <w:p w:rsidR="009258E0" w:rsidRPr="003D1B01" w:rsidRDefault="009258E0" w:rsidP="00D65689">
            <w:pPr>
              <w:pStyle w:val="Tabletext"/>
              <w:jc w:val="center"/>
            </w:pPr>
            <w:r w:rsidRPr="003D1B01">
              <w:t>4.8/5.8</w:t>
            </w:r>
          </w:p>
        </w:tc>
        <w:tc>
          <w:tcPr>
            <w:tcW w:w="2785" w:type="dxa"/>
            <w:vAlign w:val="center"/>
            <w:hideMark/>
          </w:tcPr>
          <w:p w:rsidR="009258E0" w:rsidRPr="003D1B01" w:rsidRDefault="009258E0" w:rsidP="00D65689">
            <w:pPr>
              <w:pStyle w:val="Tabletext"/>
              <w:jc w:val="center"/>
            </w:pPr>
            <w:r w:rsidRPr="003D1B01">
              <w:t>38-39.5 GHz</w:t>
            </w:r>
          </w:p>
        </w:tc>
        <w:tc>
          <w:tcPr>
            <w:tcW w:w="1378" w:type="dxa"/>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B2</w:t>
            </w:r>
          </w:p>
        </w:tc>
        <w:tc>
          <w:tcPr>
            <w:tcW w:w="1492" w:type="dxa"/>
            <w:vAlign w:val="center"/>
          </w:tcPr>
          <w:p w:rsidR="009258E0" w:rsidRPr="003D1B01" w:rsidRDefault="009258E0" w:rsidP="00D65689">
            <w:pPr>
              <w:pStyle w:val="Tabletext"/>
              <w:jc w:val="center"/>
            </w:pPr>
            <w:r w:rsidRPr="003D1B01">
              <w:t>N/A</w:t>
            </w:r>
          </w:p>
        </w:tc>
      </w:tr>
      <w:tr w:rsidR="009258E0" w:rsidRPr="003D1B01" w:rsidTr="00D65689">
        <w:trPr>
          <w:cantSplit/>
          <w:jc w:val="center"/>
        </w:trPr>
        <w:tc>
          <w:tcPr>
            <w:tcW w:w="1186" w:type="dxa"/>
            <w:vAlign w:val="center"/>
          </w:tcPr>
          <w:p w:rsidR="009258E0" w:rsidRPr="003D1B01" w:rsidRDefault="009258E0" w:rsidP="00D65689">
            <w:pPr>
              <w:pStyle w:val="Tabletext"/>
              <w:jc w:val="center"/>
            </w:pPr>
            <w:r w:rsidRPr="003D1B01">
              <w:t>4.9/5.9</w:t>
            </w:r>
          </w:p>
        </w:tc>
        <w:tc>
          <w:tcPr>
            <w:tcW w:w="2785" w:type="dxa"/>
            <w:vAlign w:val="center"/>
            <w:hideMark/>
          </w:tcPr>
          <w:p w:rsidR="009258E0" w:rsidRPr="003D1B01" w:rsidRDefault="009258E0" w:rsidP="00D65689">
            <w:pPr>
              <w:pStyle w:val="Tabletext"/>
              <w:jc w:val="center"/>
            </w:pPr>
            <w:r w:rsidRPr="003D1B01">
              <w:t>47.2-47.5 GHz / 47.9-48.2 GHz</w:t>
            </w:r>
          </w:p>
        </w:tc>
        <w:tc>
          <w:tcPr>
            <w:tcW w:w="1378" w:type="dxa"/>
          </w:tcPr>
          <w:p w:rsidR="009258E0" w:rsidRPr="003D1B01" w:rsidRDefault="009258E0" w:rsidP="00D65689">
            <w:pPr>
              <w:pStyle w:val="Tabletext"/>
              <w:jc w:val="center"/>
            </w:pPr>
            <w:r w:rsidRPr="003D1B01">
              <w:t>√</w:t>
            </w:r>
          </w:p>
        </w:tc>
        <w:tc>
          <w:tcPr>
            <w:tcW w:w="1500" w:type="dxa"/>
            <w:vAlign w:val="center"/>
          </w:tcPr>
          <w:p w:rsidR="009258E0" w:rsidRPr="003D1B01" w:rsidRDefault="009258E0" w:rsidP="00D65689">
            <w:pPr>
              <w:pStyle w:val="Tabletext"/>
              <w:jc w:val="center"/>
            </w:pPr>
            <w:r w:rsidRPr="003D1B01">
              <w:t>B1</w:t>
            </w:r>
          </w:p>
        </w:tc>
        <w:tc>
          <w:tcPr>
            <w:tcW w:w="1492" w:type="dxa"/>
            <w:vAlign w:val="center"/>
          </w:tcPr>
          <w:p w:rsidR="009258E0" w:rsidRPr="003D1B01" w:rsidRDefault="009258E0" w:rsidP="00D65689">
            <w:pPr>
              <w:pStyle w:val="Tabletext"/>
              <w:jc w:val="center"/>
            </w:pPr>
            <w:r w:rsidRPr="003D1B01">
              <w:t>√</w:t>
            </w:r>
          </w:p>
        </w:tc>
      </w:tr>
    </w:tbl>
    <w:p w:rsidR="00387C94" w:rsidRPr="00C320B0" w:rsidRDefault="00387C94" w:rsidP="00C320B0">
      <w:pPr>
        <w:ind w:left="400"/>
        <w:rPr>
          <w:rFonts w:ascii="Times New Roman" w:hAnsi="Times New Roman" w:cs="Times New Roman" w:hint="eastAsia"/>
          <w:i/>
          <w:sz w:val="24"/>
          <w:szCs w:val="24"/>
        </w:rPr>
      </w:pP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320B0" w:rsidRPr="00C320B0" w:rsidRDefault="00C320B0" w:rsidP="00C320B0">
      <w:pPr>
        <w:ind w:left="400"/>
        <w:rPr>
          <w:rFonts w:ascii="Times New Roman" w:hAnsi="Times New Roman" w:cs="Times New Roman"/>
          <w:i/>
          <w:sz w:val="24"/>
          <w:szCs w:val="24"/>
        </w:rPr>
      </w:pPr>
      <w:r w:rsidRPr="00C320B0">
        <w:rPr>
          <w:rFonts w:ascii="Times New Roman" w:hAnsi="Times New Roman" w:cs="Times New Roman"/>
          <w:i/>
          <w:sz w:val="24"/>
          <w:szCs w:val="24"/>
        </w:rPr>
        <w:t>None</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61B" w:rsidRDefault="00AB361B" w:rsidP="00D1517A">
      <w:pPr>
        <w:spacing w:after="0" w:line="240" w:lineRule="auto"/>
      </w:pPr>
      <w:r>
        <w:separator/>
      </w:r>
    </w:p>
  </w:endnote>
  <w:endnote w:type="continuationSeparator" w:id="0">
    <w:p w:rsidR="00AB361B" w:rsidRDefault="00AB361B"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61B" w:rsidRDefault="00AB361B" w:rsidP="00D1517A">
      <w:pPr>
        <w:spacing w:after="0" w:line="240" w:lineRule="auto"/>
      </w:pPr>
      <w:r>
        <w:separator/>
      </w:r>
    </w:p>
  </w:footnote>
  <w:footnote w:type="continuationSeparator" w:id="0">
    <w:p w:rsidR="00AB361B" w:rsidRDefault="00AB361B"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16621"/>
    <w:multiLevelType w:val="hybridMultilevel"/>
    <w:tmpl w:val="ABCAFD74"/>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C3B7F4E"/>
    <w:multiLevelType w:val="hybridMultilevel"/>
    <w:tmpl w:val="8E7A8672"/>
    <w:lvl w:ilvl="0" w:tplc="0ACED4D8">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 w15:restartNumberingAfterBreak="0">
    <w:nsid w:val="60E160FA"/>
    <w:multiLevelType w:val="hybridMultilevel"/>
    <w:tmpl w:val="403C9FFE"/>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31B83"/>
    <w:rsid w:val="00086F2C"/>
    <w:rsid w:val="000B5983"/>
    <w:rsid w:val="00184C26"/>
    <w:rsid w:val="001E0789"/>
    <w:rsid w:val="00283D24"/>
    <w:rsid w:val="00387C94"/>
    <w:rsid w:val="003964E9"/>
    <w:rsid w:val="00461BA3"/>
    <w:rsid w:val="004A574B"/>
    <w:rsid w:val="004D7CC0"/>
    <w:rsid w:val="00571507"/>
    <w:rsid w:val="005755E6"/>
    <w:rsid w:val="00677357"/>
    <w:rsid w:val="00683E04"/>
    <w:rsid w:val="008742F3"/>
    <w:rsid w:val="00893CB0"/>
    <w:rsid w:val="008A7691"/>
    <w:rsid w:val="009258E0"/>
    <w:rsid w:val="009E27EC"/>
    <w:rsid w:val="009E40B6"/>
    <w:rsid w:val="009E5530"/>
    <w:rsid w:val="00AB361B"/>
    <w:rsid w:val="00AC461C"/>
    <w:rsid w:val="00C00A44"/>
    <w:rsid w:val="00C320B0"/>
    <w:rsid w:val="00C750CB"/>
    <w:rsid w:val="00C82B13"/>
    <w:rsid w:val="00D1517A"/>
    <w:rsid w:val="00D1746D"/>
    <w:rsid w:val="00E87CA0"/>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91A0"/>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3">
    <w:name w:val="heading 3"/>
    <w:basedOn w:val="a"/>
    <w:next w:val="a"/>
    <w:link w:val="3Char"/>
    <w:uiPriority w:val="9"/>
    <w:semiHidden/>
    <w:unhideWhenUsed/>
    <w:qFormat/>
    <w:rsid w:val="00387C94"/>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머리글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바닥글 Char"/>
    <w:basedOn w:val="a0"/>
    <w:link w:val="a5"/>
    <w:uiPriority w:val="99"/>
    <w:rsid w:val="00D1517A"/>
  </w:style>
  <w:style w:type="paragraph" w:customStyle="1" w:styleId="a6">
    <w:name w:val="바탕글"/>
    <w:basedOn w:val="a"/>
    <w:rsid w:val="008A7691"/>
    <w:pPr>
      <w:snapToGrid w:val="0"/>
      <w:spacing w:after="0" w:line="384" w:lineRule="auto"/>
      <w:textAlignment w:val="baseline"/>
    </w:pPr>
    <w:rPr>
      <w:rFonts w:ascii="바탕" w:eastAsia="굴림" w:hAnsi="굴림" w:cs="굴림"/>
      <w:color w:val="000000"/>
      <w:kern w:val="0"/>
      <w:szCs w:val="20"/>
    </w:rPr>
  </w:style>
  <w:style w:type="character" w:styleId="a7">
    <w:name w:val="Hyperlink"/>
    <w:basedOn w:val="a0"/>
    <w:uiPriority w:val="99"/>
    <w:semiHidden/>
    <w:unhideWhenUsed/>
    <w:rsid w:val="00E87CA0"/>
    <w:rPr>
      <w:color w:val="0563C1" w:themeColor="hyperlink"/>
      <w:u w:val="single"/>
    </w:rPr>
  </w:style>
  <w:style w:type="character" w:customStyle="1" w:styleId="TabletextChar">
    <w:name w:val="Table_text Char"/>
    <w:link w:val="Tabletext"/>
    <w:qFormat/>
    <w:locked/>
    <w:rsid w:val="00E87CA0"/>
    <w:rPr>
      <w:rFonts w:ascii="Times New Roman" w:hAnsi="Times New Roman" w:cs="Times New Roman"/>
      <w:lang w:val="en-GB" w:eastAsia="en-US"/>
    </w:rPr>
  </w:style>
  <w:style w:type="paragraph" w:customStyle="1" w:styleId="Tabletext">
    <w:name w:val="Table_text"/>
    <w:basedOn w:val="a"/>
    <w:link w:val="TabletextChar"/>
    <w:qFormat/>
    <w:rsid w:val="00E87CA0"/>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pPr>
    <w:rPr>
      <w:rFonts w:ascii="Times New Roman" w:hAnsi="Times New Roman" w:cs="Times New Roman"/>
      <w:lang w:val="en-GB" w:eastAsia="en-US"/>
    </w:rPr>
  </w:style>
  <w:style w:type="paragraph" w:customStyle="1" w:styleId="enumlev1">
    <w:name w:val="enumlev1"/>
    <w:basedOn w:val="a"/>
    <w:link w:val="enumlev1Char"/>
    <w:qFormat/>
    <w:rsid w:val="00387C94"/>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바탕" w:hAnsi="Times New Roman" w:cs="Times New Roman"/>
      <w:kern w:val="0"/>
      <w:sz w:val="24"/>
      <w:szCs w:val="20"/>
      <w:lang w:val="en-GB" w:eastAsia="en-US"/>
    </w:rPr>
  </w:style>
  <w:style w:type="paragraph" w:customStyle="1" w:styleId="enumlev2">
    <w:name w:val="enumlev2"/>
    <w:basedOn w:val="enumlev1"/>
    <w:rsid w:val="00387C94"/>
    <w:pPr>
      <w:ind w:left="1871" w:hanging="737"/>
    </w:pPr>
  </w:style>
  <w:style w:type="character" w:customStyle="1" w:styleId="enumlev1Char">
    <w:name w:val="enumlev1 Char"/>
    <w:basedOn w:val="a0"/>
    <w:link w:val="enumlev1"/>
    <w:qFormat/>
    <w:rsid w:val="00387C94"/>
    <w:rPr>
      <w:rFonts w:ascii="Times New Roman" w:eastAsia="바탕" w:hAnsi="Times New Roman" w:cs="Times New Roman"/>
      <w:kern w:val="0"/>
      <w:sz w:val="24"/>
      <w:szCs w:val="20"/>
      <w:lang w:val="en-GB" w:eastAsia="en-US"/>
    </w:rPr>
  </w:style>
  <w:style w:type="paragraph" w:customStyle="1" w:styleId="headingb">
    <w:name w:val="heading_b"/>
    <w:basedOn w:val="3"/>
    <w:next w:val="a"/>
    <w:link w:val="headingbZchn"/>
    <w:rsid w:val="00387C94"/>
    <w:pPr>
      <w:keepLines/>
      <w:widowControl/>
      <w:tabs>
        <w:tab w:val="left" w:pos="567"/>
        <w:tab w:val="left" w:pos="1701"/>
        <w:tab w:val="left" w:pos="1871"/>
        <w:tab w:val="left" w:pos="2268"/>
        <w:tab w:val="left" w:pos="2835"/>
      </w:tabs>
      <w:wordWrap/>
      <w:overflowPunct w:val="0"/>
      <w:adjustRightInd w:val="0"/>
      <w:spacing w:before="160" w:after="0" w:line="240" w:lineRule="auto"/>
      <w:ind w:leftChars="0" w:left="0" w:firstLineChars="0" w:firstLine="0"/>
      <w:textAlignment w:val="baseline"/>
      <w:outlineLvl w:val="9"/>
    </w:pPr>
    <w:rPr>
      <w:rFonts w:ascii="Times New Roman" w:eastAsiaTheme="minorEastAsia" w:hAnsi="Times New Roman" w:cs="Times New Roman"/>
      <w:b/>
      <w:bCs/>
      <w:kern w:val="0"/>
      <w:sz w:val="24"/>
      <w:szCs w:val="20"/>
      <w:lang w:val="fr-FR" w:eastAsia="en-US"/>
    </w:rPr>
  </w:style>
  <w:style w:type="character" w:customStyle="1" w:styleId="headingbZchn">
    <w:name w:val="heading_b Zchn"/>
    <w:basedOn w:val="a0"/>
    <w:link w:val="headingb"/>
    <w:rsid w:val="00387C94"/>
    <w:rPr>
      <w:rFonts w:ascii="Times New Roman" w:hAnsi="Times New Roman" w:cs="Times New Roman"/>
      <w:b/>
      <w:bCs/>
      <w:kern w:val="0"/>
      <w:sz w:val="24"/>
      <w:szCs w:val="20"/>
      <w:lang w:val="fr-FR" w:eastAsia="en-US"/>
    </w:rPr>
  </w:style>
  <w:style w:type="character" w:customStyle="1" w:styleId="3Char">
    <w:name w:val="제목 3 Char"/>
    <w:basedOn w:val="a0"/>
    <w:link w:val="3"/>
    <w:uiPriority w:val="9"/>
    <w:semiHidden/>
    <w:rsid w:val="00387C94"/>
    <w:rPr>
      <w:rFonts w:asciiTheme="majorHAnsi" w:eastAsiaTheme="majorEastAsia" w:hAnsiTheme="majorHAnsi" w:cstheme="majorBidi"/>
    </w:rPr>
  </w:style>
  <w:style w:type="paragraph" w:customStyle="1" w:styleId="Tablehead">
    <w:name w:val="Table_head"/>
    <w:basedOn w:val="a"/>
    <w:link w:val="TableheadChar"/>
    <w:qFormat/>
    <w:rsid w:val="009258E0"/>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바탕" w:hAnsi="Times New Roman Bold" w:cs="Times New Roman Bold"/>
      <w:b/>
      <w:kern w:val="0"/>
      <w:szCs w:val="20"/>
      <w:lang w:val="en-GB" w:eastAsia="en-US"/>
    </w:rPr>
  </w:style>
  <w:style w:type="paragraph" w:customStyle="1" w:styleId="TableNo">
    <w:name w:val="Table_No"/>
    <w:basedOn w:val="a"/>
    <w:next w:val="a"/>
    <w:link w:val="TableNoChar"/>
    <w:rsid w:val="009258E0"/>
    <w:pPr>
      <w:keepNext/>
      <w:widowControl/>
      <w:tabs>
        <w:tab w:val="left" w:pos="1134"/>
        <w:tab w:val="left" w:pos="1871"/>
        <w:tab w:val="left" w:pos="2268"/>
      </w:tabs>
      <w:wordWrap/>
      <w:overflowPunct w:val="0"/>
      <w:adjustRightInd w:val="0"/>
      <w:spacing w:before="560" w:after="120" w:line="240" w:lineRule="auto"/>
      <w:jc w:val="center"/>
      <w:textAlignment w:val="baseline"/>
    </w:pPr>
    <w:rPr>
      <w:rFonts w:ascii="Times New Roman" w:eastAsia="바탕" w:hAnsi="Times New Roman" w:cs="Times New Roman"/>
      <w:caps/>
      <w:kern w:val="0"/>
      <w:szCs w:val="20"/>
      <w:lang w:val="en-GB" w:eastAsia="en-US"/>
    </w:rPr>
  </w:style>
  <w:style w:type="paragraph" w:customStyle="1" w:styleId="Tabletitle">
    <w:name w:val="Table_title"/>
    <w:basedOn w:val="a"/>
    <w:next w:val="Tabletext"/>
    <w:link w:val="TabletitleChar"/>
    <w:qFormat/>
    <w:rsid w:val="009258E0"/>
    <w:pPr>
      <w:keepNext/>
      <w:keepLines/>
      <w:widowControl/>
      <w:tabs>
        <w:tab w:val="left" w:pos="1134"/>
        <w:tab w:val="left" w:pos="1871"/>
        <w:tab w:val="left" w:pos="2268"/>
      </w:tabs>
      <w:wordWrap/>
      <w:overflowPunct w:val="0"/>
      <w:adjustRightInd w:val="0"/>
      <w:spacing w:after="120" w:line="240" w:lineRule="auto"/>
      <w:jc w:val="center"/>
      <w:textAlignment w:val="baseline"/>
    </w:pPr>
    <w:rPr>
      <w:rFonts w:ascii="Times New Roman Bold" w:eastAsia="바탕" w:hAnsi="Times New Roman Bold" w:cs="Times New Roman"/>
      <w:b/>
      <w:kern w:val="0"/>
      <w:szCs w:val="20"/>
      <w:lang w:val="en-GB" w:eastAsia="en-US"/>
    </w:rPr>
  </w:style>
  <w:style w:type="character" w:customStyle="1" w:styleId="TableheadChar">
    <w:name w:val="Table_head Char"/>
    <w:basedOn w:val="a0"/>
    <w:link w:val="Tablehead"/>
    <w:qFormat/>
    <w:locked/>
    <w:rsid w:val="009258E0"/>
    <w:rPr>
      <w:rFonts w:ascii="Times New Roman Bold" w:eastAsia="바탕" w:hAnsi="Times New Roman Bold" w:cs="Times New Roman Bold"/>
      <w:b/>
      <w:kern w:val="0"/>
      <w:szCs w:val="20"/>
      <w:lang w:val="en-GB" w:eastAsia="en-US"/>
    </w:rPr>
  </w:style>
  <w:style w:type="character" w:customStyle="1" w:styleId="TabletitleChar">
    <w:name w:val="Table_title Char"/>
    <w:basedOn w:val="a0"/>
    <w:link w:val="Tabletitle"/>
    <w:locked/>
    <w:rsid w:val="009258E0"/>
    <w:rPr>
      <w:rFonts w:ascii="Times New Roman Bold" w:eastAsia="바탕" w:hAnsi="Times New Roman Bold" w:cs="Times New Roman"/>
      <w:b/>
      <w:kern w:val="0"/>
      <w:szCs w:val="20"/>
      <w:lang w:val="en-GB" w:eastAsia="en-US"/>
    </w:rPr>
  </w:style>
  <w:style w:type="character" w:customStyle="1" w:styleId="TableNoChar">
    <w:name w:val="Table_No Char"/>
    <w:basedOn w:val="a0"/>
    <w:link w:val="TableNo"/>
    <w:locked/>
    <w:rsid w:val="009258E0"/>
    <w:rPr>
      <w:rFonts w:ascii="Times New Roman" w:eastAsia="바탕" w:hAnsi="Times New Roman" w:cs="Times New Roman"/>
      <w:cap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29582">
      <w:bodyDiv w:val="1"/>
      <w:marLeft w:val="0"/>
      <w:marRight w:val="0"/>
      <w:marTop w:val="0"/>
      <w:marBottom w:val="0"/>
      <w:divBdr>
        <w:top w:val="none" w:sz="0" w:space="0" w:color="auto"/>
        <w:left w:val="none" w:sz="0" w:space="0" w:color="auto"/>
        <w:bottom w:val="none" w:sz="0" w:space="0" w:color="auto"/>
        <w:right w:val="none" w:sz="0" w:space="0" w:color="auto"/>
      </w:divBdr>
    </w:div>
    <w:div w:id="564683190">
      <w:bodyDiv w:val="1"/>
      <w:marLeft w:val="0"/>
      <w:marRight w:val="0"/>
      <w:marTop w:val="0"/>
      <w:marBottom w:val="0"/>
      <w:divBdr>
        <w:top w:val="none" w:sz="0" w:space="0" w:color="auto"/>
        <w:left w:val="none" w:sz="0" w:space="0" w:color="auto"/>
        <w:bottom w:val="none" w:sz="0" w:space="0" w:color="auto"/>
        <w:right w:val="none" w:sz="0" w:space="0" w:color="auto"/>
      </w:divBdr>
    </w:div>
    <w:div w:id="671952192">
      <w:bodyDiv w:val="1"/>
      <w:marLeft w:val="0"/>
      <w:marRight w:val="0"/>
      <w:marTop w:val="0"/>
      <w:marBottom w:val="0"/>
      <w:divBdr>
        <w:top w:val="none" w:sz="0" w:space="0" w:color="auto"/>
        <w:left w:val="none" w:sz="0" w:space="0" w:color="auto"/>
        <w:bottom w:val="none" w:sz="0" w:space="0" w:color="auto"/>
        <w:right w:val="none" w:sz="0" w:space="0" w:color="auto"/>
      </w:divBdr>
    </w:div>
    <w:div w:id="2035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796</Words>
  <Characters>4539</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TTA</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Park Phillip</cp:lastModifiedBy>
  <cp:revision>3</cp:revision>
  <dcterms:created xsi:type="dcterms:W3CDTF">2019-02-27T07:53:00Z</dcterms:created>
  <dcterms:modified xsi:type="dcterms:W3CDTF">2019-02-27T08:20:00Z</dcterms:modified>
</cp:coreProperties>
</file>