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C57EE6">
        <w:rPr>
          <w:rFonts w:ascii="Times New Roman" w:hAnsi="Times New Roman" w:cs="Times New Roman"/>
          <w:sz w:val="24"/>
          <w:szCs w:val="24"/>
        </w:rPr>
        <w:t xml:space="preserve"> Zhao </w:t>
      </w:r>
      <w:r w:rsidR="00593B9A">
        <w:rPr>
          <w:rFonts w:ascii="Times New Roman" w:hAnsi="Times New Roman" w:cs="Times New Roman"/>
          <w:sz w:val="24"/>
          <w:szCs w:val="24"/>
        </w:rPr>
        <w:t>Liang</w:t>
      </w:r>
      <w:bookmarkStart w:id="0" w:name="_GoBack"/>
      <w:bookmarkEnd w:id="0"/>
      <w:r w:rsidR="00593B9A">
        <w:rPr>
          <w:rFonts w:ascii="Times New Roman" w:hAnsi="Times New Roman" w:cs="Times New Roman"/>
          <w:sz w:val="24"/>
          <w:szCs w:val="24"/>
        </w:rPr>
        <w:t>(Co-coordinator)</w:t>
      </w:r>
      <w:r w:rsidR="00C57EE6">
        <w:rPr>
          <w:rFonts w:ascii="Times New Roman" w:hAnsi="Times New Roman" w:cs="Times New Roman"/>
          <w:sz w:val="24"/>
          <w:szCs w:val="24"/>
        </w:rPr>
        <w:t>, zhaoliang@adcc.com.cn</w:t>
      </w:r>
    </w:p>
    <w:p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9B46F9">
        <w:rPr>
          <w:rFonts w:ascii="宋体" w:eastAsia="宋体" w:hAnsi="宋体" w:cs="Times New Roman" w:hint="eastAsia"/>
          <w:sz w:val="24"/>
          <w:szCs w:val="24"/>
          <w:lang w:eastAsia="zh-CN"/>
        </w:rPr>
        <w:t>3</w:t>
      </w:r>
      <w:r w:rsidR="00EE62B4">
        <w:rPr>
          <w:rFonts w:ascii="宋体" w:eastAsia="宋体" w:hAnsi="宋体" w:cs="Times New Roman"/>
          <w:sz w:val="24"/>
          <w:szCs w:val="24"/>
          <w:lang w:eastAsia="zh-CN"/>
        </w:rPr>
        <w:t>1</w:t>
      </w:r>
      <w:r w:rsidR="009B46F9" w:rsidRPr="009B46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46F9">
        <w:rPr>
          <w:rFonts w:ascii="Times New Roman" w:hAnsi="Times New Roman" w:cs="Times New Roman"/>
          <w:sz w:val="24"/>
          <w:szCs w:val="24"/>
        </w:rPr>
        <w:t>/10/2019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Pr="00720499" w:rsidRDefault="00720499" w:rsidP="00720499">
      <w:pPr>
        <w:rPr>
          <w:rFonts w:ascii="Times New Roman" w:hAnsi="Times New Roman" w:cs="Times New Roman"/>
          <w:sz w:val="24"/>
          <w:szCs w:val="24"/>
        </w:rPr>
      </w:pPr>
      <w:r w:rsidRPr="00720499">
        <w:rPr>
          <w:rFonts w:ascii="Times New Roman" w:eastAsia="宋体" w:hAnsi="Times New Roman" w:cs="Times New Roman"/>
          <w:sz w:val="24"/>
          <w:szCs w:val="24"/>
          <w:lang w:eastAsia="zh-CN"/>
        </w:rPr>
        <w:t>Agenda Item 1.10: to consider spectrum needs and regulatory provisions for the introduction and use of the Global Aeronautical Distress and Safety System (GADSS), in accordance with Resolution 426 (WRC-15)</w:t>
      </w:r>
    </w:p>
    <w:p w:rsidR="004D7CC0" w:rsidRPr="00EF5467" w:rsidRDefault="00EA1B34" w:rsidP="004D7CC0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EF5467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EF5467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EF5467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EF5467">
        <w:rPr>
          <w:rFonts w:ascii="Times New Roman" w:hAnsi="Times New Roman" w:cs="Times New Roman"/>
          <w:sz w:val="24"/>
          <w:szCs w:val="24"/>
        </w:rPr>
        <w:t>WRC-19</w:t>
      </w:r>
      <w:r w:rsidR="00D1517A" w:rsidRPr="00EF5467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EF5467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EF5467">
        <w:rPr>
          <w:rFonts w:ascii="Times New Roman" w:hAnsi="Times New Roman" w:cs="Times New Roman"/>
          <w:sz w:val="24"/>
          <w:szCs w:val="24"/>
        </w:rPr>
        <w:t>)</w:t>
      </w:r>
      <w:r w:rsidR="000B5983" w:rsidRPr="00EF5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Pr="004D7CC0" w:rsidRDefault="00EF5467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To </w:t>
      </w:r>
      <w:r w:rsidRPr="00EF5467">
        <w:rPr>
          <w:rFonts w:ascii="Times New Roman" w:eastAsia="宋体" w:hAnsi="Times New Roman" w:cs="Times New Roman"/>
          <w:sz w:val="24"/>
          <w:szCs w:val="24"/>
          <w:lang w:eastAsia="zh-CN"/>
        </w:rPr>
        <w:t>support Method A</w:t>
      </w:r>
    </w:p>
    <w:p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tbl>
      <w:tblPr>
        <w:tblW w:w="24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20"/>
        <w:gridCol w:w="1676"/>
      </w:tblGrid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  <w:hideMark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D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oc Number</w:t>
            </w:r>
          </w:p>
        </w:tc>
        <w:tc>
          <w:tcPr>
            <w:tcW w:w="1379" w:type="pct"/>
            <w:shd w:val="clear" w:color="auto" w:fill="auto"/>
            <w:vAlign w:val="center"/>
            <w:hideMark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ource</w:t>
            </w:r>
          </w:p>
        </w:tc>
        <w:tc>
          <w:tcPr>
            <w:tcW w:w="1895" w:type="pct"/>
            <w:shd w:val="clear" w:color="auto" w:fill="auto"/>
            <w:vAlign w:val="center"/>
            <w:hideMark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roposal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11A10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CITEL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Method A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2</w:t>
            </w: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RCC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Method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B</w:t>
            </w:r>
          </w:p>
        </w:tc>
      </w:tr>
      <w:tr w:rsidR="00EF5467" w:rsidRPr="00B25A3B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16A10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CEPT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C57EE6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Others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24A10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APT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Method A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2</w:t>
            </w: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8</w:t>
            </w: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C57EE6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hina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Method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B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29A10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ASMG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Method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C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46</w:t>
            </w: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</w:t>
            </w: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TU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Method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B</w:t>
            </w:r>
          </w:p>
        </w:tc>
      </w:tr>
      <w:tr w:rsidR="00EF5467" w:rsidTr="00EF5467">
        <w:trPr>
          <w:trHeight w:val="20"/>
          <w:jc w:val="center"/>
        </w:trPr>
        <w:tc>
          <w:tcPr>
            <w:tcW w:w="1726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ICAO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EF5467" w:rsidRPr="00EF5467" w:rsidRDefault="00EF5467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Method A</w:t>
            </w:r>
          </w:p>
        </w:tc>
      </w:tr>
      <w:tr w:rsidR="004F3D4D" w:rsidTr="004F3D4D">
        <w:trPr>
          <w:trHeight w:val="20"/>
          <w:jc w:val="center"/>
        </w:trPr>
        <w:tc>
          <w:tcPr>
            <w:tcW w:w="1726" w:type="pct"/>
            <w:shd w:val="clear" w:color="auto" w:fill="FFC000"/>
            <w:vAlign w:val="center"/>
          </w:tcPr>
          <w:p w:rsidR="004F3D4D" w:rsidRPr="004F3D4D" w:rsidRDefault="004F3D4D" w:rsidP="00EF5467">
            <w:pP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</w:pPr>
            <w:r w:rsidRPr="004F3D4D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1379" w:type="pct"/>
            <w:shd w:val="clear" w:color="auto" w:fill="FFC000"/>
            <w:vAlign w:val="center"/>
          </w:tcPr>
          <w:p w:rsidR="004F3D4D" w:rsidRPr="004F3D4D" w:rsidRDefault="004F3D4D" w:rsidP="00EF5467">
            <w:pP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</w:pPr>
            <w:r w:rsidRPr="004F3D4D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IATA</w:t>
            </w:r>
          </w:p>
        </w:tc>
        <w:tc>
          <w:tcPr>
            <w:tcW w:w="1895" w:type="pct"/>
            <w:shd w:val="clear" w:color="auto" w:fill="FFC000"/>
            <w:vAlign w:val="center"/>
          </w:tcPr>
          <w:p w:rsidR="004F3D4D" w:rsidRPr="004F3D4D" w:rsidRDefault="004F3D4D" w:rsidP="00EF5467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4F3D4D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Method A</w:t>
            </w:r>
          </w:p>
        </w:tc>
      </w:tr>
    </w:tbl>
    <w:p w:rsidR="00EF5467" w:rsidRPr="00EF5467" w:rsidRDefault="00EF5467" w:rsidP="00EF5467">
      <w:pPr>
        <w:rPr>
          <w:rFonts w:ascii="Times New Roman" w:hAnsi="Times New Roman" w:cs="Times New Roman"/>
          <w:sz w:val="24"/>
          <w:szCs w:val="24"/>
        </w:rPr>
      </w:pPr>
    </w:p>
    <w:p w:rsidR="00EF5467" w:rsidRPr="00EF5467" w:rsidRDefault="00EF5467" w:rsidP="00EF5467">
      <w:pPr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F3D4D" w:rsidRDefault="004F3D4D" w:rsidP="004F3D4D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4C4 ai 1.10 meeting was held, all the input document</w:t>
      </w:r>
      <w:r w:rsidR="00693C0A">
        <w:rPr>
          <w:rFonts w:ascii="Times New Roman" w:hAnsi="Times New Roman" w:cs="Times New Roman"/>
          <w:sz w:val="24"/>
          <w:szCs w:val="24"/>
        </w:rPr>
        <w:t>s were gone through one by one</w:t>
      </w:r>
    </w:p>
    <w:p w:rsidR="00693C0A" w:rsidRPr="004F3D4D" w:rsidRDefault="0094164F" w:rsidP="004F3D4D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will </w:t>
      </w:r>
      <w:r w:rsidR="00693C0A" w:rsidRPr="00693C0A">
        <w:rPr>
          <w:rFonts w:ascii="Times New Roman" w:hAnsi="Times New Roman" w:cs="Times New Roman"/>
          <w:sz w:val="24"/>
          <w:szCs w:val="24"/>
        </w:rPr>
        <w:t>have a small informal group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94164F">
        <w:rPr>
          <w:rFonts w:ascii="Times New Roman" w:hAnsi="Times New Roman" w:cs="Times New Roman"/>
          <w:sz w:val="24"/>
          <w:szCs w:val="24"/>
        </w:rPr>
        <w:t>discuss the issues and regulatory text</w:t>
      </w:r>
      <w:r>
        <w:rPr>
          <w:rFonts w:ascii="Times New Roman" w:hAnsi="Times New Roman" w:cs="Times New Roman"/>
          <w:sz w:val="24"/>
          <w:szCs w:val="24"/>
        </w:rPr>
        <w:t xml:space="preserve"> at 10:45 in </w:t>
      </w:r>
      <w:r w:rsidRPr="0094164F">
        <w:rPr>
          <w:rFonts w:ascii="Times New Roman" w:hAnsi="Times New Roman" w:cs="Times New Roman"/>
          <w:sz w:val="24"/>
          <w:szCs w:val="24"/>
        </w:rPr>
        <w:t>Sphinx</w:t>
      </w:r>
    </w:p>
    <w:p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EE62B4" w:rsidRPr="00EE62B4" w:rsidRDefault="0094164F" w:rsidP="00EE62B4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Pr="0094164F">
        <w:rPr>
          <w:rFonts w:ascii="Times New Roman" w:hAnsi="Times New Roman" w:cs="Times New Roman"/>
          <w:sz w:val="24"/>
          <w:szCs w:val="24"/>
        </w:rPr>
        <w:t xml:space="preserve"> was proposed</w:t>
      </w:r>
      <w:r w:rsidR="00593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4164F">
        <w:rPr>
          <w:rFonts w:ascii="Times New Roman" w:hAnsi="Times New Roman" w:cs="Times New Roman"/>
          <w:sz w:val="24"/>
          <w:szCs w:val="24"/>
        </w:rPr>
        <w:t>does not establish any priority in the Radio Regulations and does not impose any additional constraints on the other systems operating under the same radiocommunication service or other services</w:t>
      </w:r>
      <w:r w:rsidR="00EE62B4">
        <w:rPr>
          <w:rFonts w:ascii="Times New Roman" w:hAnsi="Times New Roman" w:cs="Times New Roman"/>
          <w:sz w:val="24"/>
          <w:szCs w:val="24"/>
        </w:rPr>
        <w:t>” by CEPT, any comments?</w:t>
      </w: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C28" w:rsidRDefault="001D7C28" w:rsidP="00D1517A">
      <w:pPr>
        <w:spacing w:after="0" w:line="240" w:lineRule="auto"/>
      </w:pPr>
      <w:r>
        <w:separator/>
      </w:r>
    </w:p>
  </w:endnote>
  <w:endnote w:type="continuationSeparator" w:id="0">
    <w:p w:rsidR="001D7C28" w:rsidRDefault="001D7C28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C28" w:rsidRDefault="001D7C28" w:rsidP="00D1517A">
      <w:pPr>
        <w:spacing w:after="0" w:line="240" w:lineRule="auto"/>
      </w:pPr>
      <w:r>
        <w:separator/>
      </w:r>
    </w:p>
  </w:footnote>
  <w:footnote w:type="continuationSeparator" w:id="0">
    <w:p w:rsidR="001D7C28" w:rsidRDefault="001D7C28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636B"/>
    <w:multiLevelType w:val="hybridMultilevel"/>
    <w:tmpl w:val="7854AFE6"/>
    <w:lvl w:ilvl="0" w:tplc="FDDCA0CA">
      <w:start w:val="38"/>
      <w:numFmt w:val="bullet"/>
      <w:lvlText w:val="-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CF942DC"/>
    <w:multiLevelType w:val="hybridMultilevel"/>
    <w:tmpl w:val="6BFAB1DE"/>
    <w:lvl w:ilvl="0" w:tplc="FDDCA0CA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5CB36C2"/>
    <w:multiLevelType w:val="hybridMultilevel"/>
    <w:tmpl w:val="5516BC78"/>
    <w:lvl w:ilvl="0" w:tplc="FDDCA0CA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6F2C"/>
    <w:rsid w:val="000B5983"/>
    <w:rsid w:val="001A1F17"/>
    <w:rsid w:val="001D7C28"/>
    <w:rsid w:val="001E0789"/>
    <w:rsid w:val="0024497C"/>
    <w:rsid w:val="00283D24"/>
    <w:rsid w:val="003346ED"/>
    <w:rsid w:val="004A574B"/>
    <w:rsid w:val="004D7CC0"/>
    <w:rsid w:val="004F3D4D"/>
    <w:rsid w:val="005755E6"/>
    <w:rsid w:val="00593B9A"/>
    <w:rsid w:val="005A6BC5"/>
    <w:rsid w:val="00677357"/>
    <w:rsid w:val="00683E04"/>
    <w:rsid w:val="00693C0A"/>
    <w:rsid w:val="00720499"/>
    <w:rsid w:val="008742F3"/>
    <w:rsid w:val="0094164F"/>
    <w:rsid w:val="009B46F9"/>
    <w:rsid w:val="009E27EC"/>
    <w:rsid w:val="00AC461C"/>
    <w:rsid w:val="00C57EE6"/>
    <w:rsid w:val="00C750CB"/>
    <w:rsid w:val="00C82B13"/>
    <w:rsid w:val="00D1517A"/>
    <w:rsid w:val="00EA1B34"/>
    <w:rsid w:val="00EC68D5"/>
    <w:rsid w:val="00EE62B4"/>
    <w:rsid w:val="00EF5467"/>
    <w:rsid w:val="00EF7969"/>
    <w:rsid w:val="00F07FD2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3F45A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Fantasyzl</cp:lastModifiedBy>
  <cp:revision>5</cp:revision>
  <dcterms:created xsi:type="dcterms:W3CDTF">2019-10-30T11:44:00Z</dcterms:created>
  <dcterms:modified xsi:type="dcterms:W3CDTF">2019-10-31T19:21:00Z</dcterms:modified>
</cp:coreProperties>
</file>