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B45" w:rsidRPr="005755E6" w:rsidRDefault="00EA1B34" w:rsidP="00B541A5">
      <w:pPr>
        <w:wordWrap/>
        <w:overflowPunct w:val="0"/>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sidR="003346ED">
        <w:rPr>
          <w:rFonts w:ascii="Times New Roman" w:hAnsi="Times New Roman" w:cs="Times New Roman"/>
          <w:b/>
          <w:sz w:val="28"/>
          <w:szCs w:val="28"/>
        </w:rPr>
        <w:t>WRC-19</w:t>
      </w:r>
    </w:p>
    <w:p w:rsidR="00426E01" w:rsidRDefault="00426E01" w:rsidP="00B541A5">
      <w:pPr>
        <w:wordWrap/>
        <w:overflowPunct w:val="0"/>
        <w:jc w:val="center"/>
        <w:rPr>
          <w:rFonts w:ascii="Times New Roman" w:hAnsi="Times New Roman" w:cs="Times New Roman"/>
          <w:sz w:val="24"/>
          <w:szCs w:val="24"/>
        </w:rPr>
      </w:pPr>
      <w:r>
        <w:rPr>
          <w:rFonts w:ascii="Times New Roman" w:hAnsi="Times New Roman" w:cs="Times New Roman"/>
          <w:sz w:val="24"/>
          <w:szCs w:val="24"/>
        </w:rPr>
        <w:t xml:space="preserve">Hiroyuki Atarashi, </w:t>
      </w:r>
      <w:hyperlink r:id="rId7" w:history="1">
        <w:r w:rsidRPr="00BD431E">
          <w:rPr>
            <w:rStyle w:val="a8"/>
            <w:rFonts w:ascii="Times New Roman" w:hAnsi="Times New Roman" w:cs="Times New Roman"/>
            <w:sz w:val="24"/>
            <w:szCs w:val="24"/>
          </w:rPr>
          <w:t>hiroyuki.atarashi.yt@nttdocomo.com</w:t>
        </w:r>
      </w:hyperlink>
    </w:p>
    <w:p w:rsidR="00426E01" w:rsidRPr="00223C50" w:rsidRDefault="009F790A" w:rsidP="00B541A5">
      <w:pPr>
        <w:wordWrap/>
        <w:overflowPunct w:val="0"/>
        <w:jc w:val="center"/>
        <w:rPr>
          <w:rFonts w:ascii="Times New Roman" w:hAnsi="Times New Roman" w:cs="Times New Roman"/>
          <w:sz w:val="24"/>
          <w:szCs w:val="24"/>
        </w:rPr>
      </w:pPr>
      <w:r>
        <w:rPr>
          <w:rFonts w:ascii="Times New Roman" w:eastAsia="ＭＳ 明朝" w:hAnsi="Times New Roman" w:cs="Times New Roman" w:hint="eastAsia"/>
          <w:sz w:val="24"/>
          <w:szCs w:val="24"/>
          <w:lang w:eastAsia="ja-JP"/>
        </w:rPr>
        <w:t>1</w:t>
      </w:r>
      <w:r w:rsidR="00BC4E02">
        <w:rPr>
          <w:rFonts w:ascii="Times New Roman" w:eastAsia="ＭＳ 明朝" w:hAnsi="Times New Roman" w:cs="Times New Roman" w:hint="eastAsia"/>
          <w:sz w:val="24"/>
          <w:szCs w:val="24"/>
          <w:lang w:eastAsia="ja-JP"/>
        </w:rPr>
        <w:t>4</w:t>
      </w:r>
      <w:r w:rsidR="00426E01" w:rsidRPr="00223C50">
        <w:rPr>
          <w:rFonts w:ascii="Times New Roman" w:hAnsi="Times New Roman" w:cs="Times New Roman"/>
          <w:sz w:val="24"/>
          <w:szCs w:val="24"/>
        </w:rPr>
        <w:t xml:space="preserve"> </w:t>
      </w:r>
      <w:r w:rsidR="00223C50">
        <w:rPr>
          <w:rFonts w:ascii="Times New Roman" w:hAnsi="Times New Roman" w:cs="Times New Roman"/>
          <w:sz w:val="24"/>
          <w:szCs w:val="24"/>
        </w:rPr>
        <w:t>November</w:t>
      </w:r>
      <w:r w:rsidR="00426E01" w:rsidRPr="00223C50">
        <w:rPr>
          <w:rFonts w:ascii="Times New Roman" w:hAnsi="Times New Roman" w:cs="Times New Roman"/>
          <w:sz w:val="24"/>
          <w:szCs w:val="24"/>
        </w:rPr>
        <w:t xml:space="preserve"> 2019 </w:t>
      </w:r>
    </w:p>
    <w:p w:rsidR="00EA1B34" w:rsidRDefault="00EA1B34" w:rsidP="00B541A5">
      <w:pPr>
        <w:pStyle w:val="a3"/>
        <w:numPr>
          <w:ilvl w:val="0"/>
          <w:numId w:val="1"/>
        </w:numPr>
        <w:wordWrap/>
        <w:overflowPunct w:val="0"/>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p>
    <w:p w:rsidR="00426E01" w:rsidRDefault="00426E01" w:rsidP="00B541A5">
      <w:pPr>
        <w:wordWrap/>
        <w:overflowPunct w:val="0"/>
        <w:rPr>
          <w:rFonts w:ascii="Times New Roman" w:hAnsi="Times New Roman" w:cs="Times New Roman"/>
          <w:i/>
          <w:sz w:val="24"/>
          <w:szCs w:val="24"/>
          <w:lang w:val="en-GB"/>
        </w:rPr>
      </w:pPr>
      <w:r>
        <w:rPr>
          <w:rFonts w:ascii="Times New Roman" w:hAnsi="Times New Roman" w:cs="Times New Roman"/>
          <w:i/>
          <w:sz w:val="24"/>
          <w:szCs w:val="24"/>
          <w:lang w:val="en-GB"/>
        </w:rPr>
        <w:t>1.13</w:t>
      </w:r>
      <w:r>
        <w:rPr>
          <w:rFonts w:ascii="Times New Roman" w:hAnsi="Times New Roman" w:cs="Times New Roman"/>
          <w:i/>
          <w:sz w:val="24"/>
          <w:szCs w:val="24"/>
          <w:lang w:val="en-GB"/>
        </w:rPr>
        <w:tab/>
      </w:r>
      <w:r w:rsidRPr="00AF3056">
        <w:rPr>
          <w:rFonts w:ascii="Times New Roman" w:hAnsi="Times New Roman" w:cs="Times New Roman"/>
          <w:i/>
          <w:sz w:val="24"/>
          <w:szCs w:val="24"/>
          <w:lang w:val="en-GB"/>
        </w:rPr>
        <w:t xml:space="preserve">to consider identification of frequency bands for the future development of International Mobile Telecommunications (IMT), including possible additional allocations to the mobile service on a primary basis, in accordance with Resolution </w:t>
      </w:r>
      <w:r w:rsidRPr="00AF3056">
        <w:rPr>
          <w:rFonts w:ascii="Times New Roman" w:hAnsi="Times New Roman" w:cs="Times New Roman"/>
          <w:b/>
          <w:i/>
          <w:sz w:val="24"/>
          <w:szCs w:val="24"/>
          <w:lang w:val="en-GB"/>
        </w:rPr>
        <w:t>238 (WRC 15)</w:t>
      </w:r>
      <w:r w:rsidRPr="00AF3056">
        <w:rPr>
          <w:rFonts w:ascii="Times New Roman" w:hAnsi="Times New Roman" w:cs="Times New Roman"/>
          <w:i/>
          <w:sz w:val="24"/>
          <w:szCs w:val="24"/>
          <w:lang w:val="en-GB"/>
        </w:rPr>
        <w:t>;</w:t>
      </w:r>
    </w:p>
    <w:p w:rsidR="00EA1B34" w:rsidRDefault="00EA1B34" w:rsidP="00B541A5">
      <w:pPr>
        <w:pStyle w:val="a3"/>
        <w:numPr>
          <w:ilvl w:val="0"/>
          <w:numId w:val="1"/>
        </w:numPr>
        <w:wordWrap/>
        <w:overflowPunct w:val="0"/>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APT </w:t>
      </w:r>
      <w:r w:rsidR="003346ED">
        <w:rPr>
          <w:rFonts w:ascii="Times New Roman" w:hAnsi="Times New Roman" w:cs="Times New Roman"/>
          <w:sz w:val="24"/>
          <w:szCs w:val="24"/>
        </w:rPr>
        <w:t xml:space="preserve">Common Proposals and </w:t>
      </w:r>
      <w:r w:rsidR="00D1517A" w:rsidRPr="00AC461C">
        <w:rPr>
          <w:rFonts w:ascii="Times New Roman" w:hAnsi="Times New Roman" w:cs="Times New Roman"/>
          <w:sz w:val="24"/>
          <w:szCs w:val="24"/>
        </w:rPr>
        <w:t xml:space="preserve">APT Views for </w:t>
      </w:r>
      <w:r w:rsidR="003346ED">
        <w:rPr>
          <w:rFonts w:ascii="Times New Roman" w:hAnsi="Times New Roman" w:cs="Times New Roman"/>
          <w:sz w:val="24"/>
          <w:szCs w:val="24"/>
        </w:rPr>
        <w:t>WRC-19</w:t>
      </w:r>
      <w:r w:rsidR="00D1517A" w:rsidRPr="00AC461C">
        <w:rPr>
          <w:rFonts w:ascii="Times New Roman" w:hAnsi="Times New Roman" w:cs="Times New Roman"/>
          <w:sz w:val="24"/>
          <w:szCs w:val="24"/>
        </w:rPr>
        <w:t xml:space="preserve"> (which </w:t>
      </w:r>
      <w:r w:rsidR="003346ED">
        <w:rPr>
          <w:rFonts w:ascii="Times New Roman" w:hAnsi="Times New Roman" w:cs="Times New Roman"/>
          <w:sz w:val="24"/>
          <w:szCs w:val="24"/>
        </w:rPr>
        <w:t>has been submitted to WRC-19</w:t>
      </w:r>
      <w:r w:rsidR="00D1517A" w:rsidRPr="00AC461C">
        <w:rPr>
          <w:rFonts w:ascii="Times New Roman" w:hAnsi="Times New Roman" w:cs="Times New Roman"/>
          <w:sz w:val="24"/>
          <w:szCs w:val="24"/>
        </w:rPr>
        <w:t>)</w:t>
      </w:r>
      <w:r w:rsidR="000B5983" w:rsidRPr="00AC461C">
        <w:rPr>
          <w:rFonts w:ascii="Times New Roman" w:hAnsi="Times New Roman" w:cs="Times New Roman"/>
          <w:sz w:val="24"/>
          <w:szCs w:val="24"/>
        </w:rPr>
        <w:t xml:space="preserve"> </w:t>
      </w:r>
    </w:p>
    <w:tbl>
      <w:tblPr>
        <w:tblStyle w:val="a9"/>
        <w:tblW w:w="0" w:type="auto"/>
        <w:tblLook w:val="04A0" w:firstRow="1" w:lastRow="0" w:firstColumn="1" w:lastColumn="0" w:noHBand="0" w:noVBand="1"/>
      </w:tblPr>
      <w:tblGrid>
        <w:gridCol w:w="1557"/>
        <w:gridCol w:w="1557"/>
        <w:gridCol w:w="3827"/>
        <w:gridCol w:w="2219"/>
      </w:tblGrid>
      <w:tr w:rsidR="00426E01" w:rsidRPr="00467A63" w:rsidTr="00426E01">
        <w:tc>
          <w:tcPr>
            <w:tcW w:w="1557" w:type="dxa"/>
            <w:shd w:val="clear" w:color="auto" w:fill="D9D9D9" w:themeFill="background1" w:themeFillShade="D9"/>
          </w:tcPr>
          <w:p w:rsidR="00426E01" w:rsidRPr="00467A63" w:rsidRDefault="00426E01" w:rsidP="00B541A5">
            <w:pPr>
              <w:pStyle w:val="Tablehead"/>
              <w:rPr>
                <w:lang w:eastAsia="ja-JP"/>
              </w:rPr>
            </w:pPr>
            <w:r>
              <w:rPr>
                <w:rFonts w:hint="eastAsia"/>
                <w:lang w:eastAsia="ja-JP"/>
              </w:rPr>
              <w:t>Document</w:t>
            </w:r>
          </w:p>
        </w:tc>
        <w:tc>
          <w:tcPr>
            <w:tcW w:w="1557" w:type="dxa"/>
            <w:shd w:val="clear" w:color="auto" w:fill="D9D9D9" w:themeFill="background1" w:themeFillShade="D9"/>
          </w:tcPr>
          <w:p w:rsidR="00426E01" w:rsidRPr="00467A63" w:rsidRDefault="00426E01" w:rsidP="00B541A5">
            <w:pPr>
              <w:pStyle w:val="Tablehead"/>
            </w:pPr>
            <w:r w:rsidRPr="00467A63">
              <w:t>Addendum No.</w:t>
            </w:r>
          </w:p>
        </w:tc>
        <w:tc>
          <w:tcPr>
            <w:tcW w:w="3827" w:type="dxa"/>
            <w:shd w:val="clear" w:color="auto" w:fill="D9D9D9" w:themeFill="background1" w:themeFillShade="D9"/>
          </w:tcPr>
          <w:p w:rsidR="00426E01" w:rsidRPr="00467A63" w:rsidRDefault="00426E01" w:rsidP="00B541A5">
            <w:pPr>
              <w:pStyle w:val="Tablehead"/>
            </w:pPr>
            <w:r w:rsidRPr="00467A63">
              <w:t xml:space="preserve">Frequency Bands </w:t>
            </w:r>
          </w:p>
        </w:tc>
        <w:tc>
          <w:tcPr>
            <w:tcW w:w="2219" w:type="dxa"/>
            <w:shd w:val="clear" w:color="auto" w:fill="D9D9D9" w:themeFill="background1" w:themeFillShade="D9"/>
          </w:tcPr>
          <w:p w:rsidR="00426E01" w:rsidRPr="00467A63" w:rsidRDefault="00426E01" w:rsidP="00B541A5">
            <w:pPr>
              <w:pStyle w:val="Tablehead"/>
            </w:pPr>
            <w:r w:rsidRPr="00467A63">
              <w:t xml:space="preserve">ACP No. </w:t>
            </w:r>
          </w:p>
        </w:tc>
      </w:tr>
      <w:tr w:rsidR="00426E01" w:rsidRPr="00467A63" w:rsidTr="00426E01">
        <w:tc>
          <w:tcPr>
            <w:tcW w:w="1557" w:type="dxa"/>
            <w:vMerge w:val="restart"/>
          </w:tcPr>
          <w:p w:rsidR="00426E01" w:rsidRPr="00467A63" w:rsidRDefault="00426E01" w:rsidP="00B541A5">
            <w:pPr>
              <w:pStyle w:val="Tabletext"/>
              <w:rPr>
                <w:lang w:eastAsia="ja-JP"/>
              </w:rPr>
            </w:pPr>
            <w:r>
              <w:rPr>
                <w:rFonts w:hint="eastAsia"/>
                <w:lang w:eastAsia="ja-JP"/>
              </w:rPr>
              <w:t>A</w:t>
            </w:r>
            <w:r>
              <w:rPr>
                <w:lang w:eastAsia="ja-JP"/>
              </w:rPr>
              <w:t xml:space="preserve">ddendum 13 to Document </w:t>
            </w:r>
            <w:hyperlink r:id="rId8" w:history="1">
              <w:r w:rsidRPr="00426E01">
                <w:rPr>
                  <w:rStyle w:val="a8"/>
                  <w:lang w:eastAsia="ja-JP"/>
                </w:rPr>
                <w:t>24</w:t>
              </w:r>
            </w:hyperlink>
          </w:p>
        </w:tc>
        <w:tc>
          <w:tcPr>
            <w:tcW w:w="1557" w:type="dxa"/>
          </w:tcPr>
          <w:p w:rsidR="00426E01" w:rsidRPr="00467A63" w:rsidRDefault="00426E01" w:rsidP="00B541A5">
            <w:pPr>
              <w:pStyle w:val="Tabletext"/>
            </w:pPr>
            <w:r w:rsidRPr="00467A63">
              <w:t>A1</w:t>
            </w:r>
          </w:p>
        </w:tc>
        <w:tc>
          <w:tcPr>
            <w:tcW w:w="3827" w:type="dxa"/>
          </w:tcPr>
          <w:p w:rsidR="00426E01" w:rsidRPr="00467A63" w:rsidRDefault="00426E01" w:rsidP="00B541A5">
            <w:pPr>
              <w:pStyle w:val="Tabletext"/>
            </w:pPr>
            <w:r w:rsidRPr="00467A63">
              <w:rPr>
                <w:lang w:eastAsia="ja-JP"/>
              </w:rPr>
              <w:t>24.25-27.5 GHz</w:t>
            </w:r>
          </w:p>
        </w:tc>
        <w:tc>
          <w:tcPr>
            <w:tcW w:w="2219" w:type="dxa"/>
          </w:tcPr>
          <w:p w:rsidR="00426E01" w:rsidRPr="00467A63" w:rsidRDefault="00426E01" w:rsidP="00B541A5">
            <w:pPr>
              <w:pStyle w:val="Tabletext"/>
            </w:pPr>
            <w:r w:rsidRPr="00467A63">
              <w:t>A13-A1/1 to 6</w:t>
            </w:r>
          </w:p>
        </w:tc>
      </w:tr>
      <w:tr w:rsidR="00426E01" w:rsidRPr="00467A63" w:rsidTr="00426E01">
        <w:tc>
          <w:tcPr>
            <w:tcW w:w="1557" w:type="dxa"/>
            <w:vMerge/>
          </w:tcPr>
          <w:p w:rsidR="00426E01" w:rsidRPr="00467A63" w:rsidRDefault="00426E01" w:rsidP="00B541A5">
            <w:pPr>
              <w:pStyle w:val="Tabletext"/>
            </w:pPr>
          </w:p>
        </w:tc>
        <w:tc>
          <w:tcPr>
            <w:tcW w:w="1557" w:type="dxa"/>
          </w:tcPr>
          <w:p w:rsidR="00426E01" w:rsidRPr="00467A63" w:rsidRDefault="00426E01" w:rsidP="00B541A5">
            <w:pPr>
              <w:pStyle w:val="Tabletext"/>
            </w:pPr>
            <w:r w:rsidRPr="00467A63">
              <w:t>A2</w:t>
            </w:r>
          </w:p>
        </w:tc>
        <w:tc>
          <w:tcPr>
            <w:tcW w:w="3827" w:type="dxa"/>
          </w:tcPr>
          <w:p w:rsidR="00426E01" w:rsidRPr="00467A63" w:rsidRDefault="00426E01" w:rsidP="00B541A5">
            <w:pPr>
              <w:pStyle w:val="Tabletext"/>
            </w:pPr>
            <w:r w:rsidRPr="00467A63">
              <w:rPr>
                <w:lang w:eastAsia="ja-JP"/>
              </w:rPr>
              <w:t>31.8-33.4 GHz</w:t>
            </w:r>
          </w:p>
        </w:tc>
        <w:tc>
          <w:tcPr>
            <w:tcW w:w="2219" w:type="dxa"/>
          </w:tcPr>
          <w:p w:rsidR="00426E01" w:rsidRPr="00467A63" w:rsidRDefault="00426E01" w:rsidP="00B541A5">
            <w:pPr>
              <w:pStyle w:val="Tabletext"/>
            </w:pPr>
            <w:r w:rsidRPr="00467A63">
              <w:t>A13-A2/1</w:t>
            </w:r>
          </w:p>
        </w:tc>
      </w:tr>
      <w:tr w:rsidR="00426E01" w:rsidRPr="00467A63" w:rsidTr="00426E01">
        <w:tc>
          <w:tcPr>
            <w:tcW w:w="1557" w:type="dxa"/>
            <w:vMerge/>
          </w:tcPr>
          <w:p w:rsidR="00426E01" w:rsidRPr="00467A63" w:rsidRDefault="00426E01" w:rsidP="00B541A5">
            <w:pPr>
              <w:pStyle w:val="Tabletext"/>
            </w:pPr>
          </w:p>
        </w:tc>
        <w:tc>
          <w:tcPr>
            <w:tcW w:w="1557" w:type="dxa"/>
          </w:tcPr>
          <w:p w:rsidR="00426E01" w:rsidRPr="00467A63" w:rsidRDefault="00426E01" w:rsidP="00B541A5">
            <w:pPr>
              <w:pStyle w:val="Tabletext"/>
            </w:pPr>
            <w:r w:rsidRPr="00467A63">
              <w:t>A3</w:t>
            </w:r>
          </w:p>
        </w:tc>
        <w:tc>
          <w:tcPr>
            <w:tcW w:w="3827" w:type="dxa"/>
          </w:tcPr>
          <w:p w:rsidR="00426E01" w:rsidRPr="00467A63" w:rsidRDefault="00426E01" w:rsidP="00B541A5">
            <w:pPr>
              <w:pStyle w:val="Tabletext"/>
            </w:pPr>
            <w:r w:rsidRPr="00467A63">
              <w:rPr>
                <w:lang w:eastAsia="ja-JP"/>
              </w:rPr>
              <w:t>37-40.5, 40.5-42.5 and 42.5-43.5 GHz</w:t>
            </w:r>
          </w:p>
        </w:tc>
        <w:tc>
          <w:tcPr>
            <w:tcW w:w="2219" w:type="dxa"/>
          </w:tcPr>
          <w:p w:rsidR="00426E01" w:rsidRPr="00467A63" w:rsidRDefault="00426E01" w:rsidP="00B541A5">
            <w:pPr>
              <w:pStyle w:val="Tabletext"/>
            </w:pPr>
            <w:r w:rsidRPr="00467A63">
              <w:t>A13-A3/1 to 5</w:t>
            </w:r>
          </w:p>
        </w:tc>
      </w:tr>
      <w:tr w:rsidR="00426E01" w:rsidRPr="00467A63" w:rsidTr="00426E01">
        <w:tc>
          <w:tcPr>
            <w:tcW w:w="1557" w:type="dxa"/>
            <w:vMerge/>
          </w:tcPr>
          <w:p w:rsidR="00426E01" w:rsidRPr="00467A63" w:rsidRDefault="00426E01" w:rsidP="00B541A5">
            <w:pPr>
              <w:pStyle w:val="Tabletext"/>
            </w:pPr>
          </w:p>
        </w:tc>
        <w:tc>
          <w:tcPr>
            <w:tcW w:w="1557" w:type="dxa"/>
          </w:tcPr>
          <w:p w:rsidR="00426E01" w:rsidRPr="00467A63" w:rsidRDefault="00426E01" w:rsidP="00B541A5">
            <w:pPr>
              <w:pStyle w:val="Tabletext"/>
            </w:pPr>
            <w:r w:rsidRPr="00467A63">
              <w:t>A4</w:t>
            </w:r>
          </w:p>
        </w:tc>
        <w:tc>
          <w:tcPr>
            <w:tcW w:w="3827" w:type="dxa"/>
          </w:tcPr>
          <w:p w:rsidR="00426E01" w:rsidRPr="00467A63" w:rsidRDefault="00426E01" w:rsidP="00B541A5">
            <w:pPr>
              <w:pStyle w:val="Tabletext"/>
            </w:pPr>
            <w:r w:rsidRPr="00467A63">
              <w:rPr>
                <w:lang w:eastAsia="ja-JP"/>
              </w:rPr>
              <w:t>45.5-47 GHz</w:t>
            </w:r>
          </w:p>
        </w:tc>
        <w:tc>
          <w:tcPr>
            <w:tcW w:w="2219" w:type="dxa"/>
          </w:tcPr>
          <w:p w:rsidR="00426E01" w:rsidRPr="00467A63" w:rsidRDefault="00426E01" w:rsidP="00B541A5">
            <w:pPr>
              <w:pStyle w:val="Tabletext"/>
            </w:pPr>
            <w:r w:rsidRPr="00467A63">
              <w:t>A13-A4/1</w:t>
            </w:r>
          </w:p>
        </w:tc>
      </w:tr>
      <w:tr w:rsidR="00426E01" w:rsidRPr="00467A63" w:rsidTr="00426E01">
        <w:tc>
          <w:tcPr>
            <w:tcW w:w="1557" w:type="dxa"/>
            <w:vMerge/>
          </w:tcPr>
          <w:p w:rsidR="00426E01" w:rsidRPr="00467A63" w:rsidRDefault="00426E01" w:rsidP="00B541A5">
            <w:pPr>
              <w:pStyle w:val="Tabletext"/>
            </w:pPr>
          </w:p>
        </w:tc>
        <w:tc>
          <w:tcPr>
            <w:tcW w:w="1557" w:type="dxa"/>
          </w:tcPr>
          <w:p w:rsidR="00426E01" w:rsidRPr="00467A63" w:rsidRDefault="00426E01" w:rsidP="00B541A5">
            <w:pPr>
              <w:pStyle w:val="Tabletext"/>
            </w:pPr>
            <w:r w:rsidRPr="00467A63">
              <w:t>A5</w:t>
            </w:r>
          </w:p>
        </w:tc>
        <w:tc>
          <w:tcPr>
            <w:tcW w:w="3827" w:type="dxa"/>
          </w:tcPr>
          <w:p w:rsidR="00426E01" w:rsidRPr="00467A63" w:rsidRDefault="00426E01" w:rsidP="00B541A5">
            <w:pPr>
              <w:pStyle w:val="Tabletext"/>
            </w:pPr>
            <w:r w:rsidRPr="00467A63">
              <w:rPr>
                <w:lang w:eastAsia="ja-JP"/>
              </w:rPr>
              <w:t>47-47.2 GHz</w:t>
            </w:r>
          </w:p>
        </w:tc>
        <w:tc>
          <w:tcPr>
            <w:tcW w:w="2219" w:type="dxa"/>
          </w:tcPr>
          <w:p w:rsidR="00426E01" w:rsidRPr="00467A63" w:rsidRDefault="00426E01" w:rsidP="00B541A5">
            <w:pPr>
              <w:pStyle w:val="Tabletext"/>
            </w:pPr>
            <w:r w:rsidRPr="00467A63">
              <w:t>A13-A5/1</w:t>
            </w:r>
          </w:p>
        </w:tc>
      </w:tr>
      <w:tr w:rsidR="00426E01" w:rsidRPr="00467A63" w:rsidTr="00426E01">
        <w:tc>
          <w:tcPr>
            <w:tcW w:w="1557" w:type="dxa"/>
            <w:vMerge/>
          </w:tcPr>
          <w:p w:rsidR="00426E01" w:rsidRPr="00467A63" w:rsidRDefault="00426E01" w:rsidP="00B541A5">
            <w:pPr>
              <w:pStyle w:val="Tabletext"/>
            </w:pPr>
          </w:p>
        </w:tc>
        <w:tc>
          <w:tcPr>
            <w:tcW w:w="1557" w:type="dxa"/>
          </w:tcPr>
          <w:p w:rsidR="00426E01" w:rsidRPr="00467A63" w:rsidRDefault="00426E01" w:rsidP="00B541A5">
            <w:pPr>
              <w:pStyle w:val="Tabletext"/>
            </w:pPr>
            <w:r w:rsidRPr="00467A63">
              <w:t>A6</w:t>
            </w:r>
          </w:p>
        </w:tc>
        <w:tc>
          <w:tcPr>
            <w:tcW w:w="3827" w:type="dxa"/>
          </w:tcPr>
          <w:p w:rsidR="00426E01" w:rsidRPr="00467A63" w:rsidRDefault="00426E01" w:rsidP="00B541A5">
            <w:pPr>
              <w:pStyle w:val="Tabletext"/>
            </w:pPr>
            <w:r w:rsidRPr="00467A63">
              <w:rPr>
                <w:lang w:eastAsia="ja-JP"/>
              </w:rPr>
              <w:t>66-71 GHz</w:t>
            </w:r>
          </w:p>
        </w:tc>
        <w:tc>
          <w:tcPr>
            <w:tcW w:w="2219" w:type="dxa"/>
          </w:tcPr>
          <w:p w:rsidR="00426E01" w:rsidRPr="00467A63" w:rsidRDefault="00426E01" w:rsidP="00B541A5">
            <w:pPr>
              <w:pStyle w:val="Tabletext"/>
            </w:pPr>
            <w:r w:rsidRPr="00467A63">
              <w:t>A13-A6/1</w:t>
            </w:r>
          </w:p>
        </w:tc>
      </w:tr>
      <w:tr w:rsidR="00426E01" w:rsidRPr="00467A63" w:rsidTr="00426E01">
        <w:tc>
          <w:tcPr>
            <w:tcW w:w="1557" w:type="dxa"/>
            <w:vMerge/>
          </w:tcPr>
          <w:p w:rsidR="00426E01" w:rsidRPr="00467A63" w:rsidRDefault="00426E01" w:rsidP="00B541A5">
            <w:pPr>
              <w:pStyle w:val="Tabletext"/>
            </w:pPr>
          </w:p>
        </w:tc>
        <w:tc>
          <w:tcPr>
            <w:tcW w:w="1557" w:type="dxa"/>
          </w:tcPr>
          <w:p w:rsidR="00426E01" w:rsidRPr="00467A63" w:rsidRDefault="00426E01" w:rsidP="00B541A5">
            <w:pPr>
              <w:pStyle w:val="Tabletext"/>
            </w:pPr>
            <w:r w:rsidRPr="00467A63">
              <w:t>A7</w:t>
            </w:r>
          </w:p>
        </w:tc>
        <w:tc>
          <w:tcPr>
            <w:tcW w:w="3827" w:type="dxa"/>
          </w:tcPr>
          <w:p w:rsidR="00426E01" w:rsidRPr="00467A63" w:rsidRDefault="00426E01" w:rsidP="00B541A5">
            <w:pPr>
              <w:pStyle w:val="Tabletext"/>
            </w:pPr>
            <w:r w:rsidRPr="00467A63">
              <w:rPr>
                <w:lang w:eastAsia="ja-JP"/>
              </w:rPr>
              <w:t>TRP treatment</w:t>
            </w:r>
          </w:p>
        </w:tc>
        <w:tc>
          <w:tcPr>
            <w:tcW w:w="2219" w:type="dxa"/>
          </w:tcPr>
          <w:p w:rsidR="00426E01" w:rsidRPr="00467A63" w:rsidRDefault="00426E01" w:rsidP="00B541A5">
            <w:pPr>
              <w:pStyle w:val="Tabletext"/>
            </w:pPr>
            <w:r w:rsidRPr="00467A63">
              <w:t>A13-A7/1</w:t>
            </w:r>
          </w:p>
        </w:tc>
      </w:tr>
    </w:tbl>
    <w:p w:rsidR="004D7CC0" w:rsidRPr="004D7CC0" w:rsidRDefault="004D7CC0" w:rsidP="00B541A5">
      <w:pPr>
        <w:wordWrap/>
        <w:overflowPunct w:val="0"/>
        <w:rPr>
          <w:rFonts w:ascii="Times New Roman" w:hAnsi="Times New Roman" w:cs="Times New Roman"/>
          <w:sz w:val="24"/>
          <w:szCs w:val="24"/>
        </w:rPr>
      </w:pPr>
    </w:p>
    <w:p w:rsidR="008742F3" w:rsidRDefault="00EA1B34" w:rsidP="00B541A5">
      <w:pPr>
        <w:pStyle w:val="a3"/>
        <w:numPr>
          <w:ilvl w:val="0"/>
          <w:numId w:val="1"/>
        </w:numPr>
        <w:wordWrap/>
        <w:overflowPunct w:val="0"/>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rsidR="004D7CC0" w:rsidRPr="00426E01" w:rsidRDefault="00426E01" w:rsidP="00B541A5">
      <w:pPr>
        <w:pStyle w:val="a3"/>
        <w:numPr>
          <w:ilvl w:val="0"/>
          <w:numId w:val="2"/>
        </w:numPr>
        <w:wordWrap/>
        <w:overflowPunct w:val="0"/>
        <w:ind w:leftChars="0"/>
        <w:rPr>
          <w:rFonts w:ascii="Times New Roman" w:eastAsia="ＭＳ 明朝" w:hAnsi="Times New Roman" w:cs="Times New Roman"/>
          <w:sz w:val="24"/>
          <w:szCs w:val="24"/>
          <w:lang w:eastAsia="ja-JP"/>
        </w:rPr>
      </w:pPr>
      <w:r w:rsidRPr="00426E01">
        <w:rPr>
          <w:rFonts w:ascii="Times New Roman" w:eastAsia="ＭＳ 明朝" w:hAnsi="Times New Roman" w:cs="Times New Roman" w:hint="eastAsia"/>
          <w:sz w:val="24"/>
          <w:szCs w:val="24"/>
          <w:lang w:eastAsia="ja-JP"/>
        </w:rPr>
        <w:t>S</w:t>
      </w:r>
      <w:r w:rsidRPr="00426E01">
        <w:rPr>
          <w:rFonts w:ascii="Times New Roman" w:eastAsia="ＭＳ 明朝" w:hAnsi="Times New Roman" w:cs="Times New Roman"/>
          <w:sz w:val="24"/>
          <w:szCs w:val="24"/>
          <w:lang w:eastAsia="ja-JP"/>
        </w:rPr>
        <w:t>ee the relevant input documents to WRC-19.</w:t>
      </w:r>
    </w:p>
    <w:p w:rsidR="004D7CC0" w:rsidRDefault="008742F3" w:rsidP="00223C50">
      <w:pPr>
        <w:pStyle w:val="a3"/>
        <w:numPr>
          <w:ilvl w:val="0"/>
          <w:numId w:val="1"/>
        </w:numPr>
        <w:wordWrap/>
        <w:overflowPunct w:val="0"/>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3346ED">
        <w:rPr>
          <w:rFonts w:ascii="Times New Roman" w:hAnsi="Times New Roman" w:cs="Times New Roman"/>
          <w:sz w:val="24"/>
          <w:szCs w:val="24"/>
        </w:rPr>
        <w:t xml:space="preserve">WRC-19 </w:t>
      </w:r>
      <w:r w:rsidR="00D1517A" w:rsidRPr="00AC461C">
        <w:rPr>
          <w:rFonts w:ascii="Times New Roman" w:hAnsi="Times New Roman" w:cs="Times New Roman"/>
          <w:sz w:val="24"/>
          <w:szCs w:val="24"/>
        </w:rPr>
        <w:t>on the Agenda Item</w:t>
      </w:r>
    </w:p>
    <w:p w:rsidR="00BC4E02" w:rsidRPr="00223C50" w:rsidRDefault="00BC4E02" w:rsidP="00BC4E02">
      <w:pPr>
        <w:pStyle w:val="a3"/>
        <w:numPr>
          <w:ilvl w:val="0"/>
          <w:numId w:val="2"/>
        </w:numPr>
        <w:wordWrap/>
        <w:overflowPunct w:val="0"/>
        <w:ind w:leftChars="0"/>
        <w:rPr>
          <w:rFonts w:ascii="Times New Roman" w:hAnsi="Times New Roman" w:cs="Times New Roman"/>
          <w:sz w:val="24"/>
          <w:szCs w:val="24"/>
        </w:rPr>
      </w:pPr>
      <w:r>
        <w:rPr>
          <w:rFonts w:ascii="Times New Roman" w:eastAsia="ＭＳ 明朝" w:hAnsi="Times New Roman" w:cs="Times New Roman" w:hint="eastAsia"/>
          <w:sz w:val="24"/>
          <w:szCs w:val="24"/>
          <w:lang w:eastAsia="ja-JP"/>
        </w:rPr>
        <w:t>S</w:t>
      </w:r>
      <w:r>
        <w:rPr>
          <w:rFonts w:ascii="Times New Roman" w:eastAsia="ＭＳ 明朝" w:hAnsi="Times New Roman" w:cs="Times New Roman"/>
          <w:sz w:val="24"/>
          <w:szCs w:val="24"/>
          <w:lang w:eastAsia="ja-JP"/>
        </w:rPr>
        <w:t>WG 4A1 finished its work in late evening yesterday. Several DT documents are under documentation process to be discussed in WG 4A.</w:t>
      </w:r>
    </w:p>
    <w:tbl>
      <w:tblPr>
        <w:tblStyle w:val="a9"/>
        <w:tblW w:w="0" w:type="auto"/>
        <w:jc w:val="center"/>
        <w:tblLook w:val="04A0" w:firstRow="1" w:lastRow="0" w:firstColumn="1" w:lastColumn="0" w:noHBand="0" w:noVBand="1"/>
      </w:tblPr>
      <w:tblGrid>
        <w:gridCol w:w="2263"/>
        <w:gridCol w:w="6521"/>
      </w:tblGrid>
      <w:tr w:rsidR="00223C50" w:rsidRPr="00467A63" w:rsidTr="00AB6D4C">
        <w:trPr>
          <w:tblHeader/>
          <w:jc w:val="center"/>
        </w:trPr>
        <w:tc>
          <w:tcPr>
            <w:tcW w:w="2263" w:type="dxa"/>
            <w:shd w:val="clear" w:color="auto" w:fill="D9D9D9" w:themeFill="background1" w:themeFillShade="D9"/>
          </w:tcPr>
          <w:p w:rsidR="00223C50" w:rsidRPr="00467A63" w:rsidRDefault="00223C50" w:rsidP="001768DF">
            <w:pPr>
              <w:pStyle w:val="Tablehead"/>
            </w:pPr>
            <w:r w:rsidRPr="00467A63">
              <w:t xml:space="preserve">Frequency Bands </w:t>
            </w:r>
          </w:p>
        </w:tc>
        <w:tc>
          <w:tcPr>
            <w:tcW w:w="6521" w:type="dxa"/>
            <w:shd w:val="clear" w:color="auto" w:fill="D9D9D9" w:themeFill="background1" w:themeFillShade="D9"/>
          </w:tcPr>
          <w:p w:rsidR="00223C50" w:rsidRPr="00467A63" w:rsidRDefault="00223C50" w:rsidP="001768DF">
            <w:pPr>
              <w:pStyle w:val="Tablehead"/>
            </w:pPr>
            <w:r>
              <w:t>Status</w:t>
            </w:r>
            <w:r w:rsidRPr="00467A63">
              <w:t xml:space="preserve"> </w:t>
            </w:r>
          </w:p>
        </w:tc>
      </w:tr>
      <w:tr w:rsidR="00223C50" w:rsidRPr="00467A63" w:rsidTr="00AB6D4C">
        <w:trPr>
          <w:jc w:val="center"/>
        </w:trPr>
        <w:tc>
          <w:tcPr>
            <w:tcW w:w="2263" w:type="dxa"/>
          </w:tcPr>
          <w:p w:rsidR="00223C50" w:rsidRPr="00467A63" w:rsidRDefault="00223C50" w:rsidP="001768DF">
            <w:pPr>
              <w:pStyle w:val="Tabletext"/>
            </w:pPr>
            <w:r w:rsidRPr="00467A63">
              <w:rPr>
                <w:lang w:eastAsia="ja-JP"/>
              </w:rPr>
              <w:t>24.25-27.5 GHz</w:t>
            </w:r>
          </w:p>
        </w:tc>
        <w:tc>
          <w:tcPr>
            <w:tcW w:w="6521" w:type="dxa"/>
          </w:tcPr>
          <w:p w:rsidR="00223C50" w:rsidRPr="00467A63" w:rsidRDefault="00BC4E02" w:rsidP="001768DF">
            <w:pPr>
              <w:pStyle w:val="Tabletext"/>
              <w:rPr>
                <w:lang w:eastAsia="ja-JP"/>
              </w:rPr>
            </w:pPr>
            <w:r>
              <w:rPr>
                <w:lang w:eastAsia="ja-JP"/>
              </w:rPr>
              <w:t>Output from SWG 4A1 is TBD</w:t>
            </w:r>
          </w:p>
        </w:tc>
      </w:tr>
      <w:tr w:rsidR="00223C50" w:rsidRPr="00467A63" w:rsidTr="00AB6D4C">
        <w:trPr>
          <w:jc w:val="center"/>
        </w:trPr>
        <w:tc>
          <w:tcPr>
            <w:tcW w:w="2263" w:type="dxa"/>
          </w:tcPr>
          <w:p w:rsidR="00223C50" w:rsidRPr="00467A63" w:rsidRDefault="00223C50" w:rsidP="001768DF">
            <w:pPr>
              <w:pStyle w:val="Tabletext"/>
            </w:pPr>
            <w:r w:rsidRPr="00467A63">
              <w:rPr>
                <w:lang w:eastAsia="ja-JP"/>
              </w:rPr>
              <w:t>31.8-33.4 GHz</w:t>
            </w:r>
          </w:p>
        </w:tc>
        <w:tc>
          <w:tcPr>
            <w:tcW w:w="6521" w:type="dxa"/>
          </w:tcPr>
          <w:p w:rsidR="00223C50" w:rsidRPr="00467A63" w:rsidRDefault="00223C50" w:rsidP="004B0E1B">
            <w:pPr>
              <w:pStyle w:val="Tabletext"/>
            </w:pPr>
            <w:r w:rsidRPr="00223C50">
              <w:rPr>
                <w:u w:val="single"/>
              </w:rPr>
              <w:t>NOC</w:t>
            </w:r>
            <w:r>
              <w:t xml:space="preserve"> (</w:t>
            </w:r>
            <w:r w:rsidR="004B0E1B">
              <w:t>approved</w:t>
            </w:r>
            <w:r>
              <w:t xml:space="preserve"> by Plenary</w:t>
            </w:r>
            <w:r w:rsidR="00454060">
              <w:t xml:space="preserve">, </w:t>
            </w:r>
            <w:hyperlink r:id="rId9" w:history="1">
              <w:r w:rsidR="00454060" w:rsidRPr="00A14A60">
                <w:rPr>
                  <w:rStyle w:val="a8"/>
                </w:rPr>
                <w:t>150</w:t>
              </w:r>
            </w:hyperlink>
            <w:r w:rsidR="00454060">
              <w:t>)</w:t>
            </w:r>
          </w:p>
        </w:tc>
      </w:tr>
      <w:tr w:rsidR="00223C50" w:rsidRPr="00467A63" w:rsidTr="00AB6D4C">
        <w:trPr>
          <w:jc w:val="center"/>
        </w:trPr>
        <w:tc>
          <w:tcPr>
            <w:tcW w:w="2263" w:type="dxa"/>
          </w:tcPr>
          <w:p w:rsidR="00223C50" w:rsidRPr="00467A63" w:rsidRDefault="00223C50" w:rsidP="001768DF">
            <w:pPr>
              <w:pStyle w:val="Tabletext"/>
            </w:pPr>
            <w:r w:rsidRPr="00467A63">
              <w:rPr>
                <w:lang w:eastAsia="ja-JP"/>
              </w:rPr>
              <w:t>37-40.5, 40.5-42.5 and 42.5-43.5 GHz</w:t>
            </w:r>
          </w:p>
        </w:tc>
        <w:tc>
          <w:tcPr>
            <w:tcW w:w="6521" w:type="dxa"/>
          </w:tcPr>
          <w:p w:rsidR="00223C50" w:rsidRPr="00467A63" w:rsidRDefault="00BC4E02" w:rsidP="00C2511E">
            <w:pPr>
              <w:pStyle w:val="Tabletext"/>
            </w:pPr>
            <w:r>
              <w:rPr>
                <w:lang w:eastAsia="ja-JP"/>
              </w:rPr>
              <w:t>Output from SWG 4A1 is TBD</w:t>
            </w:r>
          </w:p>
        </w:tc>
      </w:tr>
      <w:tr w:rsidR="00223C50" w:rsidRPr="00467A63" w:rsidTr="00AB6D4C">
        <w:trPr>
          <w:jc w:val="center"/>
        </w:trPr>
        <w:tc>
          <w:tcPr>
            <w:tcW w:w="2263" w:type="dxa"/>
          </w:tcPr>
          <w:p w:rsidR="00223C50" w:rsidRPr="00467A63" w:rsidRDefault="00223C50" w:rsidP="001768DF">
            <w:pPr>
              <w:pStyle w:val="Tabletext"/>
            </w:pPr>
            <w:r w:rsidRPr="00467A63">
              <w:rPr>
                <w:lang w:eastAsia="ja-JP"/>
              </w:rPr>
              <w:t>45.5-47 GHz</w:t>
            </w:r>
          </w:p>
        </w:tc>
        <w:tc>
          <w:tcPr>
            <w:tcW w:w="6521" w:type="dxa"/>
          </w:tcPr>
          <w:p w:rsidR="00CF651C" w:rsidRPr="00467A63" w:rsidRDefault="00BC4E02" w:rsidP="00CF651C">
            <w:pPr>
              <w:pStyle w:val="Tabletext"/>
              <w:rPr>
                <w:lang w:eastAsia="ja-JP"/>
              </w:rPr>
            </w:pPr>
            <w:r>
              <w:rPr>
                <w:lang w:eastAsia="ja-JP"/>
              </w:rPr>
              <w:t>Output from SWG 4A1 is TBD</w:t>
            </w:r>
          </w:p>
        </w:tc>
      </w:tr>
      <w:tr w:rsidR="00223C50" w:rsidRPr="00467A63" w:rsidTr="00AB6D4C">
        <w:trPr>
          <w:jc w:val="center"/>
        </w:trPr>
        <w:tc>
          <w:tcPr>
            <w:tcW w:w="2263" w:type="dxa"/>
          </w:tcPr>
          <w:p w:rsidR="00223C50" w:rsidRPr="00467A63" w:rsidRDefault="00223C50" w:rsidP="001768DF">
            <w:pPr>
              <w:pStyle w:val="Tabletext"/>
            </w:pPr>
            <w:r w:rsidRPr="00467A63">
              <w:rPr>
                <w:lang w:eastAsia="ja-JP"/>
              </w:rPr>
              <w:t>47-47.2 GHz</w:t>
            </w:r>
          </w:p>
        </w:tc>
        <w:tc>
          <w:tcPr>
            <w:tcW w:w="6521" w:type="dxa"/>
          </w:tcPr>
          <w:p w:rsidR="00223C50" w:rsidRPr="00467A63" w:rsidRDefault="00223C50" w:rsidP="004B0E1B">
            <w:pPr>
              <w:pStyle w:val="Tabletext"/>
            </w:pPr>
            <w:r w:rsidRPr="00223C50">
              <w:rPr>
                <w:u w:val="single"/>
              </w:rPr>
              <w:t>NOC</w:t>
            </w:r>
            <w:r>
              <w:t xml:space="preserve"> (</w:t>
            </w:r>
            <w:r w:rsidR="004B0E1B">
              <w:t>approved</w:t>
            </w:r>
            <w:r>
              <w:t xml:space="preserve"> by Plenary</w:t>
            </w:r>
            <w:r w:rsidR="00454060">
              <w:t xml:space="preserve">, </w:t>
            </w:r>
            <w:hyperlink r:id="rId10" w:history="1">
              <w:r w:rsidR="00454060" w:rsidRPr="00A14A60">
                <w:rPr>
                  <w:rStyle w:val="a8"/>
                </w:rPr>
                <w:t>150</w:t>
              </w:r>
            </w:hyperlink>
            <w:r w:rsidR="00454060">
              <w:t>)</w:t>
            </w:r>
          </w:p>
        </w:tc>
      </w:tr>
      <w:tr w:rsidR="00223C50" w:rsidRPr="00467A63" w:rsidTr="00AB6D4C">
        <w:trPr>
          <w:jc w:val="center"/>
        </w:trPr>
        <w:tc>
          <w:tcPr>
            <w:tcW w:w="2263" w:type="dxa"/>
          </w:tcPr>
          <w:p w:rsidR="00223C50" w:rsidRPr="00467A63" w:rsidRDefault="00223C50" w:rsidP="001768DF">
            <w:pPr>
              <w:pStyle w:val="Tabletext"/>
              <w:rPr>
                <w:lang w:eastAsia="ja-JP"/>
              </w:rPr>
            </w:pPr>
            <w:r>
              <w:rPr>
                <w:rFonts w:hint="eastAsia"/>
                <w:lang w:eastAsia="ja-JP"/>
              </w:rPr>
              <w:t>47.2-</w:t>
            </w:r>
            <w:r>
              <w:rPr>
                <w:lang w:eastAsia="ja-JP"/>
              </w:rPr>
              <w:t>50.2 GHz</w:t>
            </w:r>
          </w:p>
        </w:tc>
        <w:tc>
          <w:tcPr>
            <w:tcW w:w="6521" w:type="dxa"/>
          </w:tcPr>
          <w:p w:rsidR="00AB6D4C" w:rsidRPr="00AB6D4C" w:rsidRDefault="00BC4E02" w:rsidP="00BC4E02">
            <w:pPr>
              <w:pStyle w:val="Tabletext"/>
              <w:rPr>
                <w:highlight w:val="yellow"/>
                <w:lang w:eastAsia="ja-JP"/>
              </w:rPr>
            </w:pPr>
            <w:r>
              <w:rPr>
                <w:lang w:eastAsia="ja-JP"/>
              </w:rPr>
              <w:t xml:space="preserve">Output from SWG 4A1 is </w:t>
            </w:r>
            <w:hyperlink r:id="rId11" w:history="1">
              <w:r w:rsidRPr="00BC4E02">
                <w:rPr>
                  <w:rStyle w:val="a8"/>
                  <w:lang w:eastAsia="ja-JP"/>
                </w:rPr>
                <w:t>DT/13</w:t>
              </w:r>
              <w:r>
                <w:rPr>
                  <w:rStyle w:val="a8"/>
                  <w:lang w:eastAsia="ja-JP"/>
                </w:rPr>
                <w:t>9</w:t>
              </w:r>
            </w:hyperlink>
          </w:p>
        </w:tc>
      </w:tr>
      <w:tr w:rsidR="00223C50" w:rsidRPr="00467A63" w:rsidTr="00AB6D4C">
        <w:trPr>
          <w:jc w:val="center"/>
        </w:trPr>
        <w:tc>
          <w:tcPr>
            <w:tcW w:w="2263" w:type="dxa"/>
          </w:tcPr>
          <w:p w:rsidR="00223C50" w:rsidRPr="00467A63" w:rsidRDefault="00223C50" w:rsidP="001768DF">
            <w:pPr>
              <w:pStyle w:val="Tabletext"/>
              <w:rPr>
                <w:lang w:eastAsia="ja-JP"/>
              </w:rPr>
            </w:pPr>
            <w:r>
              <w:rPr>
                <w:rFonts w:hint="eastAsia"/>
                <w:lang w:eastAsia="ja-JP"/>
              </w:rPr>
              <w:t>50.4-52.6 GHz</w:t>
            </w:r>
          </w:p>
        </w:tc>
        <w:tc>
          <w:tcPr>
            <w:tcW w:w="6521" w:type="dxa"/>
          </w:tcPr>
          <w:p w:rsidR="00223C50" w:rsidRPr="00223C50" w:rsidRDefault="00BC4E02" w:rsidP="00BC4E02">
            <w:pPr>
              <w:pStyle w:val="Tabletext"/>
              <w:rPr>
                <w:u w:val="single"/>
              </w:rPr>
            </w:pPr>
            <w:r>
              <w:rPr>
                <w:lang w:eastAsia="ja-JP"/>
              </w:rPr>
              <w:t xml:space="preserve">Output from SWG 4A1 is </w:t>
            </w:r>
            <w:hyperlink r:id="rId12" w:history="1">
              <w:r w:rsidRPr="00BC4E02">
                <w:rPr>
                  <w:rStyle w:val="a8"/>
                  <w:lang w:eastAsia="ja-JP"/>
                </w:rPr>
                <w:t>DT/13</w:t>
              </w:r>
              <w:r>
                <w:rPr>
                  <w:rStyle w:val="a8"/>
                  <w:lang w:eastAsia="ja-JP"/>
                </w:rPr>
                <w:t>8</w:t>
              </w:r>
            </w:hyperlink>
          </w:p>
        </w:tc>
      </w:tr>
      <w:tr w:rsidR="00223C50" w:rsidRPr="00467A63" w:rsidTr="00AB6D4C">
        <w:trPr>
          <w:jc w:val="center"/>
        </w:trPr>
        <w:tc>
          <w:tcPr>
            <w:tcW w:w="2263" w:type="dxa"/>
          </w:tcPr>
          <w:p w:rsidR="00223C50" w:rsidRPr="00467A63" w:rsidRDefault="00223C50" w:rsidP="001768DF">
            <w:pPr>
              <w:pStyle w:val="Tabletext"/>
            </w:pPr>
            <w:r w:rsidRPr="00467A63">
              <w:rPr>
                <w:lang w:eastAsia="ja-JP"/>
              </w:rPr>
              <w:t>66-71 GHz</w:t>
            </w:r>
          </w:p>
        </w:tc>
        <w:tc>
          <w:tcPr>
            <w:tcW w:w="6521" w:type="dxa"/>
          </w:tcPr>
          <w:p w:rsidR="00223C50" w:rsidRPr="00467A63" w:rsidRDefault="00BC4E02" w:rsidP="00BD378C">
            <w:pPr>
              <w:pStyle w:val="Tabletext"/>
            </w:pPr>
            <w:r>
              <w:rPr>
                <w:lang w:eastAsia="ja-JP"/>
              </w:rPr>
              <w:t xml:space="preserve">Output from SWG 4A1 is </w:t>
            </w:r>
            <w:hyperlink r:id="rId13" w:history="1">
              <w:r w:rsidRPr="00BC4E02">
                <w:rPr>
                  <w:rStyle w:val="a8"/>
                  <w:lang w:eastAsia="ja-JP"/>
                </w:rPr>
                <w:t>DT/137</w:t>
              </w:r>
            </w:hyperlink>
          </w:p>
        </w:tc>
      </w:tr>
      <w:tr w:rsidR="00223C50" w:rsidRPr="00467A63" w:rsidTr="00AB6D4C">
        <w:trPr>
          <w:jc w:val="center"/>
        </w:trPr>
        <w:tc>
          <w:tcPr>
            <w:tcW w:w="2263" w:type="dxa"/>
          </w:tcPr>
          <w:p w:rsidR="00223C50" w:rsidRPr="00467A63" w:rsidRDefault="00223C50" w:rsidP="001768DF">
            <w:pPr>
              <w:pStyle w:val="Tabletext"/>
              <w:rPr>
                <w:lang w:eastAsia="ja-JP"/>
              </w:rPr>
            </w:pPr>
            <w:r>
              <w:rPr>
                <w:rFonts w:hint="eastAsia"/>
                <w:lang w:eastAsia="ja-JP"/>
              </w:rPr>
              <w:t>71-76 GHz</w:t>
            </w:r>
          </w:p>
        </w:tc>
        <w:tc>
          <w:tcPr>
            <w:tcW w:w="6521" w:type="dxa"/>
          </w:tcPr>
          <w:p w:rsidR="00223C50" w:rsidRPr="00467A63" w:rsidRDefault="00454060" w:rsidP="00992BF6">
            <w:pPr>
              <w:pStyle w:val="Tabletext"/>
              <w:rPr>
                <w:lang w:eastAsia="ja-JP"/>
              </w:rPr>
            </w:pPr>
            <w:r w:rsidRPr="00454060">
              <w:rPr>
                <w:rFonts w:hint="eastAsia"/>
                <w:u w:val="single"/>
                <w:lang w:eastAsia="ja-JP"/>
              </w:rPr>
              <w:t>NOC</w:t>
            </w:r>
            <w:r>
              <w:rPr>
                <w:rFonts w:hint="eastAsia"/>
                <w:lang w:eastAsia="ja-JP"/>
              </w:rPr>
              <w:t xml:space="preserve"> (</w:t>
            </w:r>
            <w:r w:rsidR="006E05B6">
              <w:rPr>
                <w:lang w:eastAsia="ja-JP"/>
              </w:rPr>
              <w:t>approved by Plenary</w:t>
            </w:r>
            <w:r w:rsidR="004B0E1B">
              <w:rPr>
                <w:lang w:eastAsia="ja-JP"/>
              </w:rPr>
              <w:t>,</w:t>
            </w:r>
            <w:r w:rsidR="004B0E1B">
              <w:t xml:space="preserve"> </w:t>
            </w:r>
            <w:hyperlink r:id="rId14" w:history="1">
              <w:r w:rsidR="00992BF6">
                <w:rPr>
                  <w:rStyle w:val="a8"/>
                </w:rPr>
                <w:t>202</w:t>
              </w:r>
            </w:hyperlink>
            <w:r>
              <w:rPr>
                <w:rFonts w:hint="eastAsia"/>
                <w:lang w:eastAsia="ja-JP"/>
              </w:rPr>
              <w:t>)</w:t>
            </w:r>
          </w:p>
        </w:tc>
      </w:tr>
      <w:tr w:rsidR="00223C50" w:rsidRPr="00467A63" w:rsidTr="00AB6D4C">
        <w:trPr>
          <w:jc w:val="center"/>
        </w:trPr>
        <w:tc>
          <w:tcPr>
            <w:tcW w:w="2263" w:type="dxa"/>
          </w:tcPr>
          <w:p w:rsidR="00223C50" w:rsidRDefault="00223C50" w:rsidP="001768DF">
            <w:pPr>
              <w:pStyle w:val="Tabletext"/>
              <w:rPr>
                <w:lang w:eastAsia="ja-JP"/>
              </w:rPr>
            </w:pPr>
            <w:r>
              <w:rPr>
                <w:rFonts w:hint="eastAsia"/>
                <w:lang w:eastAsia="ja-JP"/>
              </w:rPr>
              <w:t>81-86 GHz</w:t>
            </w:r>
          </w:p>
        </w:tc>
        <w:tc>
          <w:tcPr>
            <w:tcW w:w="6521" w:type="dxa"/>
          </w:tcPr>
          <w:p w:rsidR="00223C50" w:rsidRPr="00467A63" w:rsidRDefault="00454060" w:rsidP="00992BF6">
            <w:pPr>
              <w:pStyle w:val="Tabletext"/>
            </w:pPr>
            <w:r w:rsidRPr="00454060">
              <w:rPr>
                <w:rFonts w:hint="eastAsia"/>
                <w:u w:val="single"/>
                <w:lang w:eastAsia="ja-JP"/>
              </w:rPr>
              <w:t>NOC</w:t>
            </w:r>
            <w:r>
              <w:rPr>
                <w:rFonts w:hint="eastAsia"/>
                <w:lang w:eastAsia="ja-JP"/>
              </w:rPr>
              <w:t xml:space="preserve"> (</w:t>
            </w:r>
            <w:r w:rsidR="006E05B6">
              <w:rPr>
                <w:lang w:eastAsia="ja-JP"/>
              </w:rPr>
              <w:t>approved by Plenary</w:t>
            </w:r>
            <w:r>
              <w:rPr>
                <w:lang w:eastAsia="ja-JP"/>
              </w:rPr>
              <w:t>,</w:t>
            </w:r>
            <w:r w:rsidR="004B0E1B">
              <w:t xml:space="preserve"> </w:t>
            </w:r>
            <w:hyperlink r:id="rId15" w:history="1">
              <w:r w:rsidR="00992BF6">
                <w:rPr>
                  <w:rStyle w:val="a8"/>
                </w:rPr>
                <w:t>202</w:t>
              </w:r>
            </w:hyperlink>
            <w:r>
              <w:rPr>
                <w:rFonts w:hint="eastAsia"/>
                <w:lang w:eastAsia="ja-JP"/>
              </w:rPr>
              <w:t>)</w:t>
            </w:r>
          </w:p>
        </w:tc>
      </w:tr>
    </w:tbl>
    <w:p w:rsidR="00AB6D4C" w:rsidRDefault="00AB6D4C" w:rsidP="00223C50">
      <w:pPr>
        <w:pStyle w:val="a3"/>
        <w:wordWrap/>
        <w:overflowPunct w:val="0"/>
        <w:ind w:leftChars="0" w:left="780"/>
        <w:rPr>
          <w:rFonts w:ascii="Times New Roman" w:eastAsia="ＭＳ 明朝" w:hAnsi="Times New Roman" w:cs="Times New Roman"/>
          <w:szCs w:val="20"/>
          <w:lang w:eastAsia="ja-JP"/>
        </w:rPr>
      </w:pPr>
    </w:p>
    <w:p w:rsidR="00AB6D4C" w:rsidRDefault="00AB6D4C">
      <w:pPr>
        <w:widowControl/>
        <w:wordWrap/>
        <w:autoSpaceDE/>
        <w:autoSpaceDN/>
        <w:rPr>
          <w:rFonts w:ascii="Times New Roman" w:eastAsia="ＭＳ 明朝" w:hAnsi="Times New Roman" w:cs="Times New Roman"/>
          <w:szCs w:val="20"/>
          <w:lang w:eastAsia="ja-JP"/>
        </w:rPr>
      </w:pPr>
      <w:r>
        <w:rPr>
          <w:rFonts w:ascii="Times New Roman" w:eastAsia="ＭＳ 明朝" w:hAnsi="Times New Roman" w:cs="Times New Roman"/>
          <w:szCs w:val="20"/>
          <w:lang w:eastAsia="ja-JP"/>
        </w:rPr>
        <w:br w:type="page"/>
      </w:r>
    </w:p>
    <w:p w:rsidR="008742F3" w:rsidRPr="00891369" w:rsidRDefault="008742F3" w:rsidP="00B541A5">
      <w:pPr>
        <w:pStyle w:val="a3"/>
        <w:numPr>
          <w:ilvl w:val="0"/>
          <w:numId w:val="1"/>
        </w:numPr>
        <w:wordWrap/>
        <w:overflowPunct w:val="0"/>
        <w:ind w:leftChars="0" w:left="360"/>
        <w:rPr>
          <w:rFonts w:ascii="Times New Roman" w:hAnsi="Times New Roman" w:cs="Times New Roman"/>
          <w:sz w:val="24"/>
          <w:szCs w:val="24"/>
        </w:rPr>
      </w:pPr>
      <w:r w:rsidRPr="00AC461C">
        <w:rPr>
          <w:rFonts w:ascii="Times New Roman" w:hAnsi="Times New Roman" w:cs="Times New Roman"/>
          <w:sz w:val="24"/>
          <w:szCs w:val="24"/>
        </w:rPr>
        <w:lastRenderedPageBreak/>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w:t>
      </w:r>
      <w:r w:rsidR="003346ED">
        <w:rPr>
          <w:rFonts w:ascii="Times New Roman" w:hAnsi="Times New Roman" w:cs="Times New Roman"/>
          <w:sz w:val="24"/>
          <w:szCs w:val="24"/>
        </w:rPr>
        <w:t>T</w:t>
      </w:r>
      <w:r w:rsidRPr="00AC461C">
        <w:rPr>
          <w:rFonts w:ascii="Times New Roman" w:hAnsi="Times New Roman" w:cs="Times New Roman"/>
          <w:sz w:val="24"/>
          <w:szCs w:val="24"/>
        </w:rPr>
        <w:t xml:space="preserve"> Coordination </w:t>
      </w:r>
      <w:r w:rsidR="003346ED">
        <w:rPr>
          <w:rFonts w:ascii="Times New Roman" w:hAnsi="Times New Roman" w:cs="Times New Roman"/>
          <w:sz w:val="24"/>
          <w:szCs w:val="24"/>
        </w:rPr>
        <w:t>M</w:t>
      </w:r>
      <w:r w:rsidRPr="00AC461C">
        <w:rPr>
          <w:rFonts w:ascii="Times New Roman" w:hAnsi="Times New Roman" w:cs="Times New Roman"/>
          <w:sz w:val="24"/>
          <w:szCs w:val="24"/>
        </w:rPr>
        <w:t>eeting</w:t>
      </w:r>
      <w:r w:rsidR="003346ED">
        <w:rPr>
          <w:rFonts w:ascii="Times New Roman" w:hAnsi="Times New Roman" w:cs="Times New Roman"/>
          <w:sz w:val="24"/>
          <w:szCs w:val="24"/>
        </w:rPr>
        <w:t>s</w:t>
      </w:r>
      <w:r w:rsidR="00D1517A" w:rsidRPr="00AC461C">
        <w:rPr>
          <w:rFonts w:ascii="Times New Roman" w:hAnsi="Times New Roman" w:cs="Times New Roman"/>
          <w:sz w:val="24"/>
          <w:szCs w:val="24"/>
        </w:rPr>
        <w:t xml:space="preserve"> and seek guidance thereafter</w:t>
      </w:r>
    </w:p>
    <w:p w:rsidR="00BC4E02" w:rsidRDefault="00992BF6" w:rsidP="002B110C">
      <w:pPr>
        <w:pStyle w:val="a3"/>
        <w:numPr>
          <w:ilvl w:val="0"/>
          <w:numId w:val="2"/>
        </w:numPr>
        <w:wordWrap/>
        <w:overflowPunct w:val="0"/>
        <w:spacing w:after="100" w:afterAutospacing="1"/>
        <w:ind w:leftChars="0"/>
        <w:rPr>
          <w:rFonts w:ascii="Times New Roman" w:eastAsia="ＭＳ 明朝" w:hAnsi="Times New Roman" w:cs="Times New Roman"/>
          <w:sz w:val="24"/>
          <w:szCs w:val="24"/>
          <w:lang w:eastAsia="ja-JP"/>
        </w:rPr>
      </w:pPr>
      <w:r w:rsidRPr="00C2511E">
        <w:rPr>
          <w:rFonts w:ascii="Times New Roman" w:eastAsia="ＭＳ 明朝" w:hAnsi="Times New Roman" w:cs="Times New Roman" w:hint="eastAsia"/>
          <w:sz w:val="24"/>
          <w:szCs w:val="24"/>
          <w:lang w:eastAsia="ja-JP"/>
        </w:rPr>
        <w:t xml:space="preserve">Informal coordination meeting on </w:t>
      </w:r>
      <w:r w:rsidRPr="00C2511E">
        <w:rPr>
          <w:rFonts w:ascii="Times New Roman" w:eastAsia="ＭＳ 明朝" w:hAnsi="Times New Roman" w:cs="Times New Roman"/>
          <w:sz w:val="24"/>
          <w:szCs w:val="24"/>
          <w:lang w:eastAsia="ja-JP"/>
        </w:rPr>
        <w:t xml:space="preserve">the </w:t>
      </w:r>
      <w:r w:rsidRPr="00C2511E">
        <w:rPr>
          <w:rFonts w:ascii="Times New Roman" w:eastAsia="ＭＳ 明朝" w:hAnsi="Times New Roman" w:cs="Times New Roman" w:hint="eastAsia"/>
          <w:sz w:val="24"/>
          <w:szCs w:val="24"/>
          <w:lang w:eastAsia="ja-JP"/>
        </w:rPr>
        <w:t xml:space="preserve">EESS (passive) protection in the 24 GHz </w:t>
      </w:r>
      <w:r w:rsidR="00BC4E02">
        <w:rPr>
          <w:rFonts w:ascii="Times New Roman" w:eastAsia="ＭＳ 明朝" w:hAnsi="Times New Roman" w:cs="Times New Roman"/>
          <w:sz w:val="24"/>
          <w:szCs w:val="24"/>
          <w:lang w:eastAsia="ja-JP"/>
        </w:rPr>
        <w:t>is continued</w:t>
      </w:r>
      <w:r w:rsidR="00C2511E" w:rsidRPr="00C2511E">
        <w:rPr>
          <w:rFonts w:ascii="Times New Roman" w:eastAsia="ＭＳ 明朝" w:hAnsi="Times New Roman" w:cs="Times New Roman"/>
          <w:sz w:val="24"/>
          <w:szCs w:val="24"/>
          <w:lang w:eastAsia="ja-JP"/>
        </w:rPr>
        <w:t>.</w:t>
      </w:r>
      <w:r w:rsidR="00BC4E02">
        <w:rPr>
          <w:rFonts w:ascii="Times New Roman" w:eastAsia="ＭＳ 明朝" w:hAnsi="Times New Roman" w:cs="Times New Roman"/>
          <w:sz w:val="24"/>
          <w:szCs w:val="24"/>
          <w:lang w:eastAsia="ja-JP"/>
        </w:rPr>
        <w:t xml:space="preserve"> Several new ideas were presented in the yesterday meeting (See Annex). However, the participants are all trying to find a single global value for this protection. The next coordination meeting is planned in Friday lunch break.</w:t>
      </w:r>
      <w:r w:rsidR="00BC4E02">
        <w:rPr>
          <w:rFonts w:ascii="Times New Roman" w:eastAsia="ＭＳ 明朝" w:hAnsi="Times New Roman" w:cs="Times New Roman"/>
          <w:sz w:val="24"/>
          <w:szCs w:val="24"/>
          <w:lang w:eastAsia="ja-JP"/>
        </w:rPr>
        <w:br/>
      </w:r>
    </w:p>
    <w:p w:rsidR="00C2511E" w:rsidRPr="00C2511E" w:rsidRDefault="00BC4E02" w:rsidP="002B110C">
      <w:pPr>
        <w:pStyle w:val="a3"/>
        <w:numPr>
          <w:ilvl w:val="0"/>
          <w:numId w:val="2"/>
        </w:numPr>
        <w:wordWrap/>
        <w:overflowPunct w:val="0"/>
        <w:spacing w:after="100" w:afterAutospacing="1"/>
        <w:ind w:leftChars="0"/>
        <w:rPr>
          <w:rFonts w:ascii="Times New Roman" w:eastAsia="ＭＳ 明朝" w:hAnsi="Times New Roman" w:cs="Times New Roman"/>
          <w:sz w:val="24"/>
          <w:szCs w:val="24"/>
          <w:lang w:eastAsia="ja-JP"/>
        </w:rPr>
      </w:pPr>
      <w:r>
        <w:rPr>
          <w:rFonts w:ascii="Times New Roman" w:eastAsia="ＭＳ 明朝" w:hAnsi="Times New Roman" w:cs="Times New Roman"/>
          <w:sz w:val="24"/>
          <w:szCs w:val="24"/>
          <w:lang w:eastAsia="ja-JP"/>
        </w:rPr>
        <w:t>Informal coordination meeting on the Conditions A2b, A2c, A2d and A2e was held, and compromised text as a package was presented to the SWG, noting that there was no agreement in the information coordination meeting. Concerns were expressed in the SWG, in particular, the stipulating the e.i.r.p. limits for protection of the space services in the 26 GHz band.</w:t>
      </w:r>
      <w:r w:rsidR="00C2511E">
        <w:rPr>
          <w:rFonts w:ascii="Times New Roman" w:eastAsia="ＭＳ 明朝" w:hAnsi="Times New Roman" w:cs="Times New Roman"/>
          <w:sz w:val="24"/>
          <w:szCs w:val="24"/>
          <w:lang w:eastAsia="ja-JP"/>
        </w:rPr>
        <w:br/>
      </w:r>
    </w:p>
    <w:p w:rsidR="00A62102" w:rsidRPr="00AE39B0" w:rsidRDefault="00C2511E" w:rsidP="00C2511E">
      <w:pPr>
        <w:pStyle w:val="a3"/>
        <w:numPr>
          <w:ilvl w:val="0"/>
          <w:numId w:val="2"/>
        </w:numPr>
        <w:wordWrap/>
        <w:overflowPunct w:val="0"/>
        <w:spacing w:after="100" w:afterAutospacing="1"/>
        <w:ind w:leftChars="0"/>
        <w:rPr>
          <w:rFonts w:ascii="Times New Roman" w:hAnsi="Times New Roman" w:cs="Times New Roman"/>
          <w:sz w:val="24"/>
          <w:szCs w:val="24"/>
        </w:rPr>
      </w:pPr>
      <w:r>
        <w:rPr>
          <w:rFonts w:ascii="Times New Roman" w:hAnsi="Times New Roman" w:cs="Times New Roman"/>
          <w:sz w:val="24"/>
          <w:szCs w:val="24"/>
        </w:rPr>
        <w:t xml:space="preserve">The APT coordinator plans to hold the </w:t>
      </w:r>
      <w:r w:rsidR="00AE39B0">
        <w:rPr>
          <w:rFonts w:ascii="Times New Roman" w:hAnsi="Times New Roman" w:cs="Times New Roman"/>
          <w:sz w:val="24"/>
          <w:szCs w:val="24"/>
        </w:rPr>
        <w:t>APT coordination meeting on agenda item 1.13</w:t>
      </w:r>
      <w:r>
        <w:rPr>
          <w:rFonts w:ascii="Times New Roman" w:hAnsi="Times New Roman" w:cs="Times New Roman"/>
          <w:sz w:val="24"/>
          <w:szCs w:val="24"/>
        </w:rPr>
        <w:t xml:space="preserve"> </w:t>
      </w:r>
      <w:r w:rsidR="00BC4E02">
        <w:rPr>
          <w:rFonts w:ascii="Times New Roman" w:hAnsi="Times New Roman" w:cs="Times New Roman"/>
          <w:sz w:val="24"/>
          <w:szCs w:val="24"/>
        </w:rPr>
        <w:t>from 8:00 tomorrow, depending on the progress of WP 4A today</w:t>
      </w:r>
      <w:r>
        <w:rPr>
          <w:rFonts w:ascii="Times New Roman" w:hAnsi="Times New Roman" w:cs="Times New Roman"/>
          <w:sz w:val="24"/>
          <w:szCs w:val="24"/>
        </w:rPr>
        <w:t>.</w:t>
      </w:r>
    </w:p>
    <w:p w:rsidR="00C82B13" w:rsidRDefault="00C82B13" w:rsidP="00B541A5">
      <w:pPr>
        <w:wordWrap/>
        <w:overflowPunct w:val="0"/>
        <w:rPr>
          <w:rFonts w:ascii="Times New Roman" w:hAnsi="Times New Roman" w:cs="Times New Roman"/>
          <w:sz w:val="24"/>
          <w:szCs w:val="24"/>
        </w:rPr>
      </w:pPr>
      <w:r w:rsidRPr="00C82B13">
        <w:rPr>
          <w:rFonts w:ascii="Times New Roman" w:hAnsi="Times New Roman" w:cs="Times New Roman"/>
          <w:i/>
          <w:sz w:val="24"/>
          <w:szCs w:val="24"/>
        </w:rPr>
        <w:t xml:space="preserve">Note: Coordinators </w:t>
      </w:r>
      <w:r w:rsidR="009E27EC">
        <w:rPr>
          <w:rFonts w:ascii="Times New Roman" w:hAnsi="Times New Roman" w:cs="Times New Roman"/>
          <w:i/>
          <w:sz w:val="24"/>
          <w:szCs w:val="24"/>
        </w:rPr>
        <w:t>are</w:t>
      </w:r>
      <w:r w:rsidRPr="00C82B13">
        <w:rPr>
          <w:rFonts w:ascii="Times New Roman" w:hAnsi="Times New Roman" w:cs="Times New Roman"/>
          <w:i/>
          <w:sz w:val="24"/>
          <w:szCs w:val="24"/>
        </w:rPr>
        <w:t xml:space="preserve"> encouraged to conduct informal consultation with interested APT Members on the issues/topics </w:t>
      </w:r>
      <w:r>
        <w:rPr>
          <w:rFonts w:ascii="Times New Roman" w:hAnsi="Times New Roman" w:cs="Times New Roman"/>
          <w:i/>
          <w:sz w:val="24"/>
          <w:szCs w:val="24"/>
        </w:rPr>
        <w:t>under no.</w:t>
      </w:r>
      <w:r w:rsidRPr="00C82B13">
        <w:rPr>
          <w:rFonts w:ascii="Times New Roman" w:hAnsi="Times New Roman" w:cs="Times New Roman"/>
          <w:i/>
          <w:sz w:val="24"/>
          <w:szCs w:val="24"/>
        </w:rPr>
        <w:t xml:space="preserve"> 3 and inform the outcomes of consultation to the Coordination Meeting</w:t>
      </w:r>
      <w:r w:rsidR="003346ED">
        <w:rPr>
          <w:rFonts w:ascii="Times New Roman" w:hAnsi="Times New Roman" w:cs="Times New Roman"/>
          <w:sz w:val="24"/>
          <w:szCs w:val="24"/>
        </w:rPr>
        <w:t>.</w:t>
      </w:r>
      <w:r w:rsidR="003346ED">
        <w:rPr>
          <w:rFonts w:ascii="Times New Roman" w:hAnsi="Times New Roman" w:cs="Times New Roman"/>
          <w:i/>
          <w:iCs/>
          <w:sz w:val="24"/>
          <w:szCs w:val="24"/>
        </w:rPr>
        <w:t xml:space="preserve"> Coordinators can also organize coordination meetings on the respective agenda items whenever necessary.   </w:t>
      </w:r>
      <w:r>
        <w:rPr>
          <w:rFonts w:ascii="Times New Roman" w:hAnsi="Times New Roman" w:cs="Times New Roman"/>
          <w:sz w:val="24"/>
          <w:szCs w:val="24"/>
        </w:rPr>
        <w:t xml:space="preserve">  </w:t>
      </w:r>
    </w:p>
    <w:p w:rsidR="006651B8" w:rsidRDefault="006651B8" w:rsidP="00B541A5">
      <w:pPr>
        <w:widowControl/>
        <w:wordWrap/>
        <w:overflowPunct w:val="0"/>
        <w:autoSpaceDE/>
        <w:autoSpaceDN/>
        <w:rPr>
          <w:rFonts w:ascii="Times New Roman" w:hAnsi="Times New Roman" w:cs="Times New Roman"/>
          <w:sz w:val="24"/>
          <w:szCs w:val="24"/>
        </w:rPr>
      </w:pPr>
      <w:r>
        <w:rPr>
          <w:rFonts w:ascii="Times New Roman" w:hAnsi="Times New Roman" w:cs="Times New Roman"/>
          <w:sz w:val="24"/>
          <w:szCs w:val="24"/>
        </w:rPr>
        <w:br w:type="page"/>
      </w:r>
    </w:p>
    <w:p w:rsidR="006651B8" w:rsidRDefault="006651B8" w:rsidP="00B541A5">
      <w:pPr>
        <w:wordWrap/>
        <w:overflowPunct w:val="0"/>
        <w:jc w:val="center"/>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lastRenderedPageBreak/>
        <w:t>Annex</w:t>
      </w:r>
    </w:p>
    <w:p w:rsidR="00E77E32" w:rsidRDefault="00E77E32" w:rsidP="00E77E32">
      <w:pPr>
        <w:pStyle w:val="a3"/>
        <w:widowControl/>
        <w:numPr>
          <w:ilvl w:val="0"/>
          <w:numId w:val="3"/>
        </w:numPr>
        <w:wordWrap/>
        <w:autoSpaceDE/>
        <w:autoSpaceDN/>
        <w:spacing w:after="0" w:line="240" w:lineRule="auto"/>
        <w:ind w:leftChars="0"/>
        <w:contextualSpacing/>
        <w:jc w:val="left"/>
        <w:rPr>
          <w:rFonts w:ascii="Times New Roman" w:hAnsi="Times New Roman" w:cs="Times New Roman"/>
        </w:rPr>
      </w:pPr>
      <w:r>
        <w:rPr>
          <w:rFonts w:ascii="Times New Roman" w:hAnsi="Times New Roman" w:cs="Times New Roman"/>
        </w:rPr>
        <w:t xml:space="preserve">Single value applied to IMT BS worldwide: XX dB(W/200MHz) </w:t>
      </w:r>
    </w:p>
    <w:p w:rsidR="00E77E32" w:rsidRDefault="00E77E32" w:rsidP="00E77E32">
      <w:pPr>
        <w:rPr>
          <w:rFonts w:ascii="Times New Roman" w:hAnsi="Times New Roman" w:cs="Times New Roman"/>
        </w:rPr>
      </w:pPr>
    </w:p>
    <w:p w:rsidR="00E77E32" w:rsidRDefault="00E77E32" w:rsidP="00E77E32">
      <w:pPr>
        <w:pStyle w:val="a3"/>
        <w:widowControl/>
        <w:numPr>
          <w:ilvl w:val="0"/>
          <w:numId w:val="3"/>
        </w:numPr>
        <w:wordWrap/>
        <w:autoSpaceDE/>
        <w:autoSpaceDN/>
        <w:spacing w:after="0" w:line="240" w:lineRule="auto"/>
        <w:ind w:leftChars="0"/>
        <w:contextualSpacing/>
        <w:jc w:val="left"/>
        <w:rPr>
          <w:rFonts w:ascii="Times New Roman" w:hAnsi="Times New Roman" w:cs="Times New Roman"/>
        </w:rPr>
      </w:pPr>
      <w:r>
        <w:rPr>
          <w:rFonts w:ascii="Times New Roman" w:hAnsi="Times New Roman" w:cs="Times New Roman"/>
        </w:rPr>
        <w:t>2 step approach with 2 options</w:t>
      </w:r>
    </w:p>
    <w:tbl>
      <w:tblPr>
        <w:tblStyle w:val="a9"/>
        <w:tblW w:w="0" w:type="auto"/>
        <w:jc w:val="center"/>
        <w:tblLook w:val="04A0" w:firstRow="1" w:lastRow="0" w:firstColumn="1" w:lastColumn="0" w:noHBand="0" w:noVBand="1"/>
      </w:tblPr>
      <w:tblGrid>
        <w:gridCol w:w="2809"/>
        <w:gridCol w:w="1869"/>
      </w:tblGrid>
      <w:tr w:rsidR="00E77E32" w:rsidTr="001F7A9C">
        <w:trPr>
          <w:jc w:val="center"/>
        </w:trPr>
        <w:tc>
          <w:tcPr>
            <w:tcW w:w="2809" w:type="dxa"/>
          </w:tcPr>
          <w:p w:rsidR="00E77E32" w:rsidRDefault="00E77E32" w:rsidP="001F7A9C">
            <w:pPr>
              <w:jc w:val="center"/>
              <w:rPr>
                <w:rFonts w:ascii="Times New Roman" w:hAnsi="Times New Roman"/>
              </w:rPr>
            </w:pPr>
            <w:r>
              <w:rPr>
                <w:rFonts w:ascii="Times New Roman" w:hAnsi="Times New Roman"/>
              </w:rPr>
              <w:t>YY dB(W/200 MHz)</w:t>
            </w:r>
          </w:p>
        </w:tc>
        <w:tc>
          <w:tcPr>
            <w:tcW w:w="1869" w:type="dxa"/>
            <w:vMerge w:val="restart"/>
            <w:vAlign w:val="center"/>
          </w:tcPr>
          <w:p w:rsidR="00E77E32" w:rsidRDefault="00E77E32" w:rsidP="001F7A9C">
            <w:pPr>
              <w:jc w:val="center"/>
              <w:rPr>
                <w:rFonts w:ascii="Times New Roman" w:hAnsi="Times New Roman"/>
              </w:rPr>
            </w:pPr>
            <w:r>
              <w:rPr>
                <w:rFonts w:ascii="Times New Roman" w:hAnsi="Times New Roman"/>
              </w:rPr>
              <w:t>T (years)</w:t>
            </w:r>
          </w:p>
        </w:tc>
      </w:tr>
      <w:tr w:rsidR="00E77E32" w:rsidTr="001F7A9C">
        <w:trPr>
          <w:jc w:val="center"/>
        </w:trPr>
        <w:tc>
          <w:tcPr>
            <w:tcW w:w="2809" w:type="dxa"/>
          </w:tcPr>
          <w:p w:rsidR="00E77E32" w:rsidRDefault="00E77E32" w:rsidP="001F7A9C">
            <w:pPr>
              <w:jc w:val="center"/>
              <w:rPr>
                <w:rFonts w:ascii="Times New Roman" w:hAnsi="Times New Roman"/>
              </w:rPr>
            </w:pPr>
            <w:r>
              <w:rPr>
                <w:rFonts w:ascii="Times New Roman" w:hAnsi="Times New Roman"/>
              </w:rPr>
              <w:t>ZZ dB(W/200 MHz)</w:t>
            </w:r>
          </w:p>
        </w:tc>
        <w:tc>
          <w:tcPr>
            <w:tcW w:w="1869" w:type="dxa"/>
            <w:vMerge/>
          </w:tcPr>
          <w:p w:rsidR="00E77E32" w:rsidRDefault="00E77E32" w:rsidP="001F7A9C">
            <w:pPr>
              <w:jc w:val="center"/>
              <w:rPr>
                <w:rFonts w:ascii="Times New Roman" w:hAnsi="Times New Roman"/>
              </w:rPr>
            </w:pPr>
          </w:p>
        </w:tc>
      </w:tr>
    </w:tbl>
    <w:p w:rsidR="00E77E32" w:rsidRDefault="00E77E32" w:rsidP="00E77E32">
      <w:pPr>
        <w:jc w:val="center"/>
        <w:rPr>
          <w:rFonts w:ascii="Times New Roman" w:hAnsi="Times New Roman" w:cs="Times New Roman"/>
        </w:rPr>
      </w:pPr>
    </w:p>
    <w:tbl>
      <w:tblPr>
        <w:tblStyle w:val="a9"/>
        <w:tblW w:w="0" w:type="auto"/>
        <w:jc w:val="center"/>
        <w:tblLook w:val="04A0" w:firstRow="1" w:lastRow="0" w:firstColumn="1" w:lastColumn="0" w:noHBand="0" w:noVBand="1"/>
      </w:tblPr>
      <w:tblGrid>
        <w:gridCol w:w="6794"/>
      </w:tblGrid>
      <w:tr w:rsidR="00E77E32" w:rsidTr="001F7A9C">
        <w:trPr>
          <w:jc w:val="center"/>
        </w:trPr>
        <w:tc>
          <w:tcPr>
            <w:tcW w:w="6794" w:type="dxa"/>
          </w:tcPr>
          <w:p w:rsidR="00E77E32" w:rsidRDefault="00E77E32" w:rsidP="001F7A9C">
            <w:pPr>
              <w:jc w:val="center"/>
              <w:rPr>
                <w:rFonts w:ascii="Times New Roman" w:hAnsi="Times New Roman"/>
              </w:rPr>
            </w:pPr>
            <w:r>
              <w:rPr>
                <w:rFonts w:ascii="Times New Roman" w:hAnsi="Times New Roman"/>
              </w:rPr>
              <w:t>Table 1-1: YY dB(W/200 MHz)</w:t>
            </w:r>
          </w:p>
        </w:tc>
      </w:tr>
      <w:tr w:rsidR="00E77E32" w:rsidTr="001F7A9C">
        <w:trPr>
          <w:jc w:val="center"/>
        </w:trPr>
        <w:tc>
          <w:tcPr>
            <w:tcW w:w="6794" w:type="dxa"/>
          </w:tcPr>
          <w:p w:rsidR="00E77E32" w:rsidRDefault="00E77E32" w:rsidP="001F7A9C">
            <w:pPr>
              <w:jc w:val="center"/>
              <w:rPr>
                <w:rFonts w:ascii="Times New Roman" w:hAnsi="Times New Roman"/>
              </w:rPr>
            </w:pPr>
            <w:r>
              <w:rPr>
                <w:rFonts w:ascii="Times New Roman" w:hAnsi="Times New Roman"/>
              </w:rPr>
              <w:t>Table 1-2: ZZ dB(W/200 MHz)</w:t>
            </w:r>
          </w:p>
        </w:tc>
      </w:tr>
      <w:tr w:rsidR="00E77E32" w:rsidTr="001F7A9C">
        <w:trPr>
          <w:jc w:val="center"/>
        </w:trPr>
        <w:tc>
          <w:tcPr>
            <w:tcW w:w="6794" w:type="dxa"/>
          </w:tcPr>
          <w:p w:rsidR="00E77E32" w:rsidRDefault="00E77E32" w:rsidP="001F7A9C">
            <w:pPr>
              <w:jc w:val="center"/>
              <w:rPr>
                <w:rFonts w:ascii="Times New Roman" w:hAnsi="Times New Roman"/>
              </w:rPr>
            </w:pPr>
            <w:r>
              <w:rPr>
                <w:rFonts w:ascii="Times New Roman" w:hAnsi="Times New Roman"/>
              </w:rPr>
              <w:t>ZZ becomes mandatory for stations implemented after T years</w:t>
            </w:r>
          </w:p>
        </w:tc>
      </w:tr>
    </w:tbl>
    <w:p w:rsidR="00E77E32" w:rsidRDefault="00E77E32" w:rsidP="00E77E32">
      <w:pPr>
        <w:jc w:val="center"/>
        <w:rPr>
          <w:rFonts w:ascii="Times New Roman" w:hAnsi="Times New Roman" w:cs="Times New Roman"/>
        </w:rPr>
      </w:pPr>
    </w:p>
    <w:tbl>
      <w:tblPr>
        <w:tblStyle w:val="a9"/>
        <w:tblW w:w="0" w:type="auto"/>
        <w:jc w:val="center"/>
        <w:tblLook w:val="04A0" w:firstRow="1" w:lastRow="0" w:firstColumn="1" w:lastColumn="0" w:noHBand="0" w:noVBand="1"/>
      </w:tblPr>
      <w:tblGrid>
        <w:gridCol w:w="829"/>
        <w:gridCol w:w="829"/>
        <w:gridCol w:w="829"/>
        <w:gridCol w:w="829"/>
      </w:tblGrid>
      <w:tr w:rsidR="00E77E32" w:rsidTr="001F7A9C">
        <w:trPr>
          <w:jc w:val="center"/>
        </w:trPr>
        <w:tc>
          <w:tcPr>
            <w:tcW w:w="829" w:type="dxa"/>
          </w:tcPr>
          <w:p w:rsidR="00E77E32" w:rsidRDefault="00E77E32" w:rsidP="001F7A9C">
            <w:pPr>
              <w:jc w:val="center"/>
              <w:rPr>
                <w:rFonts w:ascii="Times New Roman" w:hAnsi="Times New Roman"/>
              </w:rPr>
            </w:pPr>
            <w:r>
              <w:rPr>
                <w:rFonts w:ascii="Times New Roman" w:hAnsi="Times New Roman"/>
              </w:rPr>
              <w:t xml:space="preserve">YY </w:t>
            </w:r>
          </w:p>
        </w:tc>
        <w:tc>
          <w:tcPr>
            <w:tcW w:w="829" w:type="dxa"/>
          </w:tcPr>
          <w:p w:rsidR="00E77E32" w:rsidRDefault="00E77E32" w:rsidP="001F7A9C">
            <w:pPr>
              <w:jc w:val="center"/>
              <w:rPr>
                <w:rFonts w:ascii="Times New Roman" w:hAnsi="Times New Roman"/>
              </w:rPr>
            </w:pPr>
            <w:r>
              <w:rPr>
                <w:rFonts w:ascii="Times New Roman" w:hAnsi="Times New Roman"/>
              </w:rPr>
              <w:t>-37</w:t>
            </w:r>
          </w:p>
        </w:tc>
        <w:tc>
          <w:tcPr>
            <w:tcW w:w="829" w:type="dxa"/>
          </w:tcPr>
          <w:p w:rsidR="00E77E32" w:rsidRDefault="00E77E32" w:rsidP="001F7A9C">
            <w:pPr>
              <w:jc w:val="center"/>
              <w:rPr>
                <w:rFonts w:ascii="Times New Roman" w:hAnsi="Times New Roman"/>
              </w:rPr>
            </w:pPr>
          </w:p>
        </w:tc>
        <w:tc>
          <w:tcPr>
            <w:tcW w:w="829" w:type="dxa"/>
          </w:tcPr>
          <w:p w:rsidR="00E77E32" w:rsidRDefault="00E77E32" w:rsidP="001F7A9C">
            <w:pPr>
              <w:jc w:val="center"/>
              <w:rPr>
                <w:rFonts w:ascii="Times New Roman" w:hAnsi="Times New Roman"/>
              </w:rPr>
            </w:pPr>
          </w:p>
        </w:tc>
      </w:tr>
      <w:tr w:rsidR="00E77E32" w:rsidTr="001F7A9C">
        <w:trPr>
          <w:jc w:val="center"/>
        </w:trPr>
        <w:tc>
          <w:tcPr>
            <w:tcW w:w="829" w:type="dxa"/>
          </w:tcPr>
          <w:p w:rsidR="00E77E32" w:rsidRDefault="00E77E32" w:rsidP="001F7A9C">
            <w:pPr>
              <w:jc w:val="center"/>
              <w:rPr>
                <w:rFonts w:ascii="Times New Roman" w:hAnsi="Times New Roman"/>
              </w:rPr>
            </w:pPr>
            <w:r>
              <w:rPr>
                <w:rFonts w:ascii="Times New Roman" w:hAnsi="Times New Roman"/>
              </w:rPr>
              <w:t>ZZ</w:t>
            </w:r>
          </w:p>
        </w:tc>
        <w:tc>
          <w:tcPr>
            <w:tcW w:w="829" w:type="dxa"/>
          </w:tcPr>
          <w:p w:rsidR="00E77E32" w:rsidRDefault="00E77E32" w:rsidP="001F7A9C">
            <w:pPr>
              <w:jc w:val="center"/>
              <w:rPr>
                <w:rFonts w:ascii="Times New Roman" w:hAnsi="Times New Roman"/>
              </w:rPr>
            </w:pPr>
            <w:r>
              <w:rPr>
                <w:rFonts w:ascii="Times New Roman" w:hAnsi="Times New Roman"/>
              </w:rPr>
              <w:t>-42</w:t>
            </w:r>
          </w:p>
        </w:tc>
        <w:tc>
          <w:tcPr>
            <w:tcW w:w="829" w:type="dxa"/>
          </w:tcPr>
          <w:p w:rsidR="00E77E32" w:rsidRDefault="00E77E32" w:rsidP="001F7A9C">
            <w:pPr>
              <w:jc w:val="center"/>
              <w:rPr>
                <w:rFonts w:ascii="Times New Roman" w:hAnsi="Times New Roman"/>
              </w:rPr>
            </w:pPr>
          </w:p>
        </w:tc>
        <w:tc>
          <w:tcPr>
            <w:tcW w:w="829" w:type="dxa"/>
          </w:tcPr>
          <w:p w:rsidR="00E77E32" w:rsidRDefault="00E77E32" w:rsidP="001F7A9C">
            <w:pPr>
              <w:jc w:val="center"/>
              <w:rPr>
                <w:rFonts w:ascii="Times New Roman" w:hAnsi="Times New Roman"/>
              </w:rPr>
            </w:pPr>
          </w:p>
        </w:tc>
      </w:tr>
      <w:tr w:rsidR="00E77E32" w:rsidTr="001F7A9C">
        <w:trPr>
          <w:jc w:val="center"/>
        </w:trPr>
        <w:tc>
          <w:tcPr>
            <w:tcW w:w="829" w:type="dxa"/>
          </w:tcPr>
          <w:p w:rsidR="00E77E32" w:rsidRDefault="00E77E32" w:rsidP="001F7A9C">
            <w:pPr>
              <w:jc w:val="center"/>
              <w:rPr>
                <w:rFonts w:ascii="Times New Roman" w:hAnsi="Times New Roman"/>
              </w:rPr>
            </w:pPr>
            <w:r>
              <w:rPr>
                <w:rFonts w:ascii="Times New Roman" w:hAnsi="Times New Roman"/>
              </w:rPr>
              <w:t>T</w:t>
            </w:r>
          </w:p>
        </w:tc>
        <w:tc>
          <w:tcPr>
            <w:tcW w:w="829" w:type="dxa"/>
          </w:tcPr>
          <w:p w:rsidR="00E77E32" w:rsidRDefault="00E77E32" w:rsidP="001F7A9C">
            <w:pPr>
              <w:jc w:val="center"/>
              <w:rPr>
                <w:rFonts w:ascii="Times New Roman" w:hAnsi="Times New Roman"/>
              </w:rPr>
            </w:pPr>
            <w:r>
              <w:rPr>
                <w:rFonts w:ascii="Times New Roman" w:hAnsi="Times New Roman"/>
              </w:rPr>
              <w:t>5</w:t>
            </w:r>
          </w:p>
        </w:tc>
        <w:tc>
          <w:tcPr>
            <w:tcW w:w="829" w:type="dxa"/>
          </w:tcPr>
          <w:p w:rsidR="00E77E32" w:rsidRDefault="00E77E32" w:rsidP="001F7A9C">
            <w:pPr>
              <w:jc w:val="center"/>
              <w:rPr>
                <w:rFonts w:ascii="Times New Roman" w:hAnsi="Times New Roman"/>
              </w:rPr>
            </w:pPr>
          </w:p>
        </w:tc>
        <w:tc>
          <w:tcPr>
            <w:tcW w:w="829" w:type="dxa"/>
          </w:tcPr>
          <w:p w:rsidR="00E77E32" w:rsidRDefault="00E77E32" w:rsidP="001F7A9C">
            <w:pPr>
              <w:jc w:val="center"/>
              <w:rPr>
                <w:rFonts w:ascii="Times New Roman" w:hAnsi="Times New Roman"/>
              </w:rPr>
            </w:pPr>
          </w:p>
        </w:tc>
      </w:tr>
    </w:tbl>
    <w:p w:rsidR="00E77E32" w:rsidRDefault="00E77E32" w:rsidP="00E77E32">
      <w:pPr>
        <w:rPr>
          <w:rFonts w:ascii="Times New Roman" w:hAnsi="Times New Roman" w:cs="Times New Roman"/>
        </w:rPr>
      </w:pPr>
    </w:p>
    <w:p w:rsidR="00E77E32" w:rsidRDefault="00E77E32" w:rsidP="00E77E32">
      <w:pPr>
        <w:pStyle w:val="a3"/>
        <w:widowControl/>
        <w:numPr>
          <w:ilvl w:val="0"/>
          <w:numId w:val="3"/>
        </w:numPr>
        <w:wordWrap/>
        <w:autoSpaceDE/>
        <w:autoSpaceDN/>
        <w:spacing w:after="0" w:line="240" w:lineRule="auto"/>
        <w:ind w:leftChars="0"/>
        <w:contextualSpacing/>
        <w:jc w:val="left"/>
        <w:rPr>
          <w:rFonts w:ascii="Times New Roman" w:hAnsi="Times New Roman" w:cs="Times New Roman"/>
        </w:rPr>
      </w:pPr>
      <w:r>
        <w:rPr>
          <w:rFonts w:ascii="Times New Roman" w:hAnsi="Times New Roman" w:cs="Times New Roman"/>
        </w:rPr>
        <w:t>2 bands approach</w:t>
      </w:r>
    </w:p>
    <w:p w:rsidR="00E77E32" w:rsidRDefault="00E77E32" w:rsidP="00E77E32">
      <w:pPr>
        <w:pStyle w:val="a3"/>
        <w:widowControl/>
        <w:numPr>
          <w:ilvl w:val="0"/>
          <w:numId w:val="4"/>
        </w:numPr>
        <w:wordWrap/>
        <w:autoSpaceDE/>
        <w:autoSpaceDN/>
        <w:spacing w:after="0" w:line="240" w:lineRule="auto"/>
        <w:ind w:leftChars="0"/>
        <w:contextualSpacing/>
        <w:jc w:val="left"/>
        <w:rPr>
          <w:rFonts w:ascii="Times New Roman" w:hAnsi="Times New Roman" w:cs="Times New Roman"/>
        </w:rPr>
      </w:pPr>
      <w:r>
        <w:rPr>
          <w:rFonts w:ascii="Times New Roman" w:hAnsi="Times New Roman" w:cs="Times New Roman"/>
        </w:rPr>
        <w:t>25.25-27.5 GHz</w:t>
      </w:r>
    </w:p>
    <w:p w:rsidR="00E77E32" w:rsidRDefault="00E77E32" w:rsidP="00E77E32">
      <w:pPr>
        <w:pStyle w:val="a3"/>
        <w:widowControl/>
        <w:numPr>
          <w:ilvl w:val="1"/>
          <w:numId w:val="4"/>
        </w:numPr>
        <w:wordWrap/>
        <w:autoSpaceDE/>
        <w:autoSpaceDN/>
        <w:spacing w:after="0" w:line="240" w:lineRule="auto"/>
        <w:ind w:leftChars="0"/>
        <w:contextualSpacing/>
        <w:jc w:val="left"/>
        <w:rPr>
          <w:rFonts w:ascii="Times New Roman" w:hAnsi="Times New Roman" w:cs="Times New Roman"/>
        </w:rPr>
      </w:pPr>
      <w:r>
        <w:rPr>
          <w:rFonts w:ascii="Times New Roman" w:hAnsi="Times New Roman" w:cs="Times New Roman"/>
        </w:rPr>
        <w:t>Identify to IMT with an UWE limit of [AA]</w:t>
      </w:r>
    </w:p>
    <w:p w:rsidR="00E77E32" w:rsidRDefault="00E77E32" w:rsidP="00E77E32">
      <w:pPr>
        <w:pStyle w:val="a3"/>
        <w:widowControl/>
        <w:numPr>
          <w:ilvl w:val="0"/>
          <w:numId w:val="4"/>
        </w:numPr>
        <w:wordWrap/>
        <w:autoSpaceDE/>
        <w:autoSpaceDN/>
        <w:spacing w:after="0" w:line="240" w:lineRule="auto"/>
        <w:ind w:leftChars="0"/>
        <w:contextualSpacing/>
        <w:jc w:val="left"/>
        <w:rPr>
          <w:rFonts w:ascii="Times New Roman" w:hAnsi="Times New Roman" w:cs="Times New Roman"/>
        </w:rPr>
      </w:pPr>
      <w:r>
        <w:rPr>
          <w:rFonts w:ascii="Times New Roman" w:hAnsi="Times New Roman" w:cs="Times New Roman"/>
        </w:rPr>
        <w:t>24.25-25.25 GHz</w:t>
      </w:r>
    </w:p>
    <w:p w:rsidR="00E77E32" w:rsidRDefault="00E77E32" w:rsidP="00E77E32">
      <w:pPr>
        <w:pStyle w:val="a3"/>
        <w:widowControl/>
        <w:numPr>
          <w:ilvl w:val="1"/>
          <w:numId w:val="4"/>
        </w:numPr>
        <w:wordWrap/>
        <w:autoSpaceDE/>
        <w:autoSpaceDN/>
        <w:spacing w:after="0" w:line="240" w:lineRule="auto"/>
        <w:ind w:leftChars="0"/>
        <w:contextualSpacing/>
        <w:jc w:val="left"/>
        <w:rPr>
          <w:rFonts w:ascii="Times New Roman" w:hAnsi="Times New Roman" w:cs="Times New Roman"/>
        </w:rPr>
      </w:pPr>
      <w:r>
        <w:rPr>
          <w:rFonts w:ascii="Times New Roman" w:hAnsi="Times New Roman" w:cs="Times New Roman"/>
        </w:rPr>
        <w:t xml:space="preserve">Allocate to mobile. </w:t>
      </w:r>
    </w:p>
    <w:p w:rsidR="00E77E32" w:rsidRDefault="00E77E32" w:rsidP="00E77E32">
      <w:pPr>
        <w:pStyle w:val="a3"/>
        <w:widowControl/>
        <w:numPr>
          <w:ilvl w:val="1"/>
          <w:numId w:val="4"/>
        </w:numPr>
        <w:wordWrap/>
        <w:autoSpaceDE/>
        <w:autoSpaceDN/>
        <w:spacing w:after="0" w:line="240" w:lineRule="auto"/>
        <w:ind w:leftChars="0"/>
        <w:contextualSpacing/>
        <w:jc w:val="left"/>
        <w:rPr>
          <w:rFonts w:ascii="Times New Roman" w:hAnsi="Times New Roman" w:cs="Times New Roman"/>
        </w:rPr>
      </w:pPr>
      <w:r>
        <w:rPr>
          <w:rFonts w:ascii="Times New Roman" w:hAnsi="Times New Roman" w:cs="Times New Roman"/>
        </w:rPr>
        <w:t>Provisionally apply UWE limit of [BB]</w:t>
      </w:r>
    </w:p>
    <w:p w:rsidR="00E77E32" w:rsidRDefault="00E77E32" w:rsidP="00E77E32">
      <w:pPr>
        <w:pStyle w:val="a3"/>
        <w:widowControl/>
        <w:numPr>
          <w:ilvl w:val="1"/>
          <w:numId w:val="4"/>
        </w:numPr>
        <w:wordWrap/>
        <w:autoSpaceDE/>
        <w:autoSpaceDN/>
        <w:spacing w:after="0" w:line="240" w:lineRule="auto"/>
        <w:ind w:leftChars="0"/>
        <w:contextualSpacing/>
        <w:jc w:val="left"/>
        <w:rPr>
          <w:rFonts w:ascii="Times New Roman" w:hAnsi="Times New Roman" w:cs="Times New Roman"/>
        </w:rPr>
      </w:pPr>
      <w:r>
        <w:rPr>
          <w:rFonts w:ascii="Times New Roman" w:hAnsi="Times New Roman" w:cs="Times New Roman"/>
        </w:rPr>
        <w:t>Identify to IMT after [later date/future WRC]</w:t>
      </w:r>
    </w:p>
    <w:p w:rsidR="00E77E32" w:rsidRDefault="00E77E32" w:rsidP="00E77E32">
      <w:pPr>
        <w:pStyle w:val="a3"/>
        <w:widowControl/>
        <w:numPr>
          <w:ilvl w:val="1"/>
          <w:numId w:val="4"/>
        </w:numPr>
        <w:wordWrap/>
        <w:autoSpaceDE/>
        <w:autoSpaceDN/>
        <w:spacing w:after="0" w:line="240" w:lineRule="auto"/>
        <w:ind w:leftChars="0"/>
        <w:contextualSpacing/>
        <w:jc w:val="left"/>
        <w:rPr>
          <w:rFonts w:ascii="Times New Roman" w:hAnsi="Times New Roman" w:cs="Times New Roman"/>
        </w:rPr>
      </w:pPr>
      <w:r>
        <w:rPr>
          <w:rFonts w:ascii="Times New Roman" w:hAnsi="Times New Roman" w:cs="Times New Roman"/>
        </w:rPr>
        <w:t>Future WRC at a later date to review UWE limit of BB]</w:t>
      </w:r>
    </w:p>
    <w:p w:rsidR="00E77E32" w:rsidRDefault="00E77E32" w:rsidP="00E77E32">
      <w:pPr>
        <w:jc w:val="center"/>
        <w:rPr>
          <w:rFonts w:ascii="Times New Roman" w:hAnsi="Times New Roman" w:cs="Times New Roman"/>
        </w:rPr>
      </w:pPr>
      <w:bookmarkStart w:id="0" w:name="_GoBack"/>
      <w:bookmarkEnd w:id="0"/>
    </w:p>
    <w:tbl>
      <w:tblPr>
        <w:tblStyle w:val="a9"/>
        <w:tblW w:w="0" w:type="auto"/>
        <w:jc w:val="center"/>
        <w:tblLook w:val="04A0" w:firstRow="1" w:lastRow="0" w:firstColumn="1" w:lastColumn="0" w:noHBand="0" w:noVBand="1"/>
      </w:tblPr>
      <w:tblGrid>
        <w:gridCol w:w="829"/>
        <w:gridCol w:w="1310"/>
        <w:gridCol w:w="829"/>
        <w:gridCol w:w="829"/>
      </w:tblGrid>
      <w:tr w:rsidR="00E77E32" w:rsidTr="001F7A9C">
        <w:trPr>
          <w:jc w:val="center"/>
        </w:trPr>
        <w:tc>
          <w:tcPr>
            <w:tcW w:w="829" w:type="dxa"/>
          </w:tcPr>
          <w:p w:rsidR="00E77E32" w:rsidRDefault="00E77E32" w:rsidP="001F7A9C">
            <w:pPr>
              <w:jc w:val="center"/>
              <w:rPr>
                <w:rFonts w:ascii="Times New Roman" w:hAnsi="Times New Roman"/>
              </w:rPr>
            </w:pPr>
            <w:r>
              <w:rPr>
                <w:rFonts w:ascii="Times New Roman" w:hAnsi="Times New Roman"/>
              </w:rPr>
              <w:t xml:space="preserve">AA </w:t>
            </w:r>
          </w:p>
        </w:tc>
        <w:tc>
          <w:tcPr>
            <w:tcW w:w="1310" w:type="dxa"/>
          </w:tcPr>
          <w:p w:rsidR="00E77E32" w:rsidRDefault="00E77E32" w:rsidP="001F7A9C">
            <w:pPr>
              <w:jc w:val="center"/>
              <w:rPr>
                <w:rFonts w:ascii="Times New Roman" w:hAnsi="Times New Roman"/>
              </w:rPr>
            </w:pPr>
            <w:r>
              <w:rPr>
                <w:rFonts w:ascii="Times New Roman" w:hAnsi="Times New Roman"/>
              </w:rPr>
              <w:t>-42 to -49</w:t>
            </w:r>
          </w:p>
        </w:tc>
        <w:tc>
          <w:tcPr>
            <w:tcW w:w="829" w:type="dxa"/>
          </w:tcPr>
          <w:p w:rsidR="00E77E32" w:rsidRDefault="00E77E32" w:rsidP="001F7A9C">
            <w:pPr>
              <w:jc w:val="center"/>
              <w:rPr>
                <w:rFonts w:ascii="Times New Roman" w:hAnsi="Times New Roman"/>
              </w:rPr>
            </w:pPr>
          </w:p>
        </w:tc>
        <w:tc>
          <w:tcPr>
            <w:tcW w:w="829" w:type="dxa"/>
          </w:tcPr>
          <w:p w:rsidR="00E77E32" w:rsidRDefault="00E77E32" w:rsidP="001F7A9C">
            <w:pPr>
              <w:jc w:val="center"/>
              <w:rPr>
                <w:rFonts w:ascii="Times New Roman" w:hAnsi="Times New Roman"/>
              </w:rPr>
            </w:pPr>
          </w:p>
        </w:tc>
      </w:tr>
      <w:tr w:rsidR="00E77E32" w:rsidTr="001F7A9C">
        <w:trPr>
          <w:jc w:val="center"/>
        </w:trPr>
        <w:tc>
          <w:tcPr>
            <w:tcW w:w="829" w:type="dxa"/>
          </w:tcPr>
          <w:p w:rsidR="00E77E32" w:rsidRDefault="00E77E32" w:rsidP="001F7A9C">
            <w:pPr>
              <w:jc w:val="center"/>
              <w:rPr>
                <w:rFonts w:ascii="Times New Roman" w:hAnsi="Times New Roman"/>
              </w:rPr>
            </w:pPr>
            <w:r>
              <w:rPr>
                <w:rFonts w:ascii="Times New Roman" w:hAnsi="Times New Roman"/>
              </w:rPr>
              <w:t>BB</w:t>
            </w:r>
          </w:p>
        </w:tc>
        <w:tc>
          <w:tcPr>
            <w:tcW w:w="1310" w:type="dxa"/>
          </w:tcPr>
          <w:p w:rsidR="00E77E32" w:rsidRDefault="00E77E32" w:rsidP="001F7A9C">
            <w:pPr>
              <w:jc w:val="center"/>
              <w:rPr>
                <w:rFonts w:ascii="Times New Roman" w:hAnsi="Times New Roman"/>
              </w:rPr>
            </w:pPr>
            <w:r>
              <w:rPr>
                <w:rFonts w:ascii="Times New Roman" w:hAnsi="Times New Roman"/>
              </w:rPr>
              <w:t>&gt;=-42</w:t>
            </w:r>
          </w:p>
        </w:tc>
        <w:tc>
          <w:tcPr>
            <w:tcW w:w="829" w:type="dxa"/>
          </w:tcPr>
          <w:p w:rsidR="00E77E32" w:rsidRDefault="00E77E32" w:rsidP="001F7A9C">
            <w:pPr>
              <w:jc w:val="center"/>
              <w:rPr>
                <w:rFonts w:ascii="Times New Roman" w:hAnsi="Times New Roman"/>
              </w:rPr>
            </w:pPr>
          </w:p>
        </w:tc>
        <w:tc>
          <w:tcPr>
            <w:tcW w:w="829" w:type="dxa"/>
          </w:tcPr>
          <w:p w:rsidR="00E77E32" w:rsidRDefault="00E77E32" w:rsidP="001F7A9C">
            <w:pPr>
              <w:jc w:val="center"/>
              <w:rPr>
                <w:rFonts w:ascii="Times New Roman" w:hAnsi="Times New Roman"/>
              </w:rPr>
            </w:pPr>
          </w:p>
        </w:tc>
      </w:tr>
    </w:tbl>
    <w:p w:rsidR="00E77E32" w:rsidRPr="007E2E18" w:rsidRDefault="00E77E32" w:rsidP="00E77E32">
      <w:pPr>
        <w:rPr>
          <w:rFonts w:ascii="Times New Roman" w:hAnsi="Times New Roman" w:cs="Times New Roman"/>
        </w:rPr>
      </w:pPr>
    </w:p>
    <w:p w:rsidR="00E77E32" w:rsidRDefault="00E77E32" w:rsidP="00E77E32">
      <w:pPr>
        <w:pStyle w:val="a3"/>
        <w:widowControl/>
        <w:numPr>
          <w:ilvl w:val="0"/>
          <w:numId w:val="3"/>
        </w:numPr>
        <w:wordWrap/>
        <w:autoSpaceDE/>
        <w:autoSpaceDN/>
        <w:spacing w:after="0" w:line="240" w:lineRule="auto"/>
        <w:ind w:leftChars="0"/>
        <w:contextualSpacing/>
        <w:jc w:val="left"/>
        <w:rPr>
          <w:rFonts w:ascii="Times New Roman" w:hAnsi="Times New Roman" w:cs="Times New Roman"/>
        </w:rPr>
      </w:pPr>
      <w:r w:rsidRPr="00141BC3">
        <w:rPr>
          <w:rFonts w:ascii="Times New Roman" w:hAnsi="Times New Roman" w:cs="Times New Roman"/>
        </w:rPr>
        <w:t xml:space="preserve">Agree on </w:t>
      </w:r>
      <w:r>
        <w:rPr>
          <w:rFonts w:ascii="Times New Roman" w:hAnsi="Times New Roman" w:cs="Times New Roman"/>
        </w:rPr>
        <w:t>less restrictive</w:t>
      </w:r>
      <w:r w:rsidRPr="00141BC3">
        <w:rPr>
          <w:rFonts w:ascii="Times New Roman" w:hAnsi="Times New Roman" w:cs="Times New Roman"/>
        </w:rPr>
        <w:t xml:space="preserve"> baseline OOBE limit </w:t>
      </w:r>
    </w:p>
    <w:p w:rsidR="00E77E32" w:rsidRDefault="00E77E32" w:rsidP="00E77E32">
      <w:pPr>
        <w:pStyle w:val="a3"/>
        <w:widowControl/>
        <w:numPr>
          <w:ilvl w:val="1"/>
          <w:numId w:val="3"/>
        </w:numPr>
        <w:wordWrap/>
        <w:autoSpaceDE/>
        <w:autoSpaceDN/>
        <w:spacing w:after="0" w:line="240" w:lineRule="auto"/>
        <w:ind w:leftChars="0"/>
        <w:contextualSpacing/>
        <w:jc w:val="left"/>
        <w:rPr>
          <w:rFonts w:ascii="Times New Roman" w:hAnsi="Times New Roman" w:cs="Times New Roman"/>
        </w:rPr>
      </w:pPr>
      <w:r w:rsidRPr="00141BC3">
        <w:rPr>
          <w:rFonts w:ascii="Times New Roman" w:hAnsi="Times New Roman" w:cs="Times New Roman"/>
        </w:rPr>
        <w:t>ADD note for possible additional mitigation techniques that </w:t>
      </w:r>
      <w:r>
        <w:rPr>
          <w:rFonts w:ascii="Times New Roman" w:hAnsi="Times New Roman" w:cs="Times New Roman"/>
        </w:rPr>
        <w:t>a</w:t>
      </w:r>
      <w:r w:rsidRPr="00141BC3">
        <w:rPr>
          <w:rFonts w:ascii="Times New Roman" w:hAnsi="Times New Roman" w:cs="Times New Roman"/>
        </w:rPr>
        <w:t>dministrations may consider (e.g. possible additional guardband above 24.25 GHz) </w:t>
      </w:r>
    </w:p>
    <w:p w:rsidR="00E77E32" w:rsidRDefault="00E77E32" w:rsidP="00E77E32">
      <w:pPr>
        <w:rPr>
          <w:rFonts w:ascii="Times New Roman" w:hAnsi="Times New Roman" w:cs="Times New Roman"/>
        </w:rPr>
      </w:pPr>
    </w:p>
    <w:p w:rsidR="00E77E32" w:rsidRDefault="00E77E32" w:rsidP="00E77E32">
      <w:pPr>
        <w:pStyle w:val="a3"/>
        <w:widowControl/>
        <w:numPr>
          <w:ilvl w:val="0"/>
          <w:numId w:val="3"/>
        </w:numPr>
        <w:wordWrap/>
        <w:autoSpaceDE/>
        <w:autoSpaceDN/>
        <w:spacing w:after="0" w:line="240" w:lineRule="auto"/>
        <w:ind w:leftChars="0"/>
        <w:contextualSpacing/>
        <w:jc w:val="left"/>
        <w:rPr>
          <w:rFonts w:ascii="Times New Roman" w:hAnsi="Times New Roman" w:cs="Times New Roman"/>
        </w:rPr>
      </w:pPr>
      <w:r>
        <w:rPr>
          <w:rFonts w:ascii="Times New Roman" w:hAnsi="Times New Roman" w:cs="Times New Roman"/>
        </w:rPr>
        <w:t>Mix</w:t>
      </w:r>
    </w:p>
    <w:p w:rsidR="00E77E32" w:rsidRDefault="00E77E32" w:rsidP="00E77E32">
      <w:pPr>
        <w:pStyle w:val="a3"/>
        <w:widowControl/>
        <w:numPr>
          <w:ilvl w:val="1"/>
          <w:numId w:val="3"/>
        </w:numPr>
        <w:wordWrap/>
        <w:autoSpaceDE/>
        <w:autoSpaceDN/>
        <w:spacing w:after="0" w:line="240" w:lineRule="auto"/>
        <w:ind w:leftChars="0"/>
        <w:contextualSpacing/>
        <w:jc w:val="left"/>
        <w:rPr>
          <w:rFonts w:ascii="Times New Roman" w:hAnsi="Times New Roman" w:cs="Times New Roman"/>
        </w:rPr>
      </w:pPr>
      <w:r w:rsidRPr="008B78C6">
        <w:rPr>
          <w:rFonts w:ascii="Times New Roman" w:hAnsi="Times New Roman" w:cs="Times New Roman"/>
        </w:rPr>
        <w:t>less stringent values in Table 1-1 in Resolution 750</w:t>
      </w:r>
    </w:p>
    <w:p w:rsidR="00E77E32" w:rsidRDefault="00E77E32" w:rsidP="00E77E32">
      <w:pPr>
        <w:pStyle w:val="a3"/>
        <w:widowControl/>
        <w:numPr>
          <w:ilvl w:val="1"/>
          <w:numId w:val="3"/>
        </w:numPr>
        <w:wordWrap/>
        <w:autoSpaceDE/>
        <w:autoSpaceDN/>
        <w:spacing w:after="0" w:line="240" w:lineRule="auto"/>
        <w:ind w:leftChars="0"/>
        <w:contextualSpacing/>
        <w:jc w:val="left"/>
        <w:rPr>
          <w:rFonts w:ascii="Times New Roman" w:hAnsi="Times New Roman" w:cs="Times New Roman"/>
        </w:rPr>
      </w:pPr>
      <w:r>
        <w:rPr>
          <w:rFonts w:ascii="Times New Roman" w:hAnsi="Times New Roman" w:cs="Times New Roman"/>
        </w:rPr>
        <w:t>m</w:t>
      </w:r>
      <w:r w:rsidRPr="008B78C6">
        <w:rPr>
          <w:rFonts w:ascii="Times New Roman" w:hAnsi="Times New Roman" w:cs="Times New Roman"/>
        </w:rPr>
        <w:t>ore stringent values in Table 1-2 in Resolution 750</w:t>
      </w:r>
    </w:p>
    <w:p w:rsidR="00E77E32" w:rsidRDefault="00E77E32" w:rsidP="00E77E32">
      <w:pPr>
        <w:pStyle w:val="a3"/>
        <w:widowControl/>
        <w:numPr>
          <w:ilvl w:val="1"/>
          <w:numId w:val="3"/>
        </w:numPr>
        <w:wordWrap/>
        <w:autoSpaceDE/>
        <w:autoSpaceDN/>
        <w:spacing w:after="0" w:line="240" w:lineRule="auto"/>
        <w:ind w:leftChars="0"/>
        <w:contextualSpacing/>
        <w:jc w:val="left"/>
        <w:rPr>
          <w:rFonts w:ascii="Times New Roman" w:hAnsi="Times New Roman" w:cs="Times New Roman"/>
        </w:rPr>
      </w:pPr>
      <w:r w:rsidRPr="008B78C6">
        <w:rPr>
          <w:rFonts w:ascii="Times New Roman" w:hAnsi="Times New Roman" w:cs="Times New Roman"/>
        </w:rPr>
        <w:t>resolves the protection of EESS (passive) in Resolution</w:t>
      </w:r>
      <w:r w:rsidRPr="00A55816">
        <w:rPr>
          <w:rFonts w:ascii="Times New Roman" w:hAnsi="Times New Roman" w:cs="Times New Roman"/>
        </w:rPr>
        <w:t xml:space="preserve"> IMT</w:t>
      </w:r>
    </w:p>
    <w:p w:rsidR="00E77E32" w:rsidRPr="004F0ABC" w:rsidRDefault="00E77E32" w:rsidP="00E77E32">
      <w:pPr>
        <w:pStyle w:val="a3"/>
        <w:widowControl/>
        <w:numPr>
          <w:ilvl w:val="1"/>
          <w:numId w:val="3"/>
        </w:numPr>
        <w:wordWrap/>
        <w:autoSpaceDE/>
        <w:autoSpaceDN/>
        <w:spacing w:after="0" w:line="240" w:lineRule="auto"/>
        <w:ind w:leftChars="0"/>
        <w:contextualSpacing/>
        <w:jc w:val="left"/>
        <w:rPr>
          <w:rFonts w:ascii="Times New Roman" w:hAnsi="Times New Roman" w:cs="Times New Roman"/>
        </w:rPr>
      </w:pPr>
      <w:r w:rsidRPr="004F0ABC">
        <w:rPr>
          <w:rFonts w:ascii="Times New Roman" w:hAnsi="Times New Roman" w:cs="Times New Roman"/>
        </w:rPr>
        <w:t>invites administrations to adopt a national</w:t>
      </w:r>
      <w:r>
        <w:rPr>
          <w:rFonts w:ascii="Times New Roman" w:hAnsi="Times New Roman" w:cs="Times New Roman"/>
        </w:rPr>
        <w:t>/regional</w:t>
      </w:r>
      <w:r w:rsidRPr="004F0ABC">
        <w:rPr>
          <w:rFonts w:ascii="Times New Roman" w:hAnsi="Times New Roman" w:cs="Times New Roman"/>
        </w:rPr>
        <w:t xml:space="preserve"> provision to protect EESS (passive) taking into account Resolution 750</w:t>
      </w:r>
    </w:p>
    <w:p w:rsidR="00E77E32" w:rsidRDefault="00E77E32" w:rsidP="00E77E32">
      <w:pPr>
        <w:pStyle w:val="a3"/>
        <w:widowControl/>
        <w:numPr>
          <w:ilvl w:val="1"/>
          <w:numId w:val="3"/>
        </w:numPr>
        <w:wordWrap/>
        <w:autoSpaceDE/>
        <w:autoSpaceDN/>
        <w:spacing w:after="0" w:line="240" w:lineRule="auto"/>
        <w:ind w:leftChars="0"/>
        <w:contextualSpacing/>
        <w:jc w:val="left"/>
        <w:rPr>
          <w:rFonts w:ascii="Times New Roman" w:hAnsi="Times New Roman" w:cs="Times New Roman"/>
        </w:rPr>
      </w:pPr>
      <w:r w:rsidRPr="008B78C6">
        <w:rPr>
          <w:rFonts w:ascii="Times New Roman" w:hAnsi="Times New Roman" w:cs="Times New Roman"/>
        </w:rPr>
        <w:t>invites ITU-R on characteristics of unwanted emissions of IMT stations (to assist administrations)</w:t>
      </w:r>
    </w:p>
    <w:p w:rsidR="00E77E32" w:rsidRDefault="00E77E32" w:rsidP="00E77E32">
      <w:pPr>
        <w:rPr>
          <w:rFonts w:ascii="Times New Roman" w:hAnsi="Times New Roman" w:cs="Times New Roman"/>
        </w:rPr>
      </w:pPr>
    </w:p>
    <w:p w:rsidR="00E77E32" w:rsidRDefault="00E77E32" w:rsidP="00E77E32">
      <w:pPr>
        <w:pStyle w:val="a3"/>
        <w:widowControl/>
        <w:numPr>
          <w:ilvl w:val="0"/>
          <w:numId w:val="3"/>
        </w:numPr>
        <w:wordWrap/>
        <w:autoSpaceDE/>
        <w:autoSpaceDN/>
        <w:spacing w:after="0" w:line="240" w:lineRule="auto"/>
        <w:ind w:leftChars="0"/>
        <w:contextualSpacing/>
        <w:jc w:val="left"/>
        <w:rPr>
          <w:rFonts w:ascii="Times New Roman" w:hAnsi="Times New Roman" w:cs="Times New Roman"/>
        </w:rPr>
      </w:pPr>
      <w:r w:rsidRPr="00141BC3">
        <w:rPr>
          <w:rFonts w:ascii="Times New Roman" w:hAnsi="Times New Roman" w:cs="Times New Roman"/>
        </w:rPr>
        <w:t>Add countries' footnotes listing different OOBE values</w:t>
      </w:r>
    </w:p>
    <w:p w:rsidR="00E77E32" w:rsidRDefault="00E77E32" w:rsidP="00E77E32">
      <w:pPr>
        <w:pStyle w:val="a3"/>
        <w:widowControl/>
        <w:numPr>
          <w:ilvl w:val="1"/>
          <w:numId w:val="3"/>
        </w:numPr>
        <w:wordWrap/>
        <w:autoSpaceDE/>
        <w:autoSpaceDN/>
        <w:spacing w:after="0" w:line="240" w:lineRule="auto"/>
        <w:ind w:leftChars="0"/>
        <w:contextualSpacing/>
        <w:jc w:val="left"/>
        <w:rPr>
          <w:rFonts w:ascii="Times New Roman" w:hAnsi="Times New Roman" w:cs="Times New Roman"/>
        </w:rPr>
      </w:pPr>
      <w:r>
        <w:rPr>
          <w:rFonts w:ascii="Times New Roman" w:hAnsi="Times New Roman" w:cs="Times New Roman"/>
        </w:rPr>
        <w:t>-28: Regions and/or countries</w:t>
      </w:r>
    </w:p>
    <w:p w:rsidR="00E77E32" w:rsidRDefault="00E77E32" w:rsidP="00E77E32">
      <w:pPr>
        <w:pStyle w:val="a3"/>
        <w:widowControl/>
        <w:numPr>
          <w:ilvl w:val="1"/>
          <w:numId w:val="3"/>
        </w:numPr>
        <w:wordWrap/>
        <w:autoSpaceDE/>
        <w:autoSpaceDN/>
        <w:spacing w:after="0" w:line="240" w:lineRule="auto"/>
        <w:ind w:leftChars="0"/>
        <w:contextualSpacing/>
        <w:jc w:val="left"/>
        <w:rPr>
          <w:rFonts w:ascii="Times New Roman" w:hAnsi="Times New Roman" w:cs="Times New Roman"/>
        </w:rPr>
      </w:pPr>
      <w:r>
        <w:rPr>
          <w:rFonts w:ascii="Times New Roman" w:hAnsi="Times New Roman" w:cs="Times New Roman"/>
        </w:rPr>
        <w:t>-32: Regions and/or countries</w:t>
      </w:r>
    </w:p>
    <w:p w:rsidR="00E77E32" w:rsidRDefault="00E77E32" w:rsidP="00E77E32">
      <w:pPr>
        <w:pStyle w:val="a3"/>
        <w:widowControl/>
        <w:numPr>
          <w:ilvl w:val="1"/>
          <w:numId w:val="3"/>
        </w:numPr>
        <w:wordWrap/>
        <w:autoSpaceDE/>
        <w:autoSpaceDN/>
        <w:spacing w:after="0" w:line="240" w:lineRule="auto"/>
        <w:ind w:leftChars="0"/>
        <w:contextualSpacing/>
        <w:jc w:val="left"/>
        <w:rPr>
          <w:rFonts w:ascii="Times New Roman" w:hAnsi="Times New Roman" w:cs="Times New Roman"/>
        </w:rPr>
      </w:pPr>
      <w:r w:rsidRPr="004F0ABC">
        <w:rPr>
          <w:rFonts w:ascii="Times New Roman" w:hAnsi="Times New Roman" w:cs="Times New Roman"/>
        </w:rPr>
        <w:t>… -42: Regions and/or countries</w:t>
      </w:r>
    </w:p>
    <w:p w:rsidR="00E77E32" w:rsidRPr="00A72DE3" w:rsidRDefault="00E77E32" w:rsidP="00E77E32">
      <w:pPr>
        <w:rPr>
          <w:rFonts w:ascii="Times New Roman" w:hAnsi="Times New Roman" w:cs="Times New Roman"/>
        </w:rPr>
      </w:pPr>
      <w:r>
        <w:rPr>
          <w:rFonts w:ascii="Times New Roman" w:hAnsi="Times New Roman" w:cs="Times New Roman"/>
        </w:rPr>
        <w:t>Or different values in Table 1-1 and 1-2.</w:t>
      </w:r>
    </w:p>
    <w:p w:rsidR="006651B8" w:rsidRPr="00E77E32" w:rsidRDefault="006651B8" w:rsidP="00B541A5">
      <w:pPr>
        <w:wordWrap/>
        <w:overflowPunct w:val="0"/>
        <w:rPr>
          <w:rFonts w:ascii="Times New Roman" w:eastAsia="ＭＳ 明朝" w:hAnsi="Times New Roman" w:cs="Times New Roman"/>
          <w:sz w:val="24"/>
          <w:szCs w:val="24"/>
          <w:lang w:eastAsia="ja-JP"/>
        </w:rPr>
      </w:pPr>
    </w:p>
    <w:sectPr w:rsidR="006651B8" w:rsidRPr="00E77E32"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4B5" w:rsidRDefault="00AA24B5" w:rsidP="00D1517A">
      <w:pPr>
        <w:spacing w:after="0" w:line="240" w:lineRule="auto"/>
      </w:pPr>
      <w:r>
        <w:separator/>
      </w:r>
    </w:p>
  </w:endnote>
  <w:endnote w:type="continuationSeparator" w:id="0">
    <w:p w:rsidR="00AA24B5" w:rsidRDefault="00AA24B5"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altName w:val="Microsoft Sans Serif"/>
    <w:panose1 w:val="020B0304020202020204"/>
    <w:charset w:val="DE"/>
    <w:family w:val="swiss"/>
    <w:pitch w:val="variable"/>
    <w:sig w:usb0="00000000" w:usb1="00000000" w:usb2="00000000" w:usb3="00000000" w:csb0="0001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4B5" w:rsidRDefault="00AA24B5" w:rsidP="00D1517A">
      <w:pPr>
        <w:spacing w:after="0" w:line="240" w:lineRule="auto"/>
      </w:pPr>
      <w:r>
        <w:separator/>
      </w:r>
    </w:p>
  </w:footnote>
  <w:footnote w:type="continuationSeparator" w:id="0">
    <w:p w:rsidR="00AA24B5" w:rsidRDefault="00AA24B5" w:rsidP="00D1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A3697"/>
    <w:multiLevelType w:val="hybridMultilevel"/>
    <w:tmpl w:val="22C43F8E"/>
    <w:lvl w:ilvl="0" w:tplc="2AD81D42">
      <w:start w:val="1"/>
      <w:numFmt w:val="bullet"/>
      <w:lvlText w:val=""/>
      <w:lvlJc w:val="left"/>
      <w:pPr>
        <w:ind w:left="780" w:hanging="420"/>
      </w:pPr>
      <w:rPr>
        <w:rFonts w:ascii="Wingdings" w:hAnsi="Wingdings" w:hint="default"/>
      </w:rPr>
    </w:lvl>
    <w:lvl w:ilvl="1" w:tplc="EFDA2D74">
      <w:start w:val="1"/>
      <w:numFmt w:val="bullet"/>
      <w:lvlText w:val="‒"/>
      <w:lvlJc w:val="left"/>
      <w:pPr>
        <w:ind w:left="1200" w:hanging="420"/>
      </w:pPr>
      <w:rPr>
        <w:rFonts w:ascii="Meiryo UI" w:eastAsia="Meiryo UI" w:hAnsi="Meiryo UI" w:hint="eastAsia"/>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63A86A18"/>
    <w:multiLevelType w:val="hybridMultilevel"/>
    <w:tmpl w:val="D7AA34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3820D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B34"/>
    <w:rsid w:val="000243E0"/>
    <w:rsid w:val="000723A4"/>
    <w:rsid w:val="00086F2C"/>
    <w:rsid w:val="000B5983"/>
    <w:rsid w:val="00132994"/>
    <w:rsid w:val="00184E66"/>
    <w:rsid w:val="001A1F17"/>
    <w:rsid w:val="001A6784"/>
    <w:rsid w:val="001B7188"/>
    <w:rsid w:val="001E0789"/>
    <w:rsid w:val="001E6F7D"/>
    <w:rsid w:val="001E7AEA"/>
    <w:rsid w:val="00223C50"/>
    <w:rsid w:val="00283D24"/>
    <w:rsid w:val="003346ED"/>
    <w:rsid w:val="00370757"/>
    <w:rsid w:val="0038624A"/>
    <w:rsid w:val="003E4334"/>
    <w:rsid w:val="003F2BF6"/>
    <w:rsid w:val="003F501F"/>
    <w:rsid w:val="00426E01"/>
    <w:rsid w:val="004507BD"/>
    <w:rsid w:val="00454060"/>
    <w:rsid w:val="004A1811"/>
    <w:rsid w:val="004A574B"/>
    <w:rsid w:val="004B0E1B"/>
    <w:rsid w:val="004C436F"/>
    <w:rsid w:val="004D7CC0"/>
    <w:rsid w:val="005755E6"/>
    <w:rsid w:val="00613A34"/>
    <w:rsid w:val="00632439"/>
    <w:rsid w:val="00651E5B"/>
    <w:rsid w:val="00655E2F"/>
    <w:rsid w:val="006651B8"/>
    <w:rsid w:val="00677357"/>
    <w:rsid w:val="00683E04"/>
    <w:rsid w:val="006D6E7A"/>
    <w:rsid w:val="006E05B6"/>
    <w:rsid w:val="00722512"/>
    <w:rsid w:val="00742E21"/>
    <w:rsid w:val="00764220"/>
    <w:rsid w:val="007F3C92"/>
    <w:rsid w:val="008742F3"/>
    <w:rsid w:val="00891369"/>
    <w:rsid w:val="00894279"/>
    <w:rsid w:val="008E3090"/>
    <w:rsid w:val="00930F1D"/>
    <w:rsid w:val="00957672"/>
    <w:rsid w:val="00992BF6"/>
    <w:rsid w:val="009A4B8B"/>
    <w:rsid w:val="009E27EC"/>
    <w:rsid w:val="009F790A"/>
    <w:rsid w:val="00A34CF4"/>
    <w:rsid w:val="00A62102"/>
    <w:rsid w:val="00AA24B5"/>
    <w:rsid w:val="00AA3F38"/>
    <w:rsid w:val="00AB6D4C"/>
    <w:rsid w:val="00AC461C"/>
    <w:rsid w:val="00AE39B0"/>
    <w:rsid w:val="00B2408D"/>
    <w:rsid w:val="00B36990"/>
    <w:rsid w:val="00B51C69"/>
    <w:rsid w:val="00B541A5"/>
    <w:rsid w:val="00BC4E02"/>
    <w:rsid w:val="00BD378C"/>
    <w:rsid w:val="00C2511E"/>
    <w:rsid w:val="00C63FD0"/>
    <w:rsid w:val="00C750CB"/>
    <w:rsid w:val="00C82B13"/>
    <w:rsid w:val="00CD0A9B"/>
    <w:rsid w:val="00CF64FC"/>
    <w:rsid w:val="00CF651C"/>
    <w:rsid w:val="00D13893"/>
    <w:rsid w:val="00D1517A"/>
    <w:rsid w:val="00D217CC"/>
    <w:rsid w:val="00D62B94"/>
    <w:rsid w:val="00DE5882"/>
    <w:rsid w:val="00E02C2D"/>
    <w:rsid w:val="00E506DB"/>
    <w:rsid w:val="00E64CDA"/>
    <w:rsid w:val="00E77E32"/>
    <w:rsid w:val="00EA1B34"/>
    <w:rsid w:val="00EA2655"/>
    <w:rsid w:val="00EC68D5"/>
    <w:rsid w:val="00ED6478"/>
    <w:rsid w:val="00EF7969"/>
    <w:rsid w:val="00F266E9"/>
    <w:rsid w:val="00FD0DDD"/>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B02325"/>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a5"/>
    <w:uiPriority w:val="99"/>
    <w:unhideWhenUsed/>
    <w:rsid w:val="00D1517A"/>
    <w:pPr>
      <w:tabs>
        <w:tab w:val="center" w:pos="4680"/>
        <w:tab w:val="right" w:pos="9360"/>
      </w:tabs>
      <w:spacing w:after="0" w:line="240" w:lineRule="auto"/>
    </w:pPr>
  </w:style>
  <w:style w:type="character" w:customStyle="1" w:styleId="a5">
    <w:name w:val="ヘッダー (文字)"/>
    <w:basedOn w:val="a0"/>
    <w:link w:val="a4"/>
    <w:uiPriority w:val="99"/>
    <w:rsid w:val="00D1517A"/>
  </w:style>
  <w:style w:type="paragraph" w:styleId="a6">
    <w:name w:val="footer"/>
    <w:basedOn w:val="a"/>
    <w:link w:val="a7"/>
    <w:uiPriority w:val="99"/>
    <w:unhideWhenUsed/>
    <w:rsid w:val="00D1517A"/>
    <w:pPr>
      <w:tabs>
        <w:tab w:val="center" w:pos="4680"/>
        <w:tab w:val="right" w:pos="9360"/>
      </w:tabs>
      <w:spacing w:after="0" w:line="240" w:lineRule="auto"/>
    </w:pPr>
  </w:style>
  <w:style w:type="character" w:customStyle="1" w:styleId="a7">
    <w:name w:val="フッター (文字)"/>
    <w:basedOn w:val="a0"/>
    <w:link w:val="a6"/>
    <w:uiPriority w:val="99"/>
    <w:rsid w:val="00D1517A"/>
  </w:style>
  <w:style w:type="character" w:styleId="a8">
    <w:name w:val="Hyperlink"/>
    <w:basedOn w:val="a0"/>
    <w:unhideWhenUsed/>
    <w:rsid w:val="00426E01"/>
    <w:rPr>
      <w:color w:val="0563C1" w:themeColor="hyperlink"/>
      <w:u w:val="single"/>
    </w:rPr>
  </w:style>
  <w:style w:type="paragraph" w:customStyle="1" w:styleId="Tablehead">
    <w:name w:val="Table_head"/>
    <w:basedOn w:val="a"/>
    <w:rsid w:val="00426E01"/>
    <w:pPr>
      <w:keepNext/>
      <w:widowControl/>
      <w:tabs>
        <w:tab w:val="left" w:pos="1134"/>
        <w:tab w:val="left" w:pos="1871"/>
        <w:tab w:val="left" w:pos="2268"/>
      </w:tabs>
      <w:wordWrap/>
      <w:overflowPunct w:val="0"/>
      <w:adjustRightInd w:val="0"/>
      <w:spacing w:before="80" w:after="80" w:line="240" w:lineRule="auto"/>
      <w:jc w:val="center"/>
      <w:textAlignment w:val="baseline"/>
    </w:pPr>
    <w:rPr>
      <w:rFonts w:ascii="Times New Roman Bold" w:eastAsia="ＭＳ 明朝" w:hAnsi="Times New Roman Bold" w:cs="Times New Roman Bold"/>
      <w:b/>
      <w:kern w:val="0"/>
      <w:szCs w:val="20"/>
      <w:lang w:val="en-GB" w:eastAsia="en-US"/>
    </w:rPr>
  </w:style>
  <w:style w:type="paragraph" w:customStyle="1" w:styleId="Tabletext">
    <w:name w:val="Table_text"/>
    <w:basedOn w:val="a"/>
    <w:rsid w:val="00426E01"/>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wordWrap/>
      <w:overflowPunct w:val="0"/>
      <w:adjustRightInd w:val="0"/>
      <w:spacing w:before="40" w:after="40" w:line="240" w:lineRule="auto"/>
      <w:jc w:val="left"/>
      <w:textAlignment w:val="baseline"/>
    </w:pPr>
    <w:rPr>
      <w:rFonts w:ascii="Times New Roman" w:eastAsia="ＭＳ 明朝" w:hAnsi="Times New Roman" w:cs="Times New Roman"/>
      <w:kern w:val="0"/>
      <w:szCs w:val="20"/>
      <w:lang w:val="en-GB" w:eastAsia="en-US"/>
    </w:rPr>
  </w:style>
  <w:style w:type="table" w:styleId="a9">
    <w:name w:val="Table Grid"/>
    <w:basedOn w:val="a1"/>
    <w:uiPriority w:val="39"/>
    <w:rsid w:val="00426E01"/>
    <w:pPr>
      <w:spacing w:after="0" w:line="240" w:lineRule="auto"/>
      <w:jc w:val="left"/>
    </w:pPr>
    <w:rPr>
      <w:rFonts w:ascii="Times" w:eastAsia="ＭＳ 明朝" w:hAnsi="Times"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l">
    <w:name w:val="Call"/>
    <w:basedOn w:val="a"/>
    <w:next w:val="a"/>
    <w:link w:val="CallChar"/>
    <w:qFormat/>
    <w:rsid w:val="00A62102"/>
    <w:pPr>
      <w:keepNext/>
      <w:keepLines/>
      <w:widowControl/>
      <w:tabs>
        <w:tab w:val="left" w:pos="1134"/>
        <w:tab w:val="left" w:pos="1871"/>
        <w:tab w:val="left" w:pos="2268"/>
      </w:tabs>
      <w:wordWrap/>
      <w:overflowPunct w:val="0"/>
      <w:adjustRightInd w:val="0"/>
      <w:spacing w:before="160" w:after="0" w:line="240" w:lineRule="auto"/>
      <w:ind w:left="1134"/>
      <w:jc w:val="left"/>
      <w:textAlignment w:val="baseline"/>
    </w:pPr>
    <w:rPr>
      <w:rFonts w:ascii="Times New Roman" w:eastAsia="ＭＳ 明朝" w:hAnsi="Times New Roman" w:cs="Times New Roman"/>
      <w:i/>
      <w:kern w:val="0"/>
      <w:sz w:val="24"/>
      <w:szCs w:val="20"/>
      <w:lang w:val="en-GB" w:eastAsia="en-US"/>
    </w:rPr>
  </w:style>
  <w:style w:type="character" w:customStyle="1" w:styleId="CallChar">
    <w:name w:val="Call Char"/>
    <w:basedOn w:val="a0"/>
    <w:link w:val="Call"/>
    <w:qFormat/>
    <w:rsid w:val="00AE39B0"/>
    <w:rPr>
      <w:rFonts w:ascii="Times New Roman" w:eastAsia="ＭＳ 明朝" w:hAnsi="Times New Roman" w:cs="Times New Roman"/>
      <w:i/>
      <w:kern w:val="0"/>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6-WRC19-C-0024/en" TargetMode="External"/><Relationship Id="rId13" Type="http://schemas.openxmlformats.org/officeDocument/2006/relationships/hyperlink" Target="https://www.itu.int/md/R16-WRC19-191028-TD-0137/en" TargetMode="External"/><Relationship Id="rId3" Type="http://schemas.openxmlformats.org/officeDocument/2006/relationships/settings" Target="settings.xml"/><Relationship Id="rId7" Type="http://schemas.openxmlformats.org/officeDocument/2006/relationships/hyperlink" Target="mailto:hiroyuki.atarashi.yt@nttdocomo.com" TargetMode="External"/><Relationship Id="rId12" Type="http://schemas.openxmlformats.org/officeDocument/2006/relationships/hyperlink" Target="https://www.itu.int/md/R16-WRC19-191028-TD-0138/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R16-WRC19-191028-TD-0139/en" TargetMode="External"/><Relationship Id="rId5" Type="http://schemas.openxmlformats.org/officeDocument/2006/relationships/footnotes" Target="footnotes.xml"/><Relationship Id="rId15" Type="http://schemas.openxmlformats.org/officeDocument/2006/relationships/hyperlink" Target="https://www.itu.int/md/R16-WRC19-C-0202/en" TargetMode="External"/><Relationship Id="rId10" Type="http://schemas.openxmlformats.org/officeDocument/2006/relationships/hyperlink" Target="https://www.itu.int/md/R16-WRC19-C-0150/en" TargetMode="External"/><Relationship Id="rId4" Type="http://schemas.openxmlformats.org/officeDocument/2006/relationships/webSettings" Target="webSettings.xml"/><Relationship Id="rId9" Type="http://schemas.openxmlformats.org/officeDocument/2006/relationships/hyperlink" Target="https://www.itu.int/md/R16-WRC19-C-0150/en" TargetMode="External"/><Relationship Id="rId14" Type="http://schemas.openxmlformats.org/officeDocument/2006/relationships/hyperlink" Target="https://www.itu.int/md/R16-WRC19-C-0202/en"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702</Words>
  <Characters>4007</Characters>
  <Application>Microsoft Office Word</Application>
  <DocSecurity>0</DocSecurity>
  <Lines>33</Lines>
  <Paragraphs>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TTA</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DG4A1b</cp:lastModifiedBy>
  <cp:revision>3</cp:revision>
  <dcterms:created xsi:type="dcterms:W3CDTF">2019-11-14T08:32:00Z</dcterms:created>
  <dcterms:modified xsi:type="dcterms:W3CDTF">2019-11-14T08:34:00Z</dcterms:modified>
</cp:coreProperties>
</file>