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B541A5">
      <w:pPr>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26E01" w:rsidRDefault="00426E01" w:rsidP="00B541A5">
      <w:pPr>
        <w:wordWrap/>
        <w:overflowPunct w:val="0"/>
        <w:jc w:val="center"/>
        <w:rPr>
          <w:rFonts w:ascii="Times New Roman" w:hAnsi="Times New Roman" w:cs="Times New Roman"/>
          <w:sz w:val="24"/>
          <w:szCs w:val="24"/>
        </w:rPr>
      </w:pPr>
      <w:r>
        <w:rPr>
          <w:rFonts w:ascii="Times New Roman" w:hAnsi="Times New Roman" w:cs="Times New Roman"/>
          <w:sz w:val="24"/>
          <w:szCs w:val="24"/>
        </w:rPr>
        <w:t xml:space="preserve">Hiroyuki Atarashi, </w:t>
      </w:r>
      <w:hyperlink r:id="rId7" w:history="1">
        <w:r w:rsidRPr="00BD431E">
          <w:rPr>
            <w:rStyle w:val="a8"/>
            <w:rFonts w:ascii="Times New Roman" w:hAnsi="Times New Roman" w:cs="Times New Roman"/>
            <w:sz w:val="24"/>
            <w:szCs w:val="24"/>
          </w:rPr>
          <w:t>hiroyuki.atarashi.yt@nttdocomo.com</w:t>
        </w:r>
      </w:hyperlink>
    </w:p>
    <w:p w:rsidR="00426E01" w:rsidRPr="00223C50" w:rsidRDefault="009F790A" w:rsidP="00B541A5">
      <w:pPr>
        <w:wordWrap/>
        <w:overflowPunct w:val="0"/>
        <w:jc w:val="center"/>
        <w:rPr>
          <w:rFonts w:ascii="Times New Roman" w:hAnsi="Times New Roman" w:cs="Times New Roman"/>
          <w:sz w:val="24"/>
          <w:szCs w:val="24"/>
        </w:rPr>
      </w:pPr>
      <w:r>
        <w:rPr>
          <w:rFonts w:ascii="Times New Roman" w:eastAsia="ＭＳ 明朝" w:hAnsi="Times New Roman" w:cs="Times New Roman" w:hint="eastAsia"/>
          <w:sz w:val="24"/>
          <w:szCs w:val="24"/>
          <w:lang w:eastAsia="ja-JP"/>
        </w:rPr>
        <w:t>1</w:t>
      </w:r>
      <w:r w:rsidR="00D17547">
        <w:rPr>
          <w:rFonts w:ascii="Times New Roman" w:eastAsia="ＭＳ 明朝" w:hAnsi="Times New Roman" w:cs="Times New Roman"/>
          <w:sz w:val="24"/>
          <w:szCs w:val="24"/>
          <w:lang w:eastAsia="ja-JP"/>
        </w:rPr>
        <w:t>8</w:t>
      </w:r>
      <w:r w:rsidR="00426E01" w:rsidRPr="00223C50">
        <w:rPr>
          <w:rFonts w:ascii="Times New Roman" w:hAnsi="Times New Roman" w:cs="Times New Roman"/>
          <w:sz w:val="24"/>
          <w:szCs w:val="24"/>
        </w:rPr>
        <w:t xml:space="preserve"> </w:t>
      </w:r>
      <w:r w:rsidR="00223C50">
        <w:rPr>
          <w:rFonts w:ascii="Times New Roman" w:hAnsi="Times New Roman" w:cs="Times New Roman"/>
          <w:sz w:val="24"/>
          <w:szCs w:val="24"/>
        </w:rPr>
        <w:t>November</w:t>
      </w:r>
      <w:r w:rsidR="00426E01" w:rsidRPr="00223C50">
        <w:rPr>
          <w:rFonts w:ascii="Times New Roman" w:hAnsi="Times New Roman" w:cs="Times New Roman"/>
          <w:sz w:val="24"/>
          <w:szCs w:val="24"/>
        </w:rPr>
        <w:t xml:space="preserve"> 2019 </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426E01" w:rsidRDefault="00426E01" w:rsidP="00B541A5">
      <w:pPr>
        <w:wordWrap/>
        <w:overflowPunct w:val="0"/>
        <w:rPr>
          <w:rFonts w:ascii="Times New Roman" w:hAnsi="Times New Roman" w:cs="Times New Roman"/>
          <w:i/>
          <w:sz w:val="24"/>
          <w:szCs w:val="24"/>
          <w:lang w:val="en-GB"/>
        </w:rPr>
      </w:pPr>
      <w:r>
        <w:rPr>
          <w:rFonts w:ascii="Times New Roman" w:hAnsi="Times New Roman" w:cs="Times New Roman"/>
          <w:i/>
          <w:sz w:val="24"/>
          <w:szCs w:val="24"/>
          <w:lang w:val="en-GB"/>
        </w:rPr>
        <w:t>1.13</w:t>
      </w:r>
      <w:r>
        <w:rPr>
          <w:rFonts w:ascii="Times New Roman" w:hAnsi="Times New Roman" w:cs="Times New Roman"/>
          <w:i/>
          <w:sz w:val="24"/>
          <w:szCs w:val="24"/>
          <w:lang w:val="en-GB"/>
        </w:rPr>
        <w:tab/>
      </w:r>
      <w:r w:rsidRPr="00AF3056">
        <w:rPr>
          <w:rFonts w:ascii="Times New Roman" w:hAnsi="Times New Roman" w:cs="Times New Roman"/>
          <w:i/>
          <w:sz w:val="24"/>
          <w:szCs w:val="24"/>
          <w:lang w:val="en-GB"/>
        </w:rPr>
        <w:t xml:space="preserve">to consider identification of frequency bands for the future development of International Mobile Telecommunications (IMT), including possible additional allocations to the mobile service on a primary basis, in accordance with Resolution </w:t>
      </w:r>
      <w:r w:rsidRPr="00AF3056">
        <w:rPr>
          <w:rFonts w:ascii="Times New Roman" w:hAnsi="Times New Roman" w:cs="Times New Roman"/>
          <w:b/>
          <w:i/>
          <w:sz w:val="24"/>
          <w:szCs w:val="24"/>
          <w:lang w:val="en-GB"/>
        </w:rPr>
        <w:t>238 (WRC 15)</w:t>
      </w:r>
      <w:r w:rsidRPr="00AF3056">
        <w:rPr>
          <w:rFonts w:ascii="Times New Roman" w:hAnsi="Times New Roman" w:cs="Times New Roman"/>
          <w:i/>
          <w:sz w:val="24"/>
          <w:szCs w:val="24"/>
          <w:lang w:val="en-GB"/>
        </w:rPr>
        <w:t>;</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1557"/>
        <w:gridCol w:w="1557"/>
        <w:gridCol w:w="3827"/>
        <w:gridCol w:w="2219"/>
      </w:tblGrid>
      <w:tr w:rsidR="00426E01" w:rsidRPr="00467A63" w:rsidTr="00426E01">
        <w:tc>
          <w:tcPr>
            <w:tcW w:w="1557" w:type="dxa"/>
            <w:shd w:val="clear" w:color="auto" w:fill="D9D9D9" w:themeFill="background1" w:themeFillShade="D9"/>
          </w:tcPr>
          <w:p w:rsidR="00426E01" w:rsidRPr="00467A63" w:rsidRDefault="00426E01" w:rsidP="00B541A5">
            <w:pPr>
              <w:pStyle w:val="Tablehead"/>
              <w:rPr>
                <w:lang w:eastAsia="ja-JP"/>
              </w:rPr>
            </w:pPr>
            <w:r>
              <w:rPr>
                <w:rFonts w:hint="eastAsia"/>
                <w:lang w:eastAsia="ja-JP"/>
              </w:rPr>
              <w:t>Document</w:t>
            </w:r>
          </w:p>
        </w:tc>
        <w:tc>
          <w:tcPr>
            <w:tcW w:w="1557" w:type="dxa"/>
            <w:shd w:val="clear" w:color="auto" w:fill="D9D9D9" w:themeFill="background1" w:themeFillShade="D9"/>
          </w:tcPr>
          <w:p w:rsidR="00426E01" w:rsidRPr="00467A63" w:rsidRDefault="00426E01" w:rsidP="00B541A5">
            <w:pPr>
              <w:pStyle w:val="Tablehead"/>
            </w:pPr>
            <w:r w:rsidRPr="00467A63">
              <w:t>Addendum No.</w:t>
            </w:r>
          </w:p>
        </w:tc>
        <w:tc>
          <w:tcPr>
            <w:tcW w:w="3827" w:type="dxa"/>
            <w:shd w:val="clear" w:color="auto" w:fill="D9D9D9" w:themeFill="background1" w:themeFillShade="D9"/>
          </w:tcPr>
          <w:p w:rsidR="00426E01" w:rsidRPr="00467A63" w:rsidRDefault="00426E01" w:rsidP="00B541A5">
            <w:pPr>
              <w:pStyle w:val="Tablehead"/>
            </w:pPr>
            <w:r w:rsidRPr="00467A63">
              <w:t xml:space="preserve">Frequency Bands </w:t>
            </w:r>
          </w:p>
        </w:tc>
        <w:tc>
          <w:tcPr>
            <w:tcW w:w="2219" w:type="dxa"/>
            <w:shd w:val="clear" w:color="auto" w:fill="D9D9D9" w:themeFill="background1" w:themeFillShade="D9"/>
          </w:tcPr>
          <w:p w:rsidR="00426E01" w:rsidRPr="00467A63" w:rsidRDefault="00426E01" w:rsidP="00B541A5">
            <w:pPr>
              <w:pStyle w:val="Tablehead"/>
            </w:pPr>
            <w:r w:rsidRPr="00467A63">
              <w:t xml:space="preserve">ACP No. </w:t>
            </w:r>
          </w:p>
        </w:tc>
      </w:tr>
      <w:tr w:rsidR="00426E01" w:rsidRPr="00467A63" w:rsidTr="00426E01">
        <w:tc>
          <w:tcPr>
            <w:tcW w:w="1557" w:type="dxa"/>
            <w:vMerge w:val="restart"/>
          </w:tcPr>
          <w:p w:rsidR="00426E01" w:rsidRPr="00467A63" w:rsidRDefault="00426E01" w:rsidP="00B541A5">
            <w:pPr>
              <w:pStyle w:val="Tabletext"/>
              <w:rPr>
                <w:lang w:eastAsia="ja-JP"/>
              </w:rPr>
            </w:pPr>
            <w:r>
              <w:rPr>
                <w:rFonts w:hint="eastAsia"/>
                <w:lang w:eastAsia="ja-JP"/>
              </w:rPr>
              <w:t>A</w:t>
            </w:r>
            <w:r>
              <w:rPr>
                <w:lang w:eastAsia="ja-JP"/>
              </w:rPr>
              <w:t xml:space="preserve">ddendum 13 to Document </w:t>
            </w:r>
            <w:hyperlink r:id="rId8" w:history="1">
              <w:r w:rsidRPr="00426E01">
                <w:rPr>
                  <w:rStyle w:val="a8"/>
                  <w:lang w:eastAsia="ja-JP"/>
                </w:rPr>
                <w:t>24</w:t>
              </w:r>
            </w:hyperlink>
          </w:p>
        </w:tc>
        <w:tc>
          <w:tcPr>
            <w:tcW w:w="1557" w:type="dxa"/>
          </w:tcPr>
          <w:p w:rsidR="00426E01" w:rsidRPr="00467A63" w:rsidRDefault="00426E01" w:rsidP="00B541A5">
            <w:pPr>
              <w:pStyle w:val="Tabletext"/>
            </w:pPr>
            <w:r w:rsidRPr="00467A63">
              <w:t>A1</w:t>
            </w:r>
          </w:p>
        </w:tc>
        <w:tc>
          <w:tcPr>
            <w:tcW w:w="3827" w:type="dxa"/>
          </w:tcPr>
          <w:p w:rsidR="00426E01" w:rsidRPr="00467A63" w:rsidRDefault="00426E01" w:rsidP="00B541A5">
            <w:pPr>
              <w:pStyle w:val="Tabletext"/>
            </w:pPr>
            <w:r w:rsidRPr="00467A63">
              <w:rPr>
                <w:lang w:eastAsia="ja-JP"/>
              </w:rPr>
              <w:t>24.25-27.5 GHz</w:t>
            </w:r>
          </w:p>
        </w:tc>
        <w:tc>
          <w:tcPr>
            <w:tcW w:w="2219" w:type="dxa"/>
          </w:tcPr>
          <w:p w:rsidR="00426E01" w:rsidRPr="00467A63" w:rsidRDefault="00426E01" w:rsidP="00B541A5">
            <w:pPr>
              <w:pStyle w:val="Tabletext"/>
            </w:pPr>
            <w:r w:rsidRPr="00467A63">
              <w:t>A13-A1/1 to 6</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A2</w:t>
            </w:r>
          </w:p>
        </w:tc>
        <w:tc>
          <w:tcPr>
            <w:tcW w:w="3827" w:type="dxa"/>
          </w:tcPr>
          <w:p w:rsidR="00426E01" w:rsidRPr="00467A63" w:rsidRDefault="00426E01" w:rsidP="00B541A5">
            <w:pPr>
              <w:pStyle w:val="Tabletext"/>
            </w:pPr>
            <w:r w:rsidRPr="00467A63">
              <w:rPr>
                <w:lang w:eastAsia="ja-JP"/>
              </w:rPr>
              <w:t>31.8-33.4 GHz</w:t>
            </w:r>
          </w:p>
        </w:tc>
        <w:tc>
          <w:tcPr>
            <w:tcW w:w="2219" w:type="dxa"/>
          </w:tcPr>
          <w:p w:rsidR="00426E01" w:rsidRPr="00467A63" w:rsidRDefault="00426E01" w:rsidP="00B541A5">
            <w:pPr>
              <w:pStyle w:val="Tabletext"/>
            </w:pPr>
            <w:r w:rsidRPr="00467A63">
              <w:t>A13-A2/1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A3</w:t>
            </w:r>
          </w:p>
        </w:tc>
        <w:tc>
          <w:tcPr>
            <w:tcW w:w="3827" w:type="dxa"/>
          </w:tcPr>
          <w:p w:rsidR="00426E01" w:rsidRPr="00467A63" w:rsidRDefault="00426E01" w:rsidP="00B541A5">
            <w:pPr>
              <w:pStyle w:val="Tabletext"/>
            </w:pPr>
            <w:r w:rsidRPr="00467A63">
              <w:rPr>
                <w:lang w:eastAsia="ja-JP"/>
              </w:rPr>
              <w:t>37-40.5, 40.5-42.5 and 42.5-43.5 GHz</w:t>
            </w:r>
          </w:p>
        </w:tc>
        <w:tc>
          <w:tcPr>
            <w:tcW w:w="2219" w:type="dxa"/>
          </w:tcPr>
          <w:p w:rsidR="00426E01" w:rsidRPr="00467A63" w:rsidRDefault="00426E01" w:rsidP="00B541A5">
            <w:pPr>
              <w:pStyle w:val="Tabletext"/>
            </w:pPr>
            <w:r w:rsidRPr="00467A63">
              <w:t>A13-A3/1 to 5</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A4</w:t>
            </w:r>
          </w:p>
        </w:tc>
        <w:tc>
          <w:tcPr>
            <w:tcW w:w="3827" w:type="dxa"/>
          </w:tcPr>
          <w:p w:rsidR="00426E01" w:rsidRPr="00467A63" w:rsidRDefault="00426E01" w:rsidP="00B541A5">
            <w:pPr>
              <w:pStyle w:val="Tabletext"/>
            </w:pPr>
            <w:r w:rsidRPr="00467A63">
              <w:rPr>
                <w:lang w:eastAsia="ja-JP"/>
              </w:rPr>
              <w:t>45.5-47 GHz</w:t>
            </w:r>
          </w:p>
        </w:tc>
        <w:tc>
          <w:tcPr>
            <w:tcW w:w="2219" w:type="dxa"/>
          </w:tcPr>
          <w:p w:rsidR="00426E01" w:rsidRPr="00467A63" w:rsidRDefault="00426E01" w:rsidP="00B541A5">
            <w:pPr>
              <w:pStyle w:val="Tabletext"/>
            </w:pPr>
            <w:r w:rsidRPr="00467A63">
              <w:t>A13-A4/1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A5</w:t>
            </w:r>
          </w:p>
        </w:tc>
        <w:tc>
          <w:tcPr>
            <w:tcW w:w="3827" w:type="dxa"/>
          </w:tcPr>
          <w:p w:rsidR="00426E01" w:rsidRPr="00467A63" w:rsidRDefault="00426E01" w:rsidP="00B541A5">
            <w:pPr>
              <w:pStyle w:val="Tabletext"/>
            </w:pPr>
            <w:r w:rsidRPr="00467A63">
              <w:rPr>
                <w:lang w:eastAsia="ja-JP"/>
              </w:rPr>
              <w:t>47-47.2 GHz</w:t>
            </w:r>
          </w:p>
        </w:tc>
        <w:tc>
          <w:tcPr>
            <w:tcW w:w="2219" w:type="dxa"/>
          </w:tcPr>
          <w:p w:rsidR="00426E01" w:rsidRPr="00467A63" w:rsidRDefault="00426E01" w:rsidP="00B541A5">
            <w:pPr>
              <w:pStyle w:val="Tabletext"/>
            </w:pPr>
            <w:r w:rsidRPr="00467A63">
              <w:t>A13-A5/1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A6</w:t>
            </w:r>
          </w:p>
        </w:tc>
        <w:tc>
          <w:tcPr>
            <w:tcW w:w="3827" w:type="dxa"/>
          </w:tcPr>
          <w:p w:rsidR="00426E01" w:rsidRPr="00467A63" w:rsidRDefault="00426E01" w:rsidP="00B541A5">
            <w:pPr>
              <w:pStyle w:val="Tabletext"/>
            </w:pPr>
            <w:r w:rsidRPr="00467A63">
              <w:rPr>
                <w:lang w:eastAsia="ja-JP"/>
              </w:rPr>
              <w:t>66-71 GHz</w:t>
            </w:r>
          </w:p>
        </w:tc>
        <w:tc>
          <w:tcPr>
            <w:tcW w:w="2219" w:type="dxa"/>
          </w:tcPr>
          <w:p w:rsidR="00426E01" w:rsidRPr="00467A63" w:rsidRDefault="00426E01" w:rsidP="00B541A5">
            <w:pPr>
              <w:pStyle w:val="Tabletext"/>
            </w:pPr>
            <w:r w:rsidRPr="00467A63">
              <w:t>A13-A6/1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A7</w:t>
            </w:r>
          </w:p>
        </w:tc>
        <w:tc>
          <w:tcPr>
            <w:tcW w:w="3827" w:type="dxa"/>
          </w:tcPr>
          <w:p w:rsidR="00426E01" w:rsidRPr="00467A63" w:rsidRDefault="00426E01" w:rsidP="00B541A5">
            <w:pPr>
              <w:pStyle w:val="Tabletext"/>
            </w:pPr>
            <w:r w:rsidRPr="00467A63">
              <w:rPr>
                <w:lang w:eastAsia="ja-JP"/>
              </w:rPr>
              <w:t>TRP treatment</w:t>
            </w:r>
          </w:p>
        </w:tc>
        <w:tc>
          <w:tcPr>
            <w:tcW w:w="2219" w:type="dxa"/>
          </w:tcPr>
          <w:p w:rsidR="00426E01" w:rsidRPr="00467A63" w:rsidRDefault="00426E01" w:rsidP="00B541A5">
            <w:pPr>
              <w:pStyle w:val="Tabletext"/>
            </w:pPr>
            <w:r w:rsidRPr="00467A63">
              <w:t>A13-A7/1</w:t>
            </w:r>
          </w:p>
        </w:tc>
      </w:tr>
    </w:tbl>
    <w:p w:rsidR="004D7CC0" w:rsidRPr="004D7CC0" w:rsidRDefault="004D7CC0" w:rsidP="00B541A5">
      <w:pPr>
        <w:wordWrap/>
        <w:overflowPunct w:val="0"/>
        <w:rPr>
          <w:rFonts w:ascii="Times New Roman" w:hAnsi="Times New Roman" w:cs="Times New Roman"/>
          <w:sz w:val="24"/>
          <w:szCs w:val="24"/>
        </w:rPr>
      </w:pPr>
    </w:p>
    <w:p w:rsidR="008742F3"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426E01" w:rsidRDefault="00426E01" w:rsidP="00B541A5">
      <w:pPr>
        <w:pStyle w:val="a3"/>
        <w:numPr>
          <w:ilvl w:val="0"/>
          <w:numId w:val="2"/>
        </w:numPr>
        <w:wordWrap/>
        <w:overflowPunct w:val="0"/>
        <w:ind w:leftChars="0"/>
        <w:rPr>
          <w:rFonts w:ascii="Times New Roman" w:eastAsia="ＭＳ 明朝" w:hAnsi="Times New Roman" w:cs="Times New Roman"/>
          <w:sz w:val="24"/>
          <w:szCs w:val="24"/>
          <w:lang w:eastAsia="ja-JP"/>
        </w:rPr>
      </w:pPr>
      <w:r w:rsidRPr="00426E01">
        <w:rPr>
          <w:rFonts w:ascii="Times New Roman" w:eastAsia="ＭＳ 明朝" w:hAnsi="Times New Roman" w:cs="Times New Roman" w:hint="eastAsia"/>
          <w:sz w:val="24"/>
          <w:szCs w:val="24"/>
          <w:lang w:eastAsia="ja-JP"/>
        </w:rPr>
        <w:t>S</w:t>
      </w:r>
      <w:r w:rsidRPr="00426E01">
        <w:rPr>
          <w:rFonts w:ascii="Times New Roman" w:eastAsia="ＭＳ 明朝" w:hAnsi="Times New Roman" w:cs="Times New Roman"/>
          <w:sz w:val="24"/>
          <w:szCs w:val="24"/>
          <w:lang w:eastAsia="ja-JP"/>
        </w:rPr>
        <w:t>ee the relevant input documents to WRC-19.</w:t>
      </w:r>
    </w:p>
    <w:p w:rsidR="004D7CC0" w:rsidRDefault="008742F3" w:rsidP="00223C50">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BC4E02" w:rsidRPr="00223C50" w:rsidRDefault="00D17547" w:rsidP="00BC4E02">
      <w:pPr>
        <w:pStyle w:val="a3"/>
        <w:numPr>
          <w:ilvl w:val="0"/>
          <w:numId w:val="2"/>
        </w:numPr>
        <w:wordWrap/>
        <w:overflowPunct w:val="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The following documents, which contain some open issues, have been submitted to COM4 for further discussion.</w:t>
      </w:r>
    </w:p>
    <w:tbl>
      <w:tblPr>
        <w:tblStyle w:val="a9"/>
        <w:tblW w:w="0" w:type="auto"/>
        <w:jc w:val="center"/>
        <w:tblLook w:val="04A0" w:firstRow="1" w:lastRow="0" w:firstColumn="1" w:lastColumn="0" w:noHBand="0" w:noVBand="1"/>
      </w:tblPr>
      <w:tblGrid>
        <w:gridCol w:w="3397"/>
        <w:gridCol w:w="5387"/>
      </w:tblGrid>
      <w:tr w:rsidR="00223C50" w:rsidRPr="00467A63" w:rsidTr="00D17547">
        <w:trPr>
          <w:tblHeader/>
          <w:jc w:val="center"/>
        </w:trPr>
        <w:tc>
          <w:tcPr>
            <w:tcW w:w="3397" w:type="dxa"/>
            <w:shd w:val="clear" w:color="auto" w:fill="D9D9D9" w:themeFill="background1" w:themeFillShade="D9"/>
          </w:tcPr>
          <w:p w:rsidR="00223C50" w:rsidRPr="00467A63" w:rsidRDefault="00223C50" w:rsidP="001768DF">
            <w:pPr>
              <w:pStyle w:val="Tablehead"/>
            </w:pPr>
            <w:r w:rsidRPr="00467A63">
              <w:t xml:space="preserve">Frequency Bands </w:t>
            </w:r>
          </w:p>
        </w:tc>
        <w:tc>
          <w:tcPr>
            <w:tcW w:w="5387" w:type="dxa"/>
            <w:shd w:val="clear" w:color="auto" w:fill="D9D9D9" w:themeFill="background1" w:themeFillShade="D9"/>
          </w:tcPr>
          <w:p w:rsidR="00223C50" w:rsidRPr="00467A63" w:rsidRDefault="00223C50" w:rsidP="001768DF">
            <w:pPr>
              <w:pStyle w:val="Tablehead"/>
            </w:pPr>
            <w:r>
              <w:t>Status</w:t>
            </w:r>
            <w:r w:rsidRPr="00467A63">
              <w:t xml:space="preserve"> </w:t>
            </w:r>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24.25-27.5 GHz</w:t>
            </w:r>
          </w:p>
        </w:tc>
        <w:tc>
          <w:tcPr>
            <w:tcW w:w="5387" w:type="dxa"/>
          </w:tcPr>
          <w:p w:rsidR="00223C50" w:rsidRPr="00467A63" w:rsidRDefault="00D17547" w:rsidP="001768DF">
            <w:pPr>
              <w:pStyle w:val="Tabletext"/>
              <w:rPr>
                <w:lang w:eastAsia="ja-JP"/>
              </w:rPr>
            </w:pPr>
            <w:r>
              <w:rPr>
                <w:lang w:eastAsia="ja-JP"/>
              </w:rPr>
              <w:t xml:space="preserve">Further discussion as in </w:t>
            </w:r>
            <w:hyperlink r:id="rId9" w:history="1">
              <w:r w:rsidRPr="00D17547">
                <w:rPr>
                  <w:rStyle w:val="a8"/>
                  <w:lang w:eastAsia="ja-JP"/>
                </w:rPr>
                <w:t>447</w:t>
              </w:r>
            </w:hyperlink>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31.8-33.4 GHz</w:t>
            </w:r>
          </w:p>
        </w:tc>
        <w:tc>
          <w:tcPr>
            <w:tcW w:w="5387"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10" w:history="1">
              <w:r w:rsidR="00454060" w:rsidRPr="00A14A60">
                <w:rPr>
                  <w:rStyle w:val="a8"/>
                </w:rPr>
                <w:t>150</w:t>
              </w:r>
            </w:hyperlink>
            <w:r w:rsidR="00454060">
              <w:t>)</w:t>
            </w:r>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37-40.5, 40.5-42.5 and 42.5-43.5 GHz</w:t>
            </w:r>
          </w:p>
        </w:tc>
        <w:tc>
          <w:tcPr>
            <w:tcW w:w="5387" w:type="dxa"/>
          </w:tcPr>
          <w:p w:rsidR="00223C50" w:rsidRPr="00467A63" w:rsidRDefault="00D17547" w:rsidP="00C2511E">
            <w:pPr>
              <w:pStyle w:val="Tabletext"/>
            </w:pPr>
            <w:r>
              <w:rPr>
                <w:lang w:eastAsia="ja-JP"/>
              </w:rPr>
              <w:t xml:space="preserve">Further discussion as in </w:t>
            </w:r>
            <w:hyperlink r:id="rId11" w:history="1">
              <w:r w:rsidRPr="00D17547">
                <w:rPr>
                  <w:rStyle w:val="a8"/>
                  <w:lang w:eastAsia="ja-JP"/>
                </w:rPr>
                <w:t>414</w:t>
              </w:r>
            </w:hyperlink>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45.5-47 GHz</w:t>
            </w:r>
          </w:p>
        </w:tc>
        <w:tc>
          <w:tcPr>
            <w:tcW w:w="5387" w:type="dxa"/>
          </w:tcPr>
          <w:p w:rsidR="00CF651C" w:rsidRPr="00467A63" w:rsidRDefault="00D17547" w:rsidP="00CF651C">
            <w:pPr>
              <w:pStyle w:val="Tabletext"/>
              <w:rPr>
                <w:lang w:eastAsia="ja-JP"/>
              </w:rPr>
            </w:pPr>
            <w:r>
              <w:rPr>
                <w:lang w:eastAsia="ja-JP"/>
              </w:rPr>
              <w:t xml:space="preserve">Further discussion as in </w:t>
            </w:r>
            <w:hyperlink r:id="rId12" w:history="1">
              <w:r w:rsidRPr="00D17547">
                <w:rPr>
                  <w:rStyle w:val="a8"/>
                  <w:lang w:eastAsia="ja-JP"/>
                </w:rPr>
                <w:t>446</w:t>
              </w:r>
            </w:hyperlink>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47-47.2 GHz</w:t>
            </w:r>
          </w:p>
        </w:tc>
        <w:tc>
          <w:tcPr>
            <w:tcW w:w="5387"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13" w:history="1">
              <w:r w:rsidR="00454060" w:rsidRPr="00A14A60">
                <w:rPr>
                  <w:rStyle w:val="a8"/>
                </w:rPr>
                <w:t>150</w:t>
              </w:r>
            </w:hyperlink>
            <w:r w:rsidR="00454060">
              <w:t>)</w:t>
            </w:r>
          </w:p>
        </w:tc>
      </w:tr>
      <w:tr w:rsidR="00223C50" w:rsidRPr="00467A63" w:rsidTr="00D17547">
        <w:trPr>
          <w:jc w:val="center"/>
        </w:trPr>
        <w:tc>
          <w:tcPr>
            <w:tcW w:w="3397" w:type="dxa"/>
          </w:tcPr>
          <w:p w:rsidR="00223C50" w:rsidRPr="00467A63" w:rsidRDefault="00223C50" w:rsidP="001768DF">
            <w:pPr>
              <w:pStyle w:val="Tabletext"/>
              <w:rPr>
                <w:lang w:eastAsia="ja-JP"/>
              </w:rPr>
            </w:pPr>
            <w:r>
              <w:rPr>
                <w:rFonts w:hint="eastAsia"/>
                <w:lang w:eastAsia="ja-JP"/>
              </w:rPr>
              <w:t>47.2-</w:t>
            </w:r>
            <w:r>
              <w:rPr>
                <w:lang w:eastAsia="ja-JP"/>
              </w:rPr>
              <w:t>50.2 GHz</w:t>
            </w:r>
          </w:p>
        </w:tc>
        <w:tc>
          <w:tcPr>
            <w:tcW w:w="5387" w:type="dxa"/>
          </w:tcPr>
          <w:p w:rsidR="00AB6D4C" w:rsidRPr="00AB6D4C" w:rsidRDefault="00D17547" w:rsidP="00D17547">
            <w:pPr>
              <w:pStyle w:val="Tabletext"/>
              <w:rPr>
                <w:highlight w:val="yellow"/>
                <w:lang w:eastAsia="ja-JP"/>
              </w:rPr>
            </w:pPr>
            <w:r>
              <w:rPr>
                <w:lang w:eastAsia="ja-JP"/>
              </w:rPr>
              <w:t xml:space="preserve">Further discussion as in </w:t>
            </w:r>
            <w:hyperlink r:id="rId14" w:history="1">
              <w:r w:rsidRPr="00D17547">
                <w:rPr>
                  <w:rStyle w:val="a8"/>
                  <w:lang w:eastAsia="ja-JP"/>
                </w:rPr>
                <w:t>439</w:t>
              </w:r>
            </w:hyperlink>
          </w:p>
        </w:tc>
      </w:tr>
      <w:tr w:rsidR="00223C50" w:rsidRPr="00467A63" w:rsidTr="00D17547">
        <w:trPr>
          <w:jc w:val="center"/>
        </w:trPr>
        <w:tc>
          <w:tcPr>
            <w:tcW w:w="3397" w:type="dxa"/>
          </w:tcPr>
          <w:p w:rsidR="00223C50" w:rsidRPr="00467A63" w:rsidRDefault="00223C50" w:rsidP="001768DF">
            <w:pPr>
              <w:pStyle w:val="Tabletext"/>
              <w:rPr>
                <w:lang w:eastAsia="ja-JP"/>
              </w:rPr>
            </w:pPr>
            <w:r>
              <w:rPr>
                <w:rFonts w:hint="eastAsia"/>
                <w:lang w:eastAsia="ja-JP"/>
              </w:rPr>
              <w:t>50.4-52.6 GHz</w:t>
            </w:r>
          </w:p>
        </w:tc>
        <w:tc>
          <w:tcPr>
            <w:tcW w:w="5387" w:type="dxa"/>
          </w:tcPr>
          <w:p w:rsidR="00223C50" w:rsidRPr="00223C50" w:rsidRDefault="00D17547" w:rsidP="00D17547">
            <w:pPr>
              <w:pStyle w:val="Tabletext"/>
              <w:rPr>
                <w:u w:val="single"/>
              </w:rPr>
            </w:pPr>
            <w:r>
              <w:rPr>
                <w:lang w:eastAsia="ja-JP"/>
              </w:rPr>
              <w:t xml:space="preserve">Further discussion as in </w:t>
            </w:r>
            <w:hyperlink r:id="rId15" w:history="1">
              <w:r w:rsidRPr="00D17547">
                <w:rPr>
                  <w:rStyle w:val="a8"/>
                  <w:lang w:eastAsia="ja-JP"/>
                </w:rPr>
                <w:t>429</w:t>
              </w:r>
            </w:hyperlink>
            <w:r w:rsidR="00BC4E02">
              <w:rPr>
                <w:lang w:eastAsia="ja-JP"/>
              </w:rPr>
              <w:t xml:space="preserve"> </w:t>
            </w:r>
          </w:p>
        </w:tc>
      </w:tr>
      <w:tr w:rsidR="00223C50" w:rsidRPr="00467A63" w:rsidTr="00D17547">
        <w:trPr>
          <w:jc w:val="center"/>
        </w:trPr>
        <w:tc>
          <w:tcPr>
            <w:tcW w:w="3397" w:type="dxa"/>
          </w:tcPr>
          <w:p w:rsidR="00223C50" w:rsidRPr="00467A63" w:rsidRDefault="00223C50" w:rsidP="001768DF">
            <w:pPr>
              <w:pStyle w:val="Tabletext"/>
            </w:pPr>
            <w:r w:rsidRPr="00467A63">
              <w:rPr>
                <w:lang w:eastAsia="ja-JP"/>
              </w:rPr>
              <w:t>66-71 GHz</w:t>
            </w:r>
          </w:p>
        </w:tc>
        <w:tc>
          <w:tcPr>
            <w:tcW w:w="5387" w:type="dxa"/>
          </w:tcPr>
          <w:p w:rsidR="00223C50" w:rsidRPr="00467A63" w:rsidRDefault="00D17547" w:rsidP="00D17547">
            <w:pPr>
              <w:pStyle w:val="Tabletext"/>
            </w:pPr>
            <w:r>
              <w:rPr>
                <w:lang w:eastAsia="ja-JP"/>
              </w:rPr>
              <w:t xml:space="preserve">Further discussion as in </w:t>
            </w:r>
            <w:hyperlink r:id="rId16" w:history="1">
              <w:r w:rsidRPr="00D17547">
                <w:rPr>
                  <w:rStyle w:val="a8"/>
                  <w:lang w:eastAsia="ja-JP"/>
                </w:rPr>
                <w:t>445</w:t>
              </w:r>
            </w:hyperlink>
          </w:p>
        </w:tc>
      </w:tr>
      <w:tr w:rsidR="00223C50" w:rsidRPr="00467A63" w:rsidTr="00D17547">
        <w:trPr>
          <w:jc w:val="center"/>
        </w:trPr>
        <w:tc>
          <w:tcPr>
            <w:tcW w:w="3397" w:type="dxa"/>
          </w:tcPr>
          <w:p w:rsidR="00223C50" w:rsidRPr="00467A63" w:rsidRDefault="00223C50" w:rsidP="001768DF">
            <w:pPr>
              <w:pStyle w:val="Tabletext"/>
              <w:rPr>
                <w:lang w:eastAsia="ja-JP"/>
              </w:rPr>
            </w:pPr>
            <w:r>
              <w:rPr>
                <w:rFonts w:hint="eastAsia"/>
                <w:lang w:eastAsia="ja-JP"/>
              </w:rPr>
              <w:t>71-76 GHz</w:t>
            </w:r>
          </w:p>
        </w:tc>
        <w:tc>
          <w:tcPr>
            <w:tcW w:w="5387" w:type="dxa"/>
          </w:tcPr>
          <w:p w:rsidR="00223C50" w:rsidRPr="00467A63" w:rsidRDefault="00454060" w:rsidP="00992BF6">
            <w:pPr>
              <w:pStyle w:val="Tabletext"/>
              <w:rPr>
                <w:lang w:eastAsia="ja-JP"/>
              </w:rPr>
            </w:pPr>
            <w:r w:rsidRPr="00454060">
              <w:rPr>
                <w:rFonts w:hint="eastAsia"/>
                <w:u w:val="single"/>
                <w:lang w:eastAsia="ja-JP"/>
              </w:rPr>
              <w:t>NOC</w:t>
            </w:r>
            <w:r>
              <w:rPr>
                <w:rFonts w:hint="eastAsia"/>
                <w:lang w:eastAsia="ja-JP"/>
              </w:rPr>
              <w:t xml:space="preserve"> (</w:t>
            </w:r>
            <w:r w:rsidR="006E05B6">
              <w:rPr>
                <w:lang w:eastAsia="ja-JP"/>
              </w:rPr>
              <w:t>approved by Plenary</w:t>
            </w:r>
            <w:r w:rsidR="004B0E1B">
              <w:rPr>
                <w:lang w:eastAsia="ja-JP"/>
              </w:rPr>
              <w:t>,</w:t>
            </w:r>
            <w:r w:rsidR="004B0E1B">
              <w:t xml:space="preserve"> </w:t>
            </w:r>
            <w:hyperlink r:id="rId17" w:history="1">
              <w:r w:rsidR="00992BF6">
                <w:rPr>
                  <w:rStyle w:val="a8"/>
                </w:rPr>
                <w:t>202</w:t>
              </w:r>
            </w:hyperlink>
            <w:r>
              <w:rPr>
                <w:rFonts w:hint="eastAsia"/>
                <w:lang w:eastAsia="ja-JP"/>
              </w:rPr>
              <w:t>)</w:t>
            </w:r>
          </w:p>
        </w:tc>
      </w:tr>
      <w:tr w:rsidR="00223C50" w:rsidRPr="00467A63" w:rsidTr="00D17547">
        <w:trPr>
          <w:jc w:val="center"/>
        </w:trPr>
        <w:tc>
          <w:tcPr>
            <w:tcW w:w="3397" w:type="dxa"/>
          </w:tcPr>
          <w:p w:rsidR="00223C50" w:rsidRDefault="00223C50" w:rsidP="001768DF">
            <w:pPr>
              <w:pStyle w:val="Tabletext"/>
              <w:rPr>
                <w:lang w:eastAsia="ja-JP"/>
              </w:rPr>
            </w:pPr>
            <w:r>
              <w:rPr>
                <w:rFonts w:hint="eastAsia"/>
                <w:lang w:eastAsia="ja-JP"/>
              </w:rPr>
              <w:t>81-86 GHz</w:t>
            </w:r>
          </w:p>
        </w:tc>
        <w:tc>
          <w:tcPr>
            <w:tcW w:w="5387" w:type="dxa"/>
          </w:tcPr>
          <w:p w:rsidR="00223C50" w:rsidRPr="00467A63" w:rsidRDefault="00454060" w:rsidP="00992BF6">
            <w:pPr>
              <w:pStyle w:val="Tabletext"/>
            </w:pPr>
            <w:r w:rsidRPr="00454060">
              <w:rPr>
                <w:rFonts w:hint="eastAsia"/>
                <w:u w:val="single"/>
                <w:lang w:eastAsia="ja-JP"/>
              </w:rPr>
              <w:t>NOC</w:t>
            </w:r>
            <w:r>
              <w:rPr>
                <w:rFonts w:hint="eastAsia"/>
                <w:lang w:eastAsia="ja-JP"/>
              </w:rPr>
              <w:t xml:space="preserve"> (</w:t>
            </w:r>
            <w:r w:rsidR="006E05B6">
              <w:rPr>
                <w:lang w:eastAsia="ja-JP"/>
              </w:rPr>
              <w:t>approved by Plenary</w:t>
            </w:r>
            <w:r>
              <w:rPr>
                <w:lang w:eastAsia="ja-JP"/>
              </w:rPr>
              <w:t>,</w:t>
            </w:r>
            <w:r w:rsidR="004B0E1B">
              <w:t xml:space="preserve"> </w:t>
            </w:r>
            <w:hyperlink r:id="rId18" w:history="1">
              <w:r w:rsidR="00992BF6">
                <w:rPr>
                  <w:rStyle w:val="a8"/>
                </w:rPr>
                <w:t>202</w:t>
              </w:r>
            </w:hyperlink>
            <w:r>
              <w:rPr>
                <w:rFonts w:hint="eastAsia"/>
                <w:lang w:eastAsia="ja-JP"/>
              </w:rPr>
              <w:t>)</w:t>
            </w:r>
          </w:p>
        </w:tc>
      </w:tr>
    </w:tbl>
    <w:p w:rsidR="00AB6D4C" w:rsidRDefault="00AB6D4C" w:rsidP="00223C50">
      <w:pPr>
        <w:pStyle w:val="a3"/>
        <w:wordWrap/>
        <w:overflowPunct w:val="0"/>
        <w:ind w:leftChars="0" w:left="780"/>
        <w:rPr>
          <w:rFonts w:ascii="Times New Roman" w:eastAsia="ＭＳ 明朝" w:hAnsi="Times New Roman" w:cs="Times New Roman"/>
          <w:szCs w:val="20"/>
          <w:lang w:eastAsia="ja-JP"/>
        </w:rPr>
      </w:pPr>
    </w:p>
    <w:p w:rsidR="00AB6D4C" w:rsidRDefault="00AB6D4C">
      <w:pPr>
        <w:widowControl/>
        <w:wordWrap/>
        <w:autoSpaceDE/>
        <w:autoSpaceDN/>
        <w:rPr>
          <w:rFonts w:ascii="Times New Roman" w:eastAsia="ＭＳ 明朝" w:hAnsi="Times New Roman" w:cs="Times New Roman"/>
          <w:szCs w:val="20"/>
          <w:lang w:eastAsia="ja-JP"/>
        </w:rPr>
      </w:pPr>
      <w:r>
        <w:rPr>
          <w:rFonts w:ascii="Times New Roman" w:eastAsia="ＭＳ 明朝" w:hAnsi="Times New Roman" w:cs="Times New Roman"/>
          <w:szCs w:val="20"/>
          <w:lang w:eastAsia="ja-JP"/>
        </w:rPr>
        <w:br w:type="page"/>
      </w:r>
    </w:p>
    <w:p w:rsidR="008742F3" w:rsidRPr="00891369" w:rsidRDefault="008742F3"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lastRenderedPageBreak/>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D17547" w:rsidRDefault="00D17547" w:rsidP="002B110C">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EE</w:t>
      </w:r>
      <w:r>
        <w:rPr>
          <w:rFonts w:ascii="Times New Roman" w:eastAsia="ＭＳ 明朝" w:hAnsi="Times New Roman" w:cs="Times New Roman"/>
          <w:sz w:val="24"/>
          <w:szCs w:val="24"/>
          <w:lang w:eastAsia="ja-JP"/>
        </w:rPr>
        <w:t>SS (passive) protection in the 24 GHz</w:t>
      </w:r>
    </w:p>
    <w:p w:rsidR="00D17547" w:rsidRDefault="00D17547" w:rsidP="00D17547">
      <w:pPr>
        <w:pStyle w:val="a3"/>
        <w:numPr>
          <w:ilvl w:val="1"/>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Still n</w:t>
      </w:r>
      <w:r>
        <w:rPr>
          <w:rFonts w:ascii="Times New Roman" w:eastAsia="ＭＳ 明朝" w:hAnsi="Times New Roman" w:cs="Times New Roman" w:hint="eastAsia"/>
          <w:sz w:val="24"/>
          <w:szCs w:val="24"/>
          <w:lang w:eastAsia="ja-JP"/>
        </w:rPr>
        <w:t>o conclusion</w:t>
      </w:r>
      <w:r>
        <w:rPr>
          <w:rFonts w:ascii="Times New Roman" w:eastAsia="ＭＳ 明朝" w:hAnsi="Times New Roman" w:cs="Times New Roman"/>
          <w:sz w:val="24"/>
          <w:szCs w:val="24"/>
          <w:lang w:eastAsia="ja-JP"/>
        </w:rPr>
        <w:t>/way-forward</w:t>
      </w:r>
      <w:r>
        <w:rPr>
          <w:rFonts w:ascii="Times New Roman" w:eastAsia="ＭＳ 明朝" w:hAnsi="Times New Roman" w:cs="Times New Roman" w:hint="eastAsia"/>
          <w:sz w:val="24"/>
          <w:szCs w:val="24"/>
          <w:lang w:eastAsia="ja-JP"/>
        </w:rPr>
        <w:t xml:space="preserve"> through the </w:t>
      </w:r>
      <w:r>
        <w:rPr>
          <w:rFonts w:ascii="Times New Roman" w:eastAsia="ＭＳ 明朝" w:hAnsi="Times New Roman" w:cs="Times New Roman"/>
          <w:sz w:val="24"/>
          <w:szCs w:val="24"/>
          <w:lang w:eastAsia="ja-JP"/>
        </w:rPr>
        <w:t xml:space="preserve">informal </w:t>
      </w:r>
      <w:r>
        <w:rPr>
          <w:rFonts w:ascii="Times New Roman" w:eastAsia="ＭＳ 明朝" w:hAnsi="Times New Roman" w:cs="Times New Roman" w:hint="eastAsia"/>
          <w:sz w:val="24"/>
          <w:szCs w:val="24"/>
          <w:lang w:eastAsia="ja-JP"/>
        </w:rPr>
        <w:t>inter</w:t>
      </w:r>
      <w:r>
        <w:rPr>
          <w:rFonts w:ascii="Times New Roman" w:eastAsia="ＭＳ 明朝" w:hAnsi="Times New Roman" w:cs="Times New Roman"/>
          <w:sz w:val="24"/>
          <w:szCs w:val="24"/>
          <w:lang w:eastAsia="ja-JP"/>
        </w:rPr>
        <w:t xml:space="preserve">-regional </w:t>
      </w:r>
      <w:r>
        <w:rPr>
          <w:rFonts w:ascii="Times New Roman" w:eastAsia="ＭＳ 明朝" w:hAnsi="Times New Roman" w:cs="Times New Roman" w:hint="eastAsia"/>
          <w:sz w:val="24"/>
          <w:szCs w:val="24"/>
          <w:lang w:eastAsia="ja-JP"/>
        </w:rPr>
        <w:t>coordination.</w:t>
      </w:r>
    </w:p>
    <w:p w:rsidR="00D17547" w:rsidRDefault="00D17547" w:rsidP="00D17547">
      <w:pPr>
        <w:pStyle w:val="a3"/>
        <w:numPr>
          <w:ilvl w:val="1"/>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APT Members have started to work the development of the numbers (the unwanted emission limits and active service band) in Region 3, which may be a single or multiple number(s).</w:t>
      </w:r>
    </w:p>
    <w:p w:rsidR="00D17547" w:rsidRDefault="00D17547" w:rsidP="00D17547">
      <w:pPr>
        <w:pStyle w:val="a3"/>
        <w:numPr>
          <w:ilvl w:val="1"/>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APT Members who have not yet proposed any numbers in this regard are invited to contact to the APT coordinator. (</w:t>
      </w:r>
      <w:r w:rsidRPr="00D17547">
        <w:rPr>
          <w:rFonts w:ascii="Times New Roman" w:eastAsia="ＭＳ 明朝" w:hAnsi="Times New Roman" w:cs="Times New Roman"/>
          <w:sz w:val="24"/>
          <w:szCs w:val="24"/>
          <w:highlight w:val="yellow"/>
          <w:lang w:eastAsia="ja-JP"/>
        </w:rPr>
        <w:t>Afghanistan, Bangladesh, Bhutan, the Dem. People’s Rep. of Korea, Indonesia, Iran, Kiribati, Malaysia, Maldives, Marshall Islands, Micronesia, Myanmar, Nauru, Nepal, Palau, Papua New Guinea, the Philippines, Solomon Islands, Sri Lanka, Thailand, Tonga and Tuvalu</w:t>
      </w:r>
      <w:r>
        <w:rPr>
          <w:rFonts w:ascii="Times New Roman" w:eastAsia="ＭＳ 明朝" w:hAnsi="Times New Roman" w:cs="Times New Roman"/>
          <w:sz w:val="24"/>
          <w:szCs w:val="24"/>
          <w:lang w:eastAsia="ja-JP"/>
        </w:rPr>
        <w:t>)</w:t>
      </w:r>
      <w:r>
        <w:rPr>
          <w:rFonts w:ascii="Times New Roman" w:eastAsia="ＭＳ 明朝" w:hAnsi="Times New Roman" w:cs="Times New Roman"/>
          <w:sz w:val="24"/>
          <w:szCs w:val="24"/>
          <w:lang w:eastAsia="ja-JP"/>
        </w:rPr>
        <w:br/>
      </w:r>
    </w:p>
    <w:p w:rsidR="00D17547" w:rsidRDefault="00D17547" w:rsidP="002B110C">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The latest text for the e.i.r.p. limit to protect the FSS uplink bands.</w:t>
      </w:r>
    </w:p>
    <w:p w:rsidR="00BC4E02" w:rsidRDefault="00D17547" w:rsidP="00D17547">
      <w:pPr>
        <w:pStyle w:val="a3"/>
        <w:numPr>
          <w:ilvl w:val="1"/>
          <w:numId w:val="2"/>
        </w:numPr>
        <w:wordWrap/>
        <w:overflowPunct w:val="0"/>
        <w:spacing w:after="100" w:afterAutospacing="1"/>
        <w:ind w:leftChars="0"/>
        <w:rPr>
          <w:rFonts w:ascii="Times New Roman" w:eastAsia="ＭＳ 明朝" w:hAnsi="Times New Roman" w:cs="Times New Roman"/>
          <w:sz w:val="24"/>
          <w:szCs w:val="24"/>
          <w:lang w:eastAsia="ja-JP"/>
        </w:rPr>
      </w:pPr>
      <w:r w:rsidRPr="00D17547">
        <w:rPr>
          <w:rFonts w:ascii="Times New Roman" w:eastAsia="ＭＳ 明朝" w:hAnsi="Times New Roman" w:cs="Times New Roman"/>
          <w:sz w:val="24"/>
          <w:szCs w:val="24"/>
          <w:highlight w:val="yellow"/>
          <w:lang w:eastAsia="ja-JP"/>
        </w:rPr>
        <w:t>“as far as practicable, sites for IMT base stations employing values of equivalent isotropically radiated power (e.i.r.p.) per beam exceeding [60 dBm/200 MHz] should be selected so that the direction of maximum radiation of any antenna will be separated from the geostationary-satellite orbit by [± 7.5] degrees.”</w:t>
      </w:r>
      <w:r w:rsidR="00BC4E02">
        <w:rPr>
          <w:rFonts w:ascii="Times New Roman" w:eastAsia="ＭＳ 明朝" w:hAnsi="Times New Roman" w:cs="Times New Roman"/>
          <w:sz w:val="24"/>
          <w:szCs w:val="24"/>
          <w:lang w:eastAsia="ja-JP"/>
        </w:rPr>
        <w:br/>
      </w:r>
    </w:p>
    <w:p w:rsidR="00C2511E" w:rsidRPr="00C2511E" w:rsidRDefault="00D17547" w:rsidP="002B110C">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The ACP is to support identifying the frequency band 37-43.5 GHz or portions thereof. However, RCC is opposing to identify the 37-40.5 GHz band for Regions 1 and 3, which may be related to the EESS (passive) protection in the 36-37 GHz frequency band. This point requires further discussion among APT Members.</w:t>
      </w:r>
      <w:r w:rsidR="00C2511E">
        <w:rPr>
          <w:rFonts w:ascii="Times New Roman" w:eastAsia="ＭＳ 明朝" w:hAnsi="Times New Roman" w:cs="Times New Roman"/>
          <w:sz w:val="24"/>
          <w:szCs w:val="24"/>
          <w:lang w:eastAsia="ja-JP"/>
        </w:rPr>
        <w:br/>
      </w:r>
    </w:p>
    <w:p w:rsidR="00A62102" w:rsidRPr="00AE39B0" w:rsidRDefault="00C2511E" w:rsidP="00C2511E">
      <w:pPr>
        <w:pStyle w:val="a3"/>
        <w:numPr>
          <w:ilvl w:val="0"/>
          <w:numId w:val="2"/>
        </w:numPr>
        <w:wordWrap/>
        <w:overflowPunct w:val="0"/>
        <w:spacing w:after="100" w:afterAutospacing="1"/>
        <w:ind w:leftChars="0"/>
        <w:rPr>
          <w:rFonts w:ascii="Times New Roman" w:hAnsi="Times New Roman" w:cs="Times New Roman"/>
          <w:sz w:val="24"/>
          <w:szCs w:val="24"/>
        </w:rPr>
      </w:pPr>
      <w:r>
        <w:rPr>
          <w:rFonts w:ascii="Times New Roman" w:hAnsi="Times New Roman" w:cs="Times New Roman"/>
          <w:sz w:val="24"/>
          <w:szCs w:val="24"/>
        </w:rPr>
        <w:t xml:space="preserve">The APT coordinator plans to hold the </w:t>
      </w:r>
      <w:r w:rsidR="00AE39B0">
        <w:rPr>
          <w:rFonts w:ascii="Times New Roman" w:hAnsi="Times New Roman" w:cs="Times New Roman"/>
          <w:sz w:val="24"/>
          <w:szCs w:val="24"/>
        </w:rPr>
        <w:t>APT coordination meeting on agenda item 1.13</w:t>
      </w:r>
      <w:r>
        <w:rPr>
          <w:rFonts w:ascii="Times New Roman" w:hAnsi="Times New Roman" w:cs="Times New Roman"/>
          <w:sz w:val="24"/>
          <w:szCs w:val="24"/>
        </w:rPr>
        <w:t xml:space="preserve"> </w:t>
      </w:r>
      <w:r w:rsidR="00BC4E02">
        <w:rPr>
          <w:rFonts w:ascii="Times New Roman" w:hAnsi="Times New Roman" w:cs="Times New Roman"/>
          <w:sz w:val="24"/>
          <w:szCs w:val="24"/>
        </w:rPr>
        <w:t>from 8:00 tomorrow</w:t>
      </w:r>
      <w:r>
        <w:rPr>
          <w:rFonts w:ascii="Times New Roman" w:hAnsi="Times New Roman" w:cs="Times New Roman"/>
          <w:sz w:val="24"/>
          <w:szCs w:val="24"/>
        </w:rPr>
        <w:t>.</w:t>
      </w:r>
    </w:p>
    <w:p w:rsidR="00C82B13" w:rsidRDefault="00C82B13" w:rsidP="00B541A5">
      <w:pPr>
        <w:wordWrap/>
        <w:overflowPunct w:val="0"/>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bookmarkStart w:id="0" w:name="_GoBack"/>
      <w:bookmarkEnd w:id="0"/>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FC" w:rsidRDefault="00EA5EFC" w:rsidP="00D1517A">
      <w:pPr>
        <w:spacing w:after="0" w:line="240" w:lineRule="auto"/>
      </w:pPr>
      <w:r>
        <w:separator/>
      </w:r>
    </w:p>
  </w:endnote>
  <w:endnote w:type="continuationSeparator" w:id="0">
    <w:p w:rsidR="00EA5EFC" w:rsidRDefault="00EA5EF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FC" w:rsidRDefault="00EA5EFC" w:rsidP="00D1517A">
      <w:pPr>
        <w:spacing w:after="0" w:line="240" w:lineRule="auto"/>
      </w:pPr>
      <w:r>
        <w:separator/>
      </w:r>
    </w:p>
  </w:footnote>
  <w:footnote w:type="continuationSeparator" w:id="0">
    <w:p w:rsidR="00EA5EFC" w:rsidRDefault="00EA5EFC"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3697"/>
    <w:multiLevelType w:val="hybridMultilevel"/>
    <w:tmpl w:val="DA28F1B6"/>
    <w:lvl w:ilvl="0" w:tplc="2AD81D42">
      <w:start w:val="1"/>
      <w:numFmt w:val="bullet"/>
      <w:lvlText w:val=""/>
      <w:lvlJc w:val="left"/>
      <w:pPr>
        <w:ind w:left="780" w:hanging="420"/>
      </w:pPr>
      <w:rPr>
        <w:rFonts w:ascii="Wingdings" w:hAnsi="Wingdings" w:hint="default"/>
      </w:rPr>
    </w:lvl>
    <w:lvl w:ilvl="1" w:tplc="C3203E56">
      <w:start w:val="1"/>
      <w:numFmt w:val="bullet"/>
      <w:lvlText w:val="–"/>
      <w:lvlJc w:val="left"/>
      <w:pPr>
        <w:ind w:left="1200" w:hanging="420"/>
      </w:pPr>
      <w:rPr>
        <w:rFonts w:ascii="Meiryo UI" w:eastAsia="Meiryo UI" w:hAnsi="Meiryo U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3A86A18"/>
    <w:multiLevelType w:val="hybridMultilevel"/>
    <w:tmpl w:val="D7AA34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820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243E0"/>
    <w:rsid w:val="000723A4"/>
    <w:rsid w:val="00086F2C"/>
    <w:rsid w:val="000B5983"/>
    <w:rsid w:val="00132994"/>
    <w:rsid w:val="00184E66"/>
    <w:rsid w:val="001A1F17"/>
    <w:rsid w:val="001A6784"/>
    <w:rsid w:val="001B7188"/>
    <w:rsid w:val="001E0789"/>
    <w:rsid w:val="001E6F7D"/>
    <w:rsid w:val="001E7AEA"/>
    <w:rsid w:val="001F0165"/>
    <w:rsid w:val="00223C50"/>
    <w:rsid w:val="00283D24"/>
    <w:rsid w:val="003346ED"/>
    <w:rsid w:val="00370757"/>
    <w:rsid w:val="0038624A"/>
    <w:rsid w:val="003E4334"/>
    <w:rsid w:val="003F2BF6"/>
    <w:rsid w:val="003F501F"/>
    <w:rsid w:val="00426E01"/>
    <w:rsid w:val="004507BD"/>
    <w:rsid w:val="00454060"/>
    <w:rsid w:val="004A1811"/>
    <w:rsid w:val="004A574B"/>
    <w:rsid w:val="004B0E1B"/>
    <w:rsid w:val="004C436F"/>
    <w:rsid w:val="004D7CC0"/>
    <w:rsid w:val="005755E6"/>
    <w:rsid w:val="00613A34"/>
    <w:rsid w:val="00632439"/>
    <w:rsid w:val="00651E5B"/>
    <w:rsid w:val="00655E2F"/>
    <w:rsid w:val="006651B8"/>
    <w:rsid w:val="00677357"/>
    <w:rsid w:val="00683E04"/>
    <w:rsid w:val="006D6E7A"/>
    <w:rsid w:val="006E05B6"/>
    <w:rsid w:val="00722512"/>
    <w:rsid w:val="00742E21"/>
    <w:rsid w:val="00764220"/>
    <w:rsid w:val="007F3C92"/>
    <w:rsid w:val="008742F3"/>
    <w:rsid w:val="00891369"/>
    <w:rsid w:val="00894279"/>
    <w:rsid w:val="008E3090"/>
    <w:rsid w:val="00930F1D"/>
    <w:rsid w:val="0093583D"/>
    <w:rsid w:val="00957672"/>
    <w:rsid w:val="00992BF6"/>
    <w:rsid w:val="009A4B8B"/>
    <w:rsid w:val="009E27EC"/>
    <w:rsid w:val="009F790A"/>
    <w:rsid w:val="00A34CF4"/>
    <w:rsid w:val="00A62102"/>
    <w:rsid w:val="00AA24B5"/>
    <w:rsid w:val="00AA3F38"/>
    <w:rsid w:val="00AB6D4C"/>
    <w:rsid w:val="00AC461C"/>
    <w:rsid w:val="00AE39B0"/>
    <w:rsid w:val="00B2408D"/>
    <w:rsid w:val="00B36990"/>
    <w:rsid w:val="00B51C69"/>
    <w:rsid w:val="00B541A5"/>
    <w:rsid w:val="00BC4E02"/>
    <w:rsid w:val="00BD378C"/>
    <w:rsid w:val="00C2511E"/>
    <w:rsid w:val="00C63FD0"/>
    <w:rsid w:val="00C750CB"/>
    <w:rsid w:val="00C82B13"/>
    <w:rsid w:val="00CD0A9B"/>
    <w:rsid w:val="00CF64FC"/>
    <w:rsid w:val="00CF651C"/>
    <w:rsid w:val="00D13893"/>
    <w:rsid w:val="00D1517A"/>
    <w:rsid w:val="00D17547"/>
    <w:rsid w:val="00D217CC"/>
    <w:rsid w:val="00D62B94"/>
    <w:rsid w:val="00DE5882"/>
    <w:rsid w:val="00E02C2D"/>
    <w:rsid w:val="00E506DB"/>
    <w:rsid w:val="00E64CDA"/>
    <w:rsid w:val="00E77E32"/>
    <w:rsid w:val="00EA1B34"/>
    <w:rsid w:val="00EA2655"/>
    <w:rsid w:val="00EA5EFC"/>
    <w:rsid w:val="00EC68D5"/>
    <w:rsid w:val="00ED6478"/>
    <w:rsid w:val="00EF7969"/>
    <w:rsid w:val="00F266E9"/>
    <w:rsid w:val="00FD0DDD"/>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nhideWhenUsed/>
    <w:rsid w:val="00426E01"/>
    <w:rPr>
      <w:color w:val="0563C1" w:themeColor="hyperlink"/>
      <w:u w:val="single"/>
    </w:rPr>
  </w:style>
  <w:style w:type="paragraph" w:customStyle="1" w:styleId="Tablehead">
    <w:name w:val="Table_head"/>
    <w:basedOn w:val="a"/>
    <w:rsid w:val="00426E01"/>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ＭＳ 明朝" w:hAnsi="Times New Roman Bold" w:cs="Times New Roman Bold"/>
      <w:b/>
      <w:kern w:val="0"/>
      <w:szCs w:val="20"/>
      <w:lang w:val="en-GB" w:eastAsia="en-US"/>
    </w:rPr>
  </w:style>
  <w:style w:type="paragraph" w:customStyle="1" w:styleId="Tabletext">
    <w:name w:val="Table_text"/>
    <w:basedOn w:val="a"/>
    <w:rsid w:val="00426E01"/>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ＭＳ 明朝" w:hAnsi="Times New Roman" w:cs="Times New Roman"/>
      <w:kern w:val="0"/>
      <w:szCs w:val="20"/>
      <w:lang w:val="en-GB" w:eastAsia="en-US"/>
    </w:rPr>
  </w:style>
  <w:style w:type="table" w:styleId="a9">
    <w:name w:val="Table Grid"/>
    <w:basedOn w:val="a1"/>
    <w:uiPriority w:val="39"/>
    <w:rsid w:val="00426E01"/>
    <w:pPr>
      <w:spacing w:after="0" w:line="240" w:lineRule="auto"/>
      <w:jc w:val="left"/>
    </w:pPr>
    <w:rPr>
      <w:rFonts w:ascii="Times" w:eastAsia="ＭＳ 明朝" w:hAnsi="Times"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
    <w:name w:val="Call"/>
    <w:basedOn w:val="a"/>
    <w:next w:val="a"/>
    <w:link w:val="CallChar"/>
    <w:qFormat/>
    <w:rsid w:val="00A62102"/>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ＭＳ 明朝" w:hAnsi="Times New Roman" w:cs="Times New Roman"/>
      <w:i/>
      <w:kern w:val="0"/>
      <w:sz w:val="24"/>
      <w:szCs w:val="20"/>
      <w:lang w:val="en-GB" w:eastAsia="en-US"/>
    </w:rPr>
  </w:style>
  <w:style w:type="character" w:customStyle="1" w:styleId="CallChar">
    <w:name w:val="Call Char"/>
    <w:basedOn w:val="a0"/>
    <w:link w:val="Call"/>
    <w:qFormat/>
    <w:rsid w:val="00AE39B0"/>
    <w:rPr>
      <w:rFonts w:ascii="Times New Roman" w:eastAsia="ＭＳ 明朝" w:hAnsi="Times New Roman" w:cs="Times New Roman"/>
      <w:i/>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024/en" TargetMode="External"/><Relationship Id="rId13" Type="http://schemas.openxmlformats.org/officeDocument/2006/relationships/hyperlink" Target="https://www.itu.int/md/R16-WRC19-C-0150/en" TargetMode="External"/><Relationship Id="rId18" Type="http://schemas.openxmlformats.org/officeDocument/2006/relationships/hyperlink" Target="https://www.itu.int/md/R16-WRC19-C-0202/en" TargetMode="External"/><Relationship Id="rId3" Type="http://schemas.openxmlformats.org/officeDocument/2006/relationships/settings" Target="settings.xml"/><Relationship Id="rId7" Type="http://schemas.openxmlformats.org/officeDocument/2006/relationships/hyperlink" Target="mailto:hiroyuki.atarashi.yt@nttdocomo.com" TargetMode="External"/><Relationship Id="rId12" Type="http://schemas.openxmlformats.org/officeDocument/2006/relationships/hyperlink" Target="https://www.itu.int/md/R16-WRC19-C-0446/en" TargetMode="External"/><Relationship Id="rId17" Type="http://schemas.openxmlformats.org/officeDocument/2006/relationships/hyperlink" Target="https://www.itu.int/md/R16-WRC19-C-0202/en" TargetMode="External"/><Relationship Id="rId2" Type="http://schemas.openxmlformats.org/officeDocument/2006/relationships/styles" Target="styles.xml"/><Relationship Id="rId16" Type="http://schemas.openxmlformats.org/officeDocument/2006/relationships/hyperlink" Target="https://www.itu.int/md/R16-WRC19-C-0445/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6-WRC19-C-0414/en" TargetMode="External"/><Relationship Id="rId5" Type="http://schemas.openxmlformats.org/officeDocument/2006/relationships/footnotes" Target="footnotes.xml"/><Relationship Id="rId15" Type="http://schemas.openxmlformats.org/officeDocument/2006/relationships/hyperlink" Target="https://www.itu.int/md/R16-WRC19-C-0429/en" TargetMode="External"/><Relationship Id="rId10" Type="http://schemas.openxmlformats.org/officeDocument/2006/relationships/hyperlink" Target="https://www.itu.int/md/R16-WRC19-C-0150/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6-WRC19-C-0447/en" TargetMode="External"/><Relationship Id="rId14" Type="http://schemas.openxmlformats.org/officeDocument/2006/relationships/hyperlink" Target="https://www.itu.int/md/R16-WRC19-C-0439/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618</Words>
  <Characters>3526</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Hiroyuki ATARASHI</cp:lastModifiedBy>
  <cp:revision>5</cp:revision>
  <dcterms:created xsi:type="dcterms:W3CDTF">2019-11-14T08:32:00Z</dcterms:created>
  <dcterms:modified xsi:type="dcterms:W3CDTF">2019-11-18T10:26:00Z</dcterms:modified>
</cp:coreProperties>
</file>