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7" w:rsidRDefault="00BA5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WRC-19</w:t>
      </w:r>
    </w:p>
    <w:p w:rsidR="00894137" w:rsidRDefault="00BA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94137" w:rsidRDefault="00BA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00543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894137" w:rsidRDefault="00894137">
      <w:pPr>
        <w:rPr>
          <w:rFonts w:ascii="Times New Roman" w:hAnsi="Times New Roman" w:cs="Times New Roman"/>
          <w:sz w:val="24"/>
          <w:szCs w:val="24"/>
        </w:rPr>
      </w:pP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support no changes to the Radio Regulations (Method A as contained in the CPM Report) to ensure protection of all existing services to which frequency bands are allocated and their future development in the frequency bands 6 440-6 520 MHz and 6 560-6 640 MHz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:rsidR="00894137" w:rsidRDefault="00BA53DD">
      <w:pPr>
        <w:pStyle w:val="ab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GHz.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WRC-19 on the Agenda Item</w:t>
      </w:r>
    </w:p>
    <w:p w:rsidR="00894137" w:rsidRPr="004106C6" w:rsidRDefault="00BA53DD" w:rsidP="004106C6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 w:hint="eastAsia"/>
          <w:sz w:val="24"/>
          <w:szCs w:val="24"/>
          <w:lang w:val="en-NZ"/>
        </w:rPr>
        <w:t xml:space="preserve">WG 4B3 </w:t>
      </w:r>
      <w:r w:rsidR="003D6DC5" w:rsidRPr="004106C6">
        <w:rPr>
          <w:rFonts w:ascii="Times New Roman" w:hAnsi="Times New Roman" w:cs="Times New Roman" w:hint="eastAsia"/>
          <w:sz w:val="24"/>
          <w:szCs w:val="24"/>
          <w:lang w:val="en-NZ"/>
        </w:rPr>
        <w:t xml:space="preserve">had </w:t>
      </w:r>
      <w:r w:rsidR="008623F4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run out of</w:t>
      </w:r>
      <w:r w:rsidR="003D6DC5" w:rsidRPr="004106C6">
        <w:rPr>
          <w:rFonts w:ascii="Times New Roman" w:hAnsi="Times New Roman" w:cs="Times New Roman" w:hint="eastAsia"/>
          <w:sz w:val="24"/>
          <w:szCs w:val="24"/>
          <w:lang w:val="en-NZ"/>
        </w:rPr>
        <w:t xml:space="preserve"> its meeting session on 12th, Nov</w:t>
      </w:r>
      <w:r w:rsidRPr="004106C6">
        <w:rPr>
          <w:rFonts w:ascii="Times New Roman" w:hAnsi="Times New Roman" w:cs="Times New Roman" w:hint="eastAsia"/>
          <w:sz w:val="24"/>
          <w:szCs w:val="24"/>
          <w:lang w:val="en-NZ"/>
        </w:rPr>
        <w:t>.</w:t>
      </w:r>
      <w:r w:rsid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,</w:t>
      </w:r>
      <w:r w:rsidR="009533E0" w:rsidRPr="004106C6">
        <w:rPr>
          <w:rFonts w:ascii="Times New Roman" w:hAnsi="Times New Roman" w:cs="Times New Roman" w:hint="eastAsia"/>
          <w:sz w:val="24"/>
          <w:szCs w:val="24"/>
          <w:lang w:val="en-NZ"/>
        </w:rPr>
        <w:t xml:space="preserve"> the meeting </w:t>
      </w:r>
      <w:r w:rsidR="008623F4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was requested to end</w:t>
      </w:r>
      <w:r w:rsidR="00C35C31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</w:t>
      </w:r>
      <w:r w:rsidR="008623F4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by one </w:t>
      </w:r>
      <w:r w:rsidR="008623F4">
        <w:rPr>
          <w:rFonts w:ascii="Times New Roman" w:eastAsia="宋体" w:hAnsi="Times New Roman" w:cs="Times New Roman"/>
          <w:sz w:val="24"/>
          <w:szCs w:val="24"/>
          <w:lang w:val="en-NZ" w:eastAsia="zh-CN"/>
        </w:rPr>
        <w:t>administration</w:t>
      </w:r>
      <w:r w:rsidR="008623F4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</w:t>
      </w:r>
      <w:r w:rsidR="00C35C31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before scheduled</w:t>
      </w:r>
      <w:r w:rsidR="00EF503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.</w:t>
      </w:r>
      <w:r w:rsidR="0021746D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</w:t>
      </w:r>
      <w:r w:rsidR="00633C71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N</w:t>
      </w:r>
      <w:r w:rsidR="0021746D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o discussion was held with regard to 1.14 yesterday.</w:t>
      </w:r>
    </w:p>
    <w:p w:rsidR="00F063FE" w:rsidRPr="00834702" w:rsidRDefault="00B20F3E" w:rsidP="00F063FE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During this morning</w:t>
      </w:r>
      <w:r w:rsidRPr="00834702">
        <w:rPr>
          <w:rFonts w:ascii="Times New Roman" w:eastAsia="宋体" w:hAnsi="Times New Roman" w:cs="Times New Roman"/>
          <w:sz w:val="24"/>
          <w:szCs w:val="24"/>
          <w:lang w:val="en-NZ" w:eastAsia="zh-CN"/>
        </w:rPr>
        <w:t>’</w:t>
      </w:r>
      <w:r w:rsidRP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s </w:t>
      </w:r>
      <w:r w:rsidR="00F063FE" w:rsidRPr="00834702">
        <w:rPr>
          <w:rFonts w:ascii="Times New Roman" w:hAnsi="Times New Roman" w:cs="Times New Roman" w:hint="eastAsia"/>
          <w:sz w:val="24"/>
          <w:szCs w:val="24"/>
          <w:lang w:val="en-NZ"/>
        </w:rPr>
        <w:t xml:space="preserve">WG 4B </w:t>
      </w:r>
      <w:r w:rsidRP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meeting, it was decided to establish a</w:t>
      </w:r>
      <w:r w:rsidR="008F6066" w:rsidRP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n</w:t>
      </w:r>
      <w:r w:rsidRPr="0083470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ad-hoc group to address AI 1.14.</w:t>
      </w:r>
    </w:p>
    <w:p w:rsidR="00D7377F" w:rsidRPr="004106C6" w:rsidRDefault="00D72744" w:rsidP="00F063FE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APT Coordination meeting on AI 1.13</w:t>
      </w:r>
    </w:p>
    <w:p w:rsidR="00FB229C" w:rsidRDefault="00B14D1E">
      <w:pPr>
        <w:pStyle w:val="ab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Time: </w:t>
      </w:r>
      <w:r w:rsidR="004E71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Session 4, </w:t>
      </w:r>
      <w:r w:rsidR="00FB22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12</w:t>
      </w:r>
      <w:r w:rsidR="00FB229C">
        <w:rPr>
          <w:rFonts w:ascii="Times New Roman" w:eastAsia="宋体" w:hAnsi="Times New Roman" w:cs="Times New Roman" w:hint="eastAsia"/>
          <w:sz w:val="24"/>
          <w:szCs w:val="24"/>
          <w:vertAlign w:val="superscript"/>
          <w:lang w:eastAsia="zh-CN"/>
        </w:rPr>
        <w:t>th</w:t>
      </w:r>
      <w:r w:rsidR="00FB22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Nov</w:t>
      </w:r>
      <w:r w:rsidR="00CE23F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FB22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Meeting Venue: Room N3</w:t>
      </w:r>
    </w:p>
    <w:p w:rsidR="007E48C1" w:rsidRDefault="007E48C1">
      <w:pPr>
        <w:pStyle w:val="ab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Participant Administrations</w:t>
      </w:r>
      <w:r w:rsidR="00E023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(9)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: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Korea,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Japan,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China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India,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Indonesia,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Iran,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37757" w:rsidRPr="00037757">
        <w:rPr>
          <w:rFonts w:ascii="Times New Roman" w:eastAsia="宋体" w:hAnsi="Times New Roman" w:cs="Times New Roman"/>
          <w:sz w:val="24"/>
          <w:szCs w:val="24"/>
          <w:lang w:eastAsia="zh-CN"/>
        </w:rPr>
        <w:t>Malaysia, Singapore and Thailand</w:t>
      </w:r>
      <w:r w:rsidR="000377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CE1C37" w:rsidRDefault="007122B0" w:rsidP="005D302F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 xml:space="preserve">47 GHz: </w:t>
      </w:r>
      <w:r w:rsidR="005217C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="005217C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fter discussion</w:t>
      </w:r>
      <w:r w:rsidR="005217C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5217C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5217C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 w:rsidR="005D302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he meeting </w:t>
      </w:r>
      <w:r w:rsidR="00B548F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agreed on</w:t>
      </w:r>
      <w:r w:rsidR="005D302F" w:rsidRPr="005D302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the modification to resolution 122</w:t>
      </w:r>
      <w:r w:rsidR="005D302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B548F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which is </w:t>
      </w:r>
      <w:r w:rsidR="007F780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alternative 2.</w:t>
      </w:r>
    </w:p>
    <w:p w:rsidR="00E80A7C" w:rsidRDefault="00144B5E" w:rsidP="00144B5E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28 GHz: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APT may consider regional approach with protection existing services, on the second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ary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basis</w:t>
      </w:r>
      <w:r w:rsidR="00845E0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845E0B" w:rsidRPr="00845E0B" w:rsidRDefault="00845E0B" w:rsidP="00B62ACF">
      <w:pPr>
        <w:pStyle w:val="ab"/>
        <w:ind w:leftChars="500" w:left="1000" w:firstLine="34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45E0B">
        <w:rPr>
          <w:rFonts w:ascii="Times New Roman" w:eastAsia="宋体" w:hAnsi="Times New Roman" w:cs="Times New Roman"/>
          <w:sz w:val="24"/>
          <w:szCs w:val="24"/>
          <w:lang w:eastAsia="zh-CN"/>
        </w:rPr>
        <w:t>Korea proposes NOC and could accept secondary.</w:t>
      </w:r>
    </w:p>
    <w:p w:rsidR="00845E0B" w:rsidRDefault="00845E0B" w:rsidP="00B62ACF">
      <w:pPr>
        <w:pStyle w:val="ab"/>
        <w:ind w:leftChars="670" w:left="134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45E0B">
        <w:rPr>
          <w:rFonts w:ascii="Times New Roman" w:eastAsia="宋体" w:hAnsi="Times New Roman" w:cs="Times New Roman"/>
          <w:sz w:val="24"/>
          <w:szCs w:val="24"/>
          <w:lang w:eastAsia="zh-CN"/>
        </w:rPr>
        <w:t>Indonesia: NOC or footnote.</w:t>
      </w:r>
    </w:p>
    <w:p w:rsidR="00144B5E" w:rsidRDefault="00144B5E" w:rsidP="00144B5E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31 GHz: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APT may consider regional approach for uplink and downlink, which is Alternative 2 in working document.</w:t>
      </w:r>
    </w:p>
    <w:p w:rsidR="00144B5E" w:rsidRDefault="00144B5E" w:rsidP="00144B5E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39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GHz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: </w:t>
      </w:r>
      <w:r w:rsidR="009F131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APT may consider NOC on 39GHz DL.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It is difficulty for APT countries to support HAPS for UL on regional basis.</w:t>
      </w:r>
    </w:p>
    <w:p w:rsidR="00B62ACF" w:rsidRPr="00B62ACF" w:rsidRDefault="00B62ACF" w:rsidP="00B62ACF">
      <w:pPr>
        <w:pStyle w:val="ab"/>
        <w:ind w:leftChars="500" w:left="1000" w:firstLine="34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>Iran, India, SIN, China and Malaysia propose NOC</w:t>
      </w:r>
    </w:p>
    <w:p w:rsidR="00B62ACF" w:rsidRPr="00B62ACF" w:rsidRDefault="00B62ACF" w:rsidP="00B62ACF">
      <w:pPr>
        <w:pStyle w:val="ab"/>
        <w:ind w:leftChars="500" w:left="1000" w:firstLine="34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>Japan proposes UL only, have difficulty on DL.</w:t>
      </w:r>
    </w:p>
    <w:p w:rsidR="00B62ACF" w:rsidRPr="00B62ACF" w:rsidRDefault="00B62ACF" w:rsidP="00B62ACF">
      <w:pPr>
        <w:pStyle w:val="ab"/>
        <w:ind w:leftChars="500" w:left="1000" w:firstLine="34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>Thailand proposes NOC or secondary</w:t>
      </w:r>
      <w:r w:rsidR="008C26F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B62ACF" w:rsidRPr="00B62ACF" w:rsidRDefault="00B62ACF" w:rsidP="00B62ACF">
      <w:pPr>
        <w:pStyle w:val="ab"/>
        <w:ind w:leftChars="500" w:left="1000" w:firstLine="34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>Korea proposes NOC and could accept secondary.</w:t>
      </w:r>
    </w:p>
    <w:p w:rsidR="007C208F" w:rsidRPr="00367625" w:rsidRDefault="00B62ACF" w:rsidP="00B62ACF">
      <w:pPr>
        <w:pStyle w:val="ab"/>
        <w:ind w:leftChars="670" w:left="134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Indonesia </w:t>
      </w:r>
      <w:r w:rsidR="00E5294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has </w:t>
      </w:r>
      <w:r w:rsidRPr="00B62ACF">
        <w:rPr>
          <w:rFonts w:ascii="Times New Roman" w:eastAsia="宋体" w:hAnsi="Times New Roman" w:cs="Times New Roman"/>
          <w:sz w:val="24"/>
          <w:szCs w:val="24"/>
          <w:lang w:eastAsia="zh-CN"/>
        </w:rPr>
        <w:t>no specific view.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hAnsi="Times New Roman" w:cs="Times New Roman" w:hint="eastAsia"/>
          <w:sz w:val="24"/>
          <w:szCs w:val="24"/>
        </w:rPr>
        <w:t xml:space="preserve">which require discussion at </w:t>
      </w:r>
      <w:r>
        <w:rPr>
          <w:rFonts w:ascii="Times New Roman" w:hAnsi="Times New Roman" w:cs="Times New Roman"/>
          <w:sz w:val="24"/>
          <w:szCs w:val="24"/>
        </w:rPr>
        <w:t>APT Coordination Meetings and seek guidance thereafter</w:t>
      </w:r>
    </w:p>
    <w:p w:rsidR="00894137" w:rsidRDefault="00C0748B">
      <w:pPr>
        <w:pStyle w:val="ab"/>
        <w:ind w:leftChars="0" w:left="360" w:firstLine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Below</w:t>
      </w:r>
      <w:r w:rsidR="00BA53D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the preliminary outcome of </w:t>
      </w:r>
      <w:r w:rsidR="00A50C6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 AI 1.14 coordination meeting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for meeting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C64B8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consideration and approval, as </w:t>
      </w:r>
      <w:r w:rsidR="00C64B80">
        <w:rPr>
          <w:rFonts w:ascii="Times New Roman" w:eastAsia="宋体" w:hAnsi="Times New Roman" w:cs="Times New Roman"/>
          <w:sz w:val="24"/>
          <w:szCs w:val="24"/>
          <w:lang w:eastAsia="zh-CN"/>
        </w:rPr>
        <w:t>appropriate</w:t>
      </w:r>
      <w:r w:rsidR="00BA53D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D11E1C" w:rsidRDefault="00D11E1C" w:rsidP="00D11E1C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on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47 GHz: </w:t>
      </w:r>
      <w:r w:rsidRPr="005D302F">
        <w:rPr>
          <w:rFonts w:ascii="Times New Roman" w:eastAsia="宋体" w:hAnsi="Times New Roman" w:cs="Times New Roman"/>
          <w:sz w:val="24"/>
          <w:szCs w:val="24"/>
          <w:lang w:eastAsia="zh-CN"/>
        </w:rPr>
        <w:t>the modification to resolution 122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which is alternative 2.</w:t>
      </w:r>
    </w:p>
    <w:p w:rsidR="00D11E1C" w:rsidRDefault="00D11E1C" w:rsidP="00D11E1C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on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28 GHz: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egional approach with protection existing services, on the second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ary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basis</w:t>
      </w:r>
    </w:p>
    <w:p w:rsidR="00D11E1C" w:rsidRDefault="00D11E1C" w:rsidP="00D11E1C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on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31</w:t>
      </w:r>
      <w:r w:rsidR="00AA4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GHz:</w:t>
      </w:r>
      <w:r w:rsidR="00AA4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egional approach for uplink and downlink, which is Alternative 2 in working document.</w:t>
      </w:r>
    </w:p>
    <w:p w:rsidR="00D11E1C" w:rsidRDefault="00D11E1C" w:rsidP="00D11E1C">
      <w:pPr>
        <w:pStyle w:val="ab"/>
        <w:numPr>
          <w:ilvl w:val="0"/>
          <w:numId w:val="3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on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39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GHz</w:t>
      </w:r>
      <w:r w:rsidR="00AA4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:</w:t>
      </w:r>
    </w:p>
    <w:p w:rsidR="00D11E1C" w:rsidRDefault="00D11E1C" w:rsidP="00D11E1C">
      <w:pPr>
        <w:pStyle w:val="ab"/>
        <w:ind w:leftChars="0" w:left="1140" w:firstLine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DL: NOC</w:t>
      </w:r>
    </w:p>
    <w:p w:rsidR="00D11E1C" w:rsidRPr="00BF4AFF" w:rsidRDefault="00D11E1C" w:rsidP="00AA48B7">
      <w:pPr>
        <w:pStyle w:val="ab"/>
        <w:ind w:leftChars="0" w:left="1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UL: More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support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NOC, may consider secondary</w:t>
      </w:r>
      <w:r w:rsidRPr="00144B5E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tbl>
      <w:tblPr>
        <w:tblStyle w:val="20"/>
        <w:tblW w:w="9445" w:type="dxa"/>
        <w:tblLook w:val="04A0" w:firstRow="1" w:lastRow="0" w:firstColumn="1" w:lastColumn="0" w:noHBand="0" w:noVBand="1"/>
      </w:tblPr>
      <w:tblGrid>
        <w:gridCol w:w="881"/>
        <w:gridCol w:w="1163"/>
        <w:gridCol w:w="1168"/>
        <w:gridCol w:w="1287"/>
        <w:gridCol w:w="1175"/>
        <w:gridCol w:w="1148"/>
        <w:gridCol w:w="1201"/>
        <w:gridCol w:w="1422"/>
      </w:tblGrid>
      <w:tr w:rsidR="0072359C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6GHz lower band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6GHz higher band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28 GHz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31 GHz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38 GHz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38 GHz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47 GHz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CEPT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00892" w:rsidRPr="00E00892" w:rsidRDefault="0049507B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ASMG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CITEL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highlight w:val="green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RCC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436DC1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zh-CN"/>
              </w:rPr>
            </w:pPr>
            <w:r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 secondary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ATU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00892" w:rsidRPr="00E00892" w:rsidRDefault="0049507B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APT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72359C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[↓] secondary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[↓↑]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[NOC]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72359C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[NOC or secondary</w:t>
            </w:r>
            <w:r w:rsidR="0072359C" w:rsidRPr="00E00892">
              <w:rPr>
                <w:kern w:val="0"/>
                <w:lang w:eastAsia="en-US"/>
              </w:rPr>
              <w:t>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[</w:t>
            </w:r>
            <w:r w:rsidRPr="00E00892">
              <w:rPr>
                <w:kern w:val="0"/>
                <w:lang w:eastAsia="en-US"/>
              </w:rPr>
              <w:t>Alternative 2</w:t>
            </w:r>
            <w:r>
              <w:rPr>
                <w:rFonts w:hint="eastAsia"/>
                <w:kern w:val="0"/>
                <w:lang w:eastAsia="zh-CN"/>
              </w:rPr>
              <w:t>]</w:t>
            </w:r>
          </w:p>
        </w:tc>
      </w:tr>
    </w:tbl>
    <w:p w:rsidR="00894137" w:rsidRDefault="00894137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0" w:name="_MON_1635083548"/>
      <w:bookmarkStart w:id="1" w:name="_GoBack"/>
      <w:bookmarkEnd w:id="0"/>
      <w:bookmarkEnd w:id="1"/>
    </w:p>
    <w:p w:rsidR="00894137" w:rsidRDefault="00BA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94137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4E" w:rsidRDefault="0010604E" w:rsidP="00C752D1">
      <w:pPr>
        <w:spacing w:after="0" w:line="240" w:lineRule="auto"/>
      </w:pPr>
      <w:r>
        <w:separator/>
      </w:r>
    </w:p>
  </w:endnote>
  <w:endnote w:type="continuationSeparator" w:id="0">
    <w:p w:rsidR="0010604E" w:rsidRDefault="0010604E" w:rsidP="00C7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4E" w:rsidRDefault="0010604E" w:rsidP="00C752D1">
      <w:pPr>
        <w:spacing w:after="0" w:line="240" w:lineRule="auto"/>
      </w:pPr>
      <w:r>
        <w:separator/>
      </w:r>
    </w:p>
  </w:footnote>
  <w:footnote w:type="continuationSeparator" w:id="0">
    <w:p w:rsidR="0010604E" w:rsidRDefault="0010604E" w:rsidP="00C7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multilevel"/>
    <w:tmpl w:val="3C0676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59457B49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D22753A"/>
    <w:multiLevelType w:val="hybridMultilevel"/>
    <w:tmpl w:val="2C44723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 ZHOU">
    <w15:presenceInfo w15:providerId="None" w15:userId="Dong ZHOU"/>
  </w15:person>
  <w15:person w15:author="Liu Wei">
    <w15:presenceInfo w15:providerId="Windows Live" w15:userId="2e75c3128fe4a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0111A"/>
    <w:rsid w:val="0000543A"/>
    <w:rsid w:val="0000564A"/>
    <w:rsid w:val="0000653C"/>
    <w:rsid w:val="000144BC"/>
    <w:rsid w:val="00025667"/>
    <w:rsid w:val="00036215"/>
    <w:rsid w:val="00037757"/>
    <w:rsid w:val="00045640"/>
    <w:rsid w:val="00046744"/>
    <w:rsid w:val="00050A9D"/>
    <w:rsid w:val="000531F9"/>
    <w:rsid w:val="00073CF9"/>
    <w:rsid w:val="0008186D"/>
    <w:rsid w:val="000844BC"/>
    <w:rsid w:val="00086F2C"/>
    <w:rsid w:val="00087452"/>
    <w:rsid w:val="00097953"/>
    <w:rsid w:val="000A2ACC"/>
    <w:rsid w:val="000B19A8"/>
    <w:rsid w:val="000B5983"/>
    <w:rsid w:val="000B6D5C"/>
    <w:rsid w:val="000C10BC"/>
    <w:rsid w:val="000D13CB"/>
    <w:rsid w:val="000D15B2"/>
    <w:rsid w:val="000D218A"/>
    <w:rsid w:val="000D76EC"/>
    <w:rsid w:val="000E1EF9"/>
    <w:rsid w:val="0010126F"/>
    <w:rsid w:val="0010604E"/>
    <w:rsid w:val="00125847"/>
    <w:rsid w:val="00144B5E"/>
    <w:rsid w:val="00147F7E"/>
    <w:rsid w:val="001515E9"/>
    <w:rsid w:val="00155801"/>
    <w:rsid w:val="00161DBE"/>
    <w:rsid w:val="00164EAA"/>
    <w:rsid w:val="00166F30"/>
    <w:rsid w:val="00176F9B"/>
    <w:rsid w:val="00194A60"/>
    <w:rsid w:val="001A1EDB"/>
    <w:rsid w:val="001A1F17"/>
    <w:rsid w:val="001A25B3"/>
    <w:rsid w:val="001A3632"/>
    <w:rsid w:val="001A4F93"/>
    <w:rsid w:val="001B05F5"/>
    <w:rsid w:val="001B726D"/>
    <w:rsid w:val="001D2CDD"/>
    <w:rsid w:val="001D45C9"/>
    <w:rsid w:val="001D67C6"/>
    <w:rsid w:val="001D7CDA"/>
    <w:rsid w:val="001E0789"/>
    <w:rsid w:val="001E58F2"/>
    <w:rsid w:val="001F023D"/>
    <w:rsid w:val="001F423D"/>
    <w:rsid w:val="00202594"/>
    <w:rsid w:val="00202E90"/>
    <w:rsid w:val="00203F93"/>
    <w:rsid w:val="00207AE0"/>
    <w:rsid w:val="002125D8"/>
    <w:rsid w:val="0021746D"/>
    <w:rsid w:val="00224068"/>
    <w:rsid w:val="00225FDA"/>
    <w:rsid w:val="00234E1B"/>
    <w:rsid w:val="00236A84"/>
    <w:rsid w:val="0024487B"/>
    <w:rsid w:val="00247977"/>
    <w:rsid w:val="0025128A"/>
    <w:rsid w:val="0027003B"/>
    <w:rsid w:val="00275A4A"/>
    <w:rsid w:val="00277410"/>
    <w:rsid w:val="00277A1C"/>
    <w:rsid w:val="00280322"/>
    <w:rsid w:val="00282F45"/>
    <w:rsid w:val="00283D24"/>
    <w:rsid w:val="0029413E"/>
    <w:rsid w:val="00296072"/>
    <w:rsid w:val="00297C4B"/>
    <w:rsid w:val="002B0F65"/>
    <w:rsid w:val="002B456E"/>
    <w:rsid w:val="002C11B6"/>
    <w:rsid w:val="002C3185"/>
    <w:rsid w:val="002C4495"/>
    <w:rsid w:val="002C695E"/>
    <w:rsid w:val="002D4567"/>
    <w:rsid w:val="002E3471"/>
    <w:rsid w:val="0030151B"/>
    <w:rsid w:val="00306FDD"/>
    <w:rsid w:val="0032116B"/>
    <w:rsid w:val="003221A0"/>
    <w:rsid w:val="00327202"/>
    <w:rsid w:val="00332C1A"/>
    <w:rsid w:val="003330D2"/>
    <w:rsid w:val="003345E6"/>
    <w:rsid w:val="003346ED"/>
    <w:rsid w:val="00336A5E"/>
    <w:rsid w:val="00346EBA"/>
    <w:rsid w:val="00347FA9"/>
    <w:rsid w:val="00352A31"/>
    <w:rsid w:val="00352D1C"/>
    <w:rsid w:val="0035735D"/>
    <w:rsid w:val="00363AE6"/>
    <w:rsid w:val="00365A18"/>
    <w:rsid w:val="003667FC"/>
    <w:rsid w:val="00367625"/>
    <w:rsid w:val="00372281"/>
    <w:rsid w:val="00375B84"/>
    <w:rsid w:val="003962A6"/>
    <w:rsid w:val="003A278E"/>
    <w:rsid w:val="003A4810"/>
    <w:rsid w:val="003B6DB9"/>
    <w:rsid w:val="003C736F"/>
    <w:rsid w:val="003D1C9A"/>
    <w:rsid w:val="003D3364"/>
    <w:rsid w:val="003D49B9"/>
    <w:rsid w:val="003D5D96"/>
    <w:rsid w:val="003D6DC5"/>
    <w:rsid w:val="003E3519"/>
    <w:rsid w:val="003F2558"/>
    <w:rsid w:val="00404B25"/>
    <w:rsid w:val="004106C6"/>
    <w:rsid w:val="00426744"/>
    <w:rsid w:val="004364A4"/>
    <w:rsid w:val="00436DC1"/>
    <w:rsid w:val="0044385F"/>
    <w:rsid w:val="00451048"/>
    <w:rsid w:val="00455A65"/>
    <w:rsid w:val="00464C1F"/>
    <w:rsid w:val="004705B2"/>
    <w:rsid w:val="004801E1"/>
    <w:rsid w:val="0049507B"/>
    <w:rsid w:val="004A574B"/>
    <w:rsid w:val="004B3260"/>
    <w:rsid w:val="004B3394"/>
    <w:rsid w:val="004B6CA6"/>
    <w:rsid w:val="004D3146"/>
    <w:rsid w:val="004D5147"/>
    <w:rsid w:val="004D7CC0"/>
    <w:rsid w:val="004E1945"/>
    <w:rsid w:val="004E3D6B"/>
    <w:rsid w:val="004E712E"/>
    <w:rsid w:val="004F2174"/>
    <w:rsid w:val="004F3798"/>
    <w:rsid w:val="00505F0C"/>
    <w:rsid w:val="00507CB7"/>
    <w:rsid w:val="005217C1"/>
    <w:rsid w:val="00521B44"/>
    <w:rsid w:val="00523859"/>
    <w:rsid w:val="005258E5"/>
    <w:rsid w:val="00526B73"/>
    <w:rsid w:val="00552350"/>
    <w:rsid w:val="00553A6B"/>
    <w:rsid w:val="005656C3"/>
    <w:rsid w:val="005669F7"/>
    <w:rsid w:val="00567134"/>
    <w:rsid w:val="00567A75"/>
    <w:rsid w:val="00567D9C"/>
    <w:rsid w:val="005717C5"/>
    <w:rsid w:val="00572416"/>
    <w:rsid w:val="005755E6"/>
    <w:rsid w:val="00585945"/>
    <w:rsid w:val="00586F15"/>
    <w:rsid w:val="005947E8"/>
    <w:rsid w:val="005A70D1"/>
    <w:rsid w:val="005B530D"/>
    <w:rsid w:val="005C2930"/>
    <w:rsid w:val="005D042E"/>
    <w:rsid w:val="005D244B"/>
    <w:rsid w:val="005D302F"/>
    <w:rsid w:val="005D6A62"/>
    <w:rsid w:val="005F0DC4"/>
    <w:rsid w:val="005F445E"/>
    <w:rsid w:val="005F4B05"/>
    <w:rsid w:val="005F67B6"/>
    <w:rsid w:val="005F725D"/>
    <w:rsid w:val="005F7C50"/>
    <w:rsid w:val="00601063"/>
    <w:rsid w:val="0060287A"/>
    <w:rsid w:val="00607C8A"/>
    <w:rsid w:val="006107A2"/>
    <w:rsid w:val="00611C17"/>
    <w:rsid w:val="0061208B"/>
    <w:rsid w:val="00626E33"/>
    <w:rsid w:val="00633C71"/>
    <w:rsid w:val="00650A79"/>
    <w:rsid w:val="006530A6"/>
    <w:rsid w:val="0065415F"/>
    <w:rsid w:val="00656AE3"/>
    <w:rsid w:val="00664DAB"/>
    <w:rsid w:val="00675754"/>
    <w:rsid w:val="00675822"/>
    <w:rsid w:val="0067647E"/>
    <w:rsid w:val="00677357"/>
    <w:rsid w:val="00683E04"/>
    <w:rsid w:val="006936F0"/>
    <w:rsid w:val="0069412F"/>
    <w:rsid w:val="00696C6E"/>
    <w:rsid w:val="006A0017"/>
    <w:rsid w:val="006A6FCA"/>
    <w:rsid w:val="006D3B25"/>
    <w:rsid w:val="006D50DC"/>
    <w:rsid w:val="006E58DB"/>
    <w:rsid w:val="006F1B62"/>
    <w:rsid w:val="006F7873"/>
    <w:rsid w:val="00707588"/>
    <w:rsid w:val="007110BF"/>
    <w:rsid w:val="007122B0"/>
    <w:rsid w:val="00717110"/>
    <w:rsid w:val="00722FDC"/>
    <w:rsid w:val="0072359C"/>
    <w:rsid w:val="00726CF2"/>
    <w:rsid w:val="00736568"/>
    <w:rsid w:val="00741F18"/>
    <w:rsid w:val="00762F93"/>
    <w:rsid w:val="00764E0A"/>
    <w:rsid w:val="007660DA"/>
    <w:rsid w:val="00797F36"/>
    <w:rsid w:val="007B55BC"/>
    <w:rsid w:val="007C208F"/>
    <w:rsid w:val="007C5194"/>
    <w:rsid w:val="007E0F1F"/>
    <w:rsid w:val="007E35F7"/>
    <w:rsid w:val="007E47FE"/>
    <w:rsid w:val="007E48C1"/>
    <w:rsid w:val="007F7808"/>
    <w:rsid w:val="00801E4C"/>
    <w:rsid w:val="00806A85"/>
    <w:rsid w:val="00807A02"/>
    <w:rsid w:val="00834702"/>
    <w:rsid w:val="00842D4D"/>
    <w:rsid w:val="00845E0B"/>
    <w:rsid w:val="008530A3"/>
    <w:rsid w:val="00854764"/>
    <w:rsid w:val="008623F4"/>
    <w:rsid w:val="008647C2"/>
    <w:rsid w:val="00867D49"/>
    <w:rsid w:val="008710E6"/>
    <w:rsid w:val="008742F3"/>
    <w:rsid w:val="00876A25"/>
    <w:rsid w:val="00882332"/>
    <w:rsid w:val="00894137"/>
    <w:rsid w:val="00894B32"/>
    <w:rsid w:val="008A37E1"/>
    <w:rsid w:val="008A38A5"/>
    <w:rsid w:val="008A7A09"/>
    <w:rsid w:val="008B1346"/>
    <w:rsid w:val="008C0218"/>
    <w:rsid w:val="008C08B7"/>
    <w:rsid w:val="008C26F5"/>
    <w:rsid w:val="008C5D85"/>
    <w:rsid w:val="008D4BF5"/>
    <w:rsid w:val="008D6ADF"/>
    <w:rsid w:val="008E0312"/>
    <w:rsid w:val="008E2B21"/>
    <w:rsid w:val="008E4318"/>
    <w:rsid w:val="008E5973"/>
    <w:rsid w:val="008F6066"/>
    <w:rsid w:val="00901E45"/>
    <w:rsid w:val="0091227A"/>
    <w:rsid w:val="00912AEC"/>
    <w:rsid w:val="009174C5"/>
    <w:rsid w:val="00921719"/>
    <w:rsid w:val="00922591"/>
    <w:rsid w:val="00926A2F"/>
    <w:rsid w:val="00930966"/>
    <w:rsid w:val="00934098"/>
    <w:rsid w:val="009503C4"/>
    <w:rsid w:val="00950B38"/>
    <w:rsid w:val="009516D5"/>
    <w:rsid w:val="009533E0"/>
    <w:rsid w:val="00955DDD"/>
    <w:rsid w:val="00992396"/>
    <w:rsid w:val="0099492A"/>
    <w:rsid w:val="009B288B"/>
    <w:rsid w:val="009B4684"/>
    <w:rsid w:val="009B4A8A"/>
    <w:rsid w:val="009D496E"/>
    <w:rsid w:val="009E2240"/>
    <w:rsid w:val="009E27EC"/>
    <w:rsid w:val="009F1312"/>
    <w:rsid w:val="009F2936"/>
    <w:rsid w:val="00A00CDA"/>
    <w:rsid w:val="00A026A8"/>
    <w:rsid w:val="00A063E0"/>
    <w:rsid w:val="00A10593"/>
    <w:rsid w:val="00A1108B"/>
    <w:rsid w:val="00A13C74"/>
    <w:rsid w:val="00A23448"/>
    <w:rsid w:val="00A24E73"/>
    <w:rsid w:val="00A375EF"/>
    <w:rsid w:val="00A37EEB"/>
    <w:rsid w:val="00A455B3"/>
    <w:rsid w:val="00A50C6A"/>
    <w:rsid w:val="00A577B4"/>
    <w:rsid w:val="00A629AC"/>
    <w:rsid w:val="00A66685"/>
    <w:rsid w:val="00A87680"/>
    <w:rsid w:val="00A8782B"/>
    <w:rsid w:val="00A902DA"/>
    <w:rsid w:val="00A97A3D"/>
    <w:rsid w:val="00AA2279"/>
    <w:rsid w:val="00AA3053"/>
    <w:rsid w:val="00AA48B7"/>
    <w:rsid w:val="00AC0139"/>
    <w:rsid w:val="00AC3044"/>
    <w:rsid w:val="00AC461C"/>
    <w:rsid w:val="00AC4750"/>
    <w:rsid w:val="00AD0F78"/>
    <w:rsid w:val="00AD5C3A"/>
    <w:rsid w:val="00AD7EB5"/>
    <w:rsid w:val="00AE4114"/>
    <w:rsid w:val="00AE6994"/>
    <w:rsid w:val="00AF5A96"/>
    <w:rsid w:val="00B06AD8"/>
    <w:rsid w:val="00B109C3"/>
    <w:rsid w:val="00B11294"/>
    <w:rsid w:val="00B14D1E"/>
    <w:rsid w:val="00B20F3E"/>
    <w:rsid w:val="00B2221D"/>
    <w:rsid w:val="00B32848"/>
    <w:rsid w:val="00B328F0"/>
    <w:rsid w:val="00B370BA"/>
    <w:rsid w:val="00B436F5"/>
    <w:rsid w:val="00B4575E"/>
    <w:rsid w:val="00B548FA"/>
    <w:rsid w:val="00B60B10"/>
    <w:rsid w:val="00B62ACF"/>
    <w:rsid w:val="00B65CCB"/>
    <w:rsid w:val="00B7036D"/>
    <w:rsid w:val="00B80449"/>
    <w:rsid w:val="00B85930"/>
    <w:rsid w:val="00B94F8B"/>
    <w:rsid w:val="00BA1408"/>
    <w:rsid w:val="00BA53DD"/>
    <w:rsid w:val="00BC575C"/>
    <w:rsid w:val="00BC6AA9"/>
    <w:rsid w:val="00BD068C"/>
    <w:rsid w:val="00BD7012"/>
    <w:rsid w:val="00BE11F6"/>
    <w:rsid w:val="00BE37FB"/>
    <w:rsid w:val="00BE7908"/>
    <w:rsid w:val="00BF198F"/>
    <w:rsid w:val="00BF1F3F"/>
    <w:rsid w:val="00BF4AFF"/>
    <w:rsid w:val="00C00CA4"/>
    <w:rsid w:val="00C02BDF"/>
    <w:rsid w:val="00C03876"/>
    <w:rsid w:val="00C04EA6"/>
    <w:rsid w:val="00C0748B"/>
    <w:rsid w:val="00C14DED"/>
    <w:rsid w:val="00C244AE"/>
    <w:rsid w:val="00C2575E"/>
    <w:rsid w:val="00C259B3"/>
    <w:rsid w:val="00C337B6"/>
    <w:rsid w:val="00C35C31"/>
    <w:rsid w:val="00C4357C"/>
    <w:rsid w:val="00C440A6"/>
    <w:rsid w:val="00C608B6"/>
    <w:rsid w:val="00C6106F"/>
    <w:rsid w:val="00C63350"/>
    <w:rsid w:val="00C64B80"/>
    <w:rsid w:val="00C710F5"/>
    <w:rsid w:val="00C73602"/>
    <w:rsid w:val="00C74A40"/>
    <w:rsid w:val="00C750CB"/>
    <w:rsid w:val="00C752D1"/>
    <w:rsid w:val="00C76BA2"/>
    <w:rsid w:val="00C82B13"/>
    <w:rsid w:val="00C86843"/>
    <w:rsid w:val="00C94925"/>
    <w:rsid w:val="00CA4651"/>
    <w:rsid w:val="00CA5B74"/>
    <w:rsid w:val="00CB1417"/>
    <w:rsid w:val="00CB2223"/>
    <w:rsid w:val="00CC1EC0"/>
    <w:rsid w:val="00CC51DC"/>
    <w:rsid w:val="00CC7B57"/>
    <w:rsid w:val="00CD15AF"/>
    <w:rsid w:val="00CD5603"/>
    <w:rsid w:val="00CD5616"/>
    <w:rsid w:val="00CE1C37"/>
    <w:rsid w:val="00CE23F0"/>
    <w:rsid w:val="00CE44A3"/>
    <w:rsid w:val="00CE542F"/>
    <w:rsid w:val="00CF07E6"/>
    <w:rsid w:val="00D0347F"/>
    <w:rsid w:val="00D10B65"/>
    <w:rsid w:val="00D113F0"/>
    <w:rsid w:val="00D11E1C"/>
    <w:rsid w:val="00D123B1"/>
    <w:rsid w:val="00D130AA"/>
    <w:rsid w:val="00D1517A"/>
    <w:rsid w:val="00D22E5A"/>
    <w:rsid w:val="00D44834"/>
    <w:rsid w:val="00D4701E"/>
    <w:rsid w:val="00D51316"/>
    <w:rsid w:val="00D51ED7"/>
    <w:rsid w:val="00D653F0"/>
    <w:rsid w:val="00D65514"/>
    <w:rsid w:val="00D67A77"/>
    <w:rsid w:val="00D72744"/>
    <w:rsid w:val="00D72E1A"/>
    <w:rsid w:val="00D7377F"/>
    <w:rsid w:val="00D7595E"/>
    <w:rsid w:val="00D77596"/>
    <w:rsid w:val="00D90B4C"/>
    <w:rsid w:val="00D91403"/>
    <w:rsid w:val="00D93A84"/>
    <w:rsid w:val="00D9444D"/>
    <w:rsid w:val="00DA12FC"/>
    <w:rsid w:val="00DC0709"/>
    <w:rsid w:val="00DC1A67"/>
    <w:rsid w:val="00DC32B3"/>
    <w:rsid w:val="00DC3AB3"/>
    <w:rsid w:val="00DC78E9"/>
    <w:rsid w:val="00DF1FB7"/>
    <w:rsid w:val="00E00892"/>
    <w:rsid w:val="00E02360"/>
    <w:rsid w:val="00E02362"/>
    <w:rsid w:val="00E06D23"/>
    <w:rsid w:val="00E13E2B"/>
    <w:rsid w:val="00E16ECD"/>
    <w:rsid w:val="00E23B41"/>
    <w:rsid w:val="00E33CA5"/>
    <w:rsid w:val="00E41A1F"/>
    <w:rsid w:val="00E52085"/>
    <w:rsid w:val="00E52949"/>
    <w:rsid w:val="00E80A7C"/>
    <w:rsid w:val="00E80EA0"/>
    <w:rsid w:val="00E912A9"/>
    <w:rsid w:val="00E9138C"/>
    <w:rsid w:val="00E92665"/>
    <w:rsid w:val="00EA1B34"/>
    <w:rsid w:val="00EC0999"/>
    <w:rsid w:val="00EC3F32"/>
    <w:rsid w:val="00EC68D5"/>
    <w:rsid w:val="00ED573A"/>
    <w:rsid w:val="00EE013C"/>
    <w:rsid w:val="00EF5032"/>
    <w:rsid w:val="00EF50A3"/>
    <w:rsid w:val="00EF7969"/>
    <w:rsid w:val="00F0296A"/>
    <w:rsid w:val="00F050E4"/>
    <w:rsid w:val="00F063FE"/>
    <w:rsid w:val="00F1025A"/>
    <w:rsid w:val="00F12F34"/>
    <w:rsid w:val="00F13D8F"/>
    <w:rsid w:val="00F14B2A"/>
    <w:rsid w:val="00F21C01"/>
    <w:rsid w:val="00F24258"/>
    <w:rsid w:val="00F25B0D"/>
    <w:rsid w:val="00F3371F"/>
    <w:rsid w:val="00F354B4"/>
    <w:rsid w:val="00F366D4"/>
    <w:rsid w:val="00F4159B"/>
    <w:rsid w:val="00F52B7B"/>
    <w:rsid w:val="00F64101"/>
    <w:rsid w:val="00F663D5"/>
    <w:rsid w:val="00F721A2"/>
    <w:rsid w:val="00F72728"/>
    <w:rsid w:val="00FB229C"/>
    <w:rsid w:val="00FD3DF3"/>
    <w:rsid w:val="00FE73AF"/>
    <w:rsid w:val="00FF288C"/>
    <w:rsid w:val="00FF4F10"/>
    <w:rsid w:val="04BC4969"/>
    <w:rsid w:val="217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mailto:dzhou322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A36C5-2D73-4DBA-A625-C498A9EA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595</Words>
  <Characters>3397</Characters>
  <Application>Microsoft Office Word</Application>
  <DocSecurity>0</DocSecurity>
  <Lines>28</Lines>
  <Paragraphs>7</Paragraphs>
  <ScaleCrop>false</ScaleCrop>
  <Company>TTA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81</cp:revision>
  <dcterms:created xsi:type="dcterms:W3CDTF">2019-11-14T06:49:00Z</dcterms:created>
  <dcterms:modified xsi:type="dcterms:W3CDTF">2019-11-14T08:26:00Z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