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6642B8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CC7A45"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A41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are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ongoing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both for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5 725-5 850 </w:t>
      </w:r>
      <w:proofErr w:type="spellStart"/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>MHz</w:t>
      </w:r>
      <w:r w:rsidR="00655E2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spellEnd"/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Pr="00A05E26" w:rsidRDefault="00AA41F5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Work of the SWG4B5 on AI1.16 will finish by the end of this week as requested by the </w:t>
      </w:r>
      <w:r w:rsidR="006642B8">
        <w:rPr>
          <w:rFonts w:ascii="Times New Roman" w:eastAsia="MS Mincho" w:hAnsi="Times New Roman" w:cs="Times New Roman"/>
          <w:sz w:val="24"/>
          <w:szCs w:val="24"/>
          <w:lang w:eastAsia="ja-JP"/>
        </w:rPr>
        <w:t>COM4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chairman, and options 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on the table now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need </w:t>
      </w:r>
      <w:r w:rsidRPr="00AA41F5">
        <w:rPr>
          <w:rFonts w:ascii="Times New Roman" w:eastAsia="MS Mincho" w:hAnsi="Times New Roman" w:cs="Times New Roman"/>
          <w:sz w:val="24"/>
          <w:szCs w:val="24"/>
          <w:lang w:eastAsia="ja-JP"/>
        </w:rPr>
        <w:t>convergence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the following sessions;</w:t>
      </w:r>
    </w:p>
    <w:p w:rsidR="008E1FB7" w:rsidRPr="006642B8" w:rsidRDefault="00CC7A45" w:rsidP="006642B8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642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APT Members are invited to consider possible compromised solutions </w:t>
      </w:r>
      <w:r w:rsidR="00AA41F5" w:rsidRPr="006642B8">
        <w:rPr>
          <w:rFonts w:ascii="Times New Roman" w:eastAsia="MS Mincho" w:hAnsi="Times New Roman" w:cs="Times New Roman"/>
          <w:sz w:val="24"/>
          <w:szCs w:val="24"/>
          <w:lang w:eastAsia="ja-JP"/>
        </w:rPr>
        <w:t>both on 5 150-5 250 MHz and 5 725-5 850</w:t>
      </w:r>
      <w:bookmarkStart w:id="0" w:name="_GoBack"/>
      <w:bookmarkEnd w:id="0"/>
      <w:r w:rsidR="00AA41F5" w:rsidRPr="006642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MHz bands</w:t>
      </w:r>
      <w:r w:rsidR="006642B8" w:rsidRPr="006642B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.</w:t>
      </w:r>
    </w:p>
    <w:sectPr w:rsidR="008E1FB7" w:rsidRPr="006642B8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AB" w:rsidRDefault="00150AAB" w:rsidP="00D1517A">
      <w:pPr>
        <w:spacing w:after="0" w:line="240" w:lineRule="auto"/>
      </w:pPr>
      <w:r>
        <w:separator/>
      </w:r>
    </w:p>
  </w:endnote>
  <w:endnote w:type="continuationSeparator" w:id="0">
    <w:p w:rsidR="00150AAB" w:rsidRDefault="00150AAB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AB" w:rsidRDefault="00150AAB" w:rsidP="00D1517A">
      <w:pPr>
        <w:spacing w:after="0" w:line="240" w:lineRule="auto"/>
      </w:pPr>
      <w:r>
        <w:separator/>
      </w:r>
    </w:p>
  </w:footnote>
  <w:footnote w:type="continuationSeparator" w:id="0">
    <w:p w:rsidR="00150AAB" w:rsidRDefault="00150AAB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3190E"/>
    <w:rsid w:val="00132994"/>
    <w:rsid w:val="00150AAB"/>
    <w:rsid w:val="001A1F17"/>
    <w:rsid w:val="001A27A9"/>
    <w:rsid w:val="001B3494"/>
    <w:rsid w:val="001B7188"/>
    <w:rsid w:val="001D2901"/>
    <w:rsid w:val="001E0789"/>
    <w:rsid w:val="00204937"/>
    <w:rsid w:val="002438F6"/>
    <w:rsid w:val="00283D24"/>
    <w:rsid w:val="003346ED"/>
    <w:rsid w:val="0038460B"/>
    <w:rsid w:val="00393CCA"/>
    <w:rsid w:val="003F501F"/>
    <w:rsid w:val="00426E01"/>
    <w:rsid w:val="00492602"/>
    <w:rsid w:val="004A1811"/>
    <w:rsid w:val="004A574B"/>
    <w:rsid w:val="004C436F"/>
    <w:rsid w:val="004D4409"/>
    <w:rsid w:val="004D7CC0"/>
    <w:rsid w:val="00506760"/>
    <w:rsid w:val="005755E6"/>
    <w:rsid w:val="00655E2F"/>
    <w:rsid w:val="006642B8"/>
    <w:rsid w:val="006651B8"/>
    <w:rsid w:val="0067706F"/>
    <w:rsid w:val="00677357"/>
    <w:rsid w:val="00683E04"/>
    <w:rsid w:val="006B0444"/>
    <w:rsid w:val="006D3A4C"/>
    <w:rsid w:val="006D6E7A"/>
    <w:rsid w:val="00722512"/>
    <w:rsid w:val="00742E21"/>
    <w:rsid w:val="007436FA"/>
    <w:rsid w:val="00764220"/>
    <w:rsid w:val="00801670"/>
    <w:rsid w:val="008742F3"/>
    <w:rsid w:val="00891369"/>
    <w:rsid w:val="008E1FB7"/>
    <w:rsid w:val="008E3090"/>
    <w:rsid w:val="008F5C2D"/>
    <w:rsid w:val="00917D24"/>
    <w:rsid w:val="00957672"/>
    <w:rsid w:val="009C069C"/>
    <w:rsid w:val="009E27EC"/>
    <w:rsid w:val="00A05E26"/>
    <w:rsid w:val="00A32FE0"/>
    <w:rsid w:val="00A34CF4"/>
    <w:rsid w:val="00AA3F38"/>
    <w:rsid w:val="00AA41F5"/>
    <w:rsid w:val="00AC461C"/>
    <w:rsid w:val="00B2408D"/>
    <w:rsid w:val="00B35CFD"/>
    <w:rsid w:val="00B36990"/>
    <w:rsid w:val="00B51C69"/>
    <w:rsid w:val="00B541A5"/>
    <w:rsid w:val="00BC4645"/>
    <w:rsid w:val="00C1188F"/>
    <w:rsid w:val="00C63FD0"/>
    <w:rsid w:val="00C750CB"/>
    <w:rsid w:val="00C82B13"/>
    <w:rsid w:val="00CC7A45"/>
    <w:rsid w:val="00CD0A9B"/>
    <w:rsid w:val="00D1517A"/>
    <w:rsid w:val="00D45983"/>
    <w:rsid w:val="00D62B94"/>
    <w:rsid w:val="00D900AD"/>
    <w:rsid w:val="00D97380"/>
    <w:rsid w:val="00E02C2D"/>
    <w:rsid w:val="00E506DB"/>
    <w:rsid w:val="00EA1B34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4D682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4</cp:revision>
  <dcterms:created xsi:type="dcterms:W3CDTF">2019-11-04T21:44:00Z</dcterms:created>
  <dcterms:modified xsi:type="dcterms:W3CDTF">2019-11-04T21:46:00Z</dcterms:modified>
</cp:coreProperties>
</file>