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F97CE1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98034D" w:rsidRDefault="0098034D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Wang </w:t>
      </w:r>
      <w:proofErr w:type="spellStart"/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iaodong</w:t>
      </w:r>
      <w:proofErr w:type="spell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,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wxd@srrc.org.cn</w:t>
      </w:r>
      <w:r w:rsidR="00EA1B34" w:rsidRP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98034D" w:rsidRDefault="004D7CC0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F28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11.0</w:t>
      </w:r>
      <w:r w:rsidR="00053B2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5</w:t>
      </w:r>
    </w:p>
    <w:p w:rsidR="000B5983" w:rsidRPr="00AC461C" w:rsidRDefault="000B5983" w:rsidP="00F97CE1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5759DF" w:rsidRPr="00635934" w:rsidRDefault="007205AB" w:rsidP="00635934">
      <w:pPr>
        <w:pStyle w:val="Normalaftertitle"/>
        <w:spacing w:before="0" w:after="240"/>
        <w:rPr>
          <w:rFonts w:eastAsia="宋体"/>
          <w:i/>
          <w:iCs/>
          <w:lang w:val="en-US" w:eastAsia="zh-CN"/>
        </w:rPr>
      </w:pPr>
      <w:bookmarkStart w:id="0" w:name="_Toc2862417"/>
      <w:r w:rsidRPr="00635934">
        <w:rPr>
          <w:i/>
          <w:iCs/>
          <w:lang w:val="en-US"/>
        </w:rPr>
        <w:t>Agenda item 1.2</w:t>
      </w:r>
      <w:bookmarkEnd w:id="0"/>
      <w:r w:rsidR="005759DF" w:rsidRPr="00635934">
        <w:rPr>
          <w:rFonts w:hint="eastAsia"/>
          <w:i/>
          <w:iCs/>
          <w:lang w:val="en-US"/>
        </w:rPr>
        <w:t xml:space="preserve"> is </w:t>
      </w:r>
      <w:r w:rsidRPr="00635934">
        <w:rPr>
          <w:i/>
          <w:iCs/>
          <w:lang w:val="en-US"/>
        </w:rPr>
        <w:t>to consider in-band power limits for earth stations operating in the mobile-satellite service, meteorological-satellite service and Earth exploration-satellite service in the frequency bands 401-403 MHz and 399.9-400.05 MHz, in accordance with Resolution 765</w:t>
      </w:r>
      <w:r w:rsidR="005759DF" w:rsidRPr="00635934">
        <w:rPr>
          <w:rFonts w:eastAsia="宋体" w:hint="eastAsia"/>
          <w:i/>
          <w:iCs/>
          <w:lang w:val="en-US" w:eastAsia="zh-CN"/>
        </w:rPr>
        <w:t xml:space="preserve"> </w:t>
      </w:r>
      <w:r w:rsidRPr="00635934">
        <w:rPr>
          <w:i/>
          <w:iCs/>
          <w:lang w:val="en-US"/>
        </w:rPr>
        <w:t>(WRC-</w:t>
      </w:r>
      <w:r w:rsidR="005759DF" w:rsidRPr="00635934">
        <w:rPr>
          <w:rFonts w:eastAsia="宋体" w:hint="eastAsia"/>
          <w:i/>
          <w:iCs/>
          <w:lang w:val="en-US" w:eastAsia="zh-CN"/>
        </w:rPr>
        <w:t>1</w:t>
      </w:r>
      <w:r w:rsidRPr="00635934">
        <w:rPr>
          <w:i/>
          <w:iCs/>
          <w:lang w:val="en-US"/>
        </w:rPr>
        <w:t>5);</w:t>
      </w:r>
    </w:p>
    <w:p w:rsidR="00635934" w:rsidRPr="00635934" w:rsidRDefault="00EA1B34" w:rsidP="00635934">
      <w:pPr>
        <w:pStyle w:val="a3"/>
        <w:numPr>
          <w:ilvl w:val="0"/>
          <w:numId w:val="1"/>
        </w:numPr>
        <w:wordWrap/>
        <w:spacing w:after="240"/>
        <w:ind w:leftChars="0" w:left="360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 w:rsidRPr="00635934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635934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635934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635934">
        <w:rPr>
          <w:rFonts w:ascii="Times New Roman" w:hAnsi="Times New Roman" w:cs="Times New Roman"/>
          <w:sz w:val="24"/>
          <w:szCs w:val="24"/>
        </w:rPr>
        <w:t>WRC-19</w:t>
      </w:r>
      <w:r w:rsidR="00D1517A" w:rsidRPr="00635934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635934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635934">
        <w:rPr>
          <w:rFonts w:ascii="Times New Roman" w:hAnsi="Times New Roman" w:cs="Times New Roman"/>
          <w:sz w:val="24"/>
          <w:szCs w:val="24"/>
        </w:rPr>
        <w:t>)</w:t>
      </w:r>
      <w:r w:rsidR="000B5983" w:rsidRPr="00635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34" w:rsidRPr="00635934" w:rsidRDefault="00B5725B" w:rsidP="00635934">
      <w:pPr>
        <w:pStyle w:val="a3"/>
        <w:suppressAutoHyphens/>
        <w:wordWrap/>
        <w:ind w:leftChars="0" w:left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APT 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support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Method C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for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the band 399.9-400.05 MHz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</w:t>
      </w:r>
      <w:r w:rsidR="00635934" w:rsidRPr="00635934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 xml:space="preserve">Method E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the band </w:t>
      </w:r>
      <w:r w:rsidR="00635934" w:rsidRPr="0063593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401-403 MHz </w:t>
      </w:r>
      <w:r w:rsidR="00635934" w:rsidRPr="0063593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respectively. </w:t>
      </w:r>
    </w:p>
    <w:p w:rsidR="008742F3" w:rsidRPr="005759DF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3728"/>
        <w:gridCol w:w="4206"/>
      </w:tblGrid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t>399.9-400.05 MHz</w:t>
            </w:r>
          </w:p>
        </w:tc>
        <w:tc>
          <w:tcPr>
            <w:tcW w:w="4316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rPr>
                <w:lang w:eastAsia="fr-FR"/>
              </w:rPr>
              <w:t>401-403 MHz</w:t>
            </w:r>
          </w:p>
        </w:tc>
      </w:tr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ind w:firstLineChars="14" w:firstLine="3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New method. Introduce in-band power limit only in 399.9-399.99MHz,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apply after 22 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</w:p>
          <w:p w:rsidR="00275459" w:rsidRP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ithout limi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in 4kHz and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E.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3828" w:type="dxa"/>
          </w:tcPr>
          <w:p w:rsidR="005A3FDB" w:rsidRDefault="00635934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hange to Method C from </w:t>
            </w:r>
            <w:r w:rsidR="00275459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No change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not apply to TT&amp;C even after 22 November 2029</w:t>
            </w:r>
          </w:p>
        </w:tc>
      </w:tr>
      <w:tr w:rsidR="005A3FDB" w:rsidTr="00E34F22">
        <w:tc>
          <w:tcPr>
            <w:tcW w:w="1242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3828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B13A1E" w:rsidRPr="00842027" w:rsidTr="00E34F22">
        <w:tc>
          <w:tcPr>
            <w:tcW w:w="1242" w:type="dxa"/>
          </w:tcPr>
          <w:p w:rsidR="00B13A1E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3828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16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Mehtod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E,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9.</w:t>
            </w:r>
          </w:p>
        </w:tc>
      </w:tr>
      <w:tr w:rsidR="00842027" w:rsidRP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AUS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RPr="00842027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755CDF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Luxembourg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upports </w:t>
            </w: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in-band power limits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while maintaining filing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original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status when changing the limits.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Tr="00C44957">
        <w:tc>
          <w:tcPr>
            <w:tcW w:w="1242" w:type="dxa"/>
          </w:tcPr>
          <w:p w:rsidR="00755CDF" w:rsidRPr="00B13A1E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8144" w:type="dxa"/>
            <w:gridSpan w:val="2"/>
          </w:tcPr>
          <w:p w:rsidR="00755CDF" w:rsidRDefault="00FC5C8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equests WRC-19 to exclude the NEMO-HD satellite network from the application of possible </w:t>
            </w:r>
            <w:proofErr w:type="spellStart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e.i.r.p</w:t>
            </w:r>
            <w:proofErr w:type="spellEnd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. limits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due to 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force majeure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5759DF" w:rsidRPr="005759DF" w:rsidRDefault="005759DF" w:rsidP="00F97CE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Default="008742F3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C0009B" w:rsidRDefault="00635934" w:rsidP="00E44187">
      <w:pPr>
        <w:pStyle w:val="a3"/>
        <w:numPr>
          <w:ilvl w:val="0"/>
          <w:numId w:val="5"/>
        </w:numPr>
        <w:suppressAutoHyphens/>
        <w:wordWrap/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ne more</w:t>
      </w:r>
      <w:r w:rsidR="00C0009B" w:rsidRP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informal discussion</w:t>
      </w:r>
      <w:r w:rsid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was</w:t>
      </w:r>
      <w:r w:rsidR="00400F3B" w:rsidRP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hold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yesterday evening</w:t>
      </w:r>
      <w:r w:rsid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2971E5" w:rsidRPr="002971E5" w:rsidRDefault="00C0009B" w:rsidP="002971E5">
      <w:pPr>
        <w:pStyle w:val="a3"/>
        <w:numPr>
          <w:ilvl w:val="0"/>
          <w:numId w:val="5"/>
        </w:numPr>
        <w:suppressAutoHyphens/>
        <w:wordWrap/>
        <w:ind w:leftChars="0"/>
        <w:rPr>
          <w:rFonts w:ascii="Times New Roman" w:hAnsi="Times New Roman" w:cs="Times New Roman"/>
          <w:sz w:val="24"/>
          <w:szCs w:val="24"/>
        </w:rPr>
      </w:pPr>
      <w:r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399.9-400.05MHz band, CITEL </w:t>
      </w:r>
      <w:r w:rsidR="00E039E5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insist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ed</w:t>
      </w:r>
      <w:r w:rsidR="00E039E5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</w:t>
      </w:r>
      <w:proofErr w:type="gramStart"/>
      <w:r w:rsidR="00635934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60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k</w:t>
      </w:r>
      <w:r w:rsidR="00635934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Hz</w:t>
      </w:r>
      <w:proofErr w:type="gramEnd"/>
      <w:r w:rsidR="00635934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needed for TT&amp;C operation 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</w:t>
      </w:r>
      <w:r w:rsidR="00635934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their existing system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 Solomon</w:t>
      </w:r>
      <w:r w:rsid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Chair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proposed a </w:t>
      </w:r>
      <w:r w:rsidR="002971E5">
        <w:rPr>
          <w:rFonts w:ascii="Times New Roman" w:eastAsia="宋体" w:hAnsi="Times New Roman" w:cs="Times New Roman"/>
          <w:sz w:val="24"/>
          <w:szCs w:val="24"/>
          <w:lang w:eastAsia="zh-CN"/>
        </w:rPr>
        <w:t>comprise</w:t>
      </w:r>
      <w:r w:rsid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</w:t>
      </w:r>
      <w:r w:rsidR="002971E5" w:rsidRPr="00E44187">
        <w:rPr>
          <w:rFonts w:ascii="Times New Roman" w:eastAsia="宋体" w:hAnsi="Times New Roman" w:cs="Times New Roman"/>
          <w:sz w:val="24"/>
          <w:szCs w:val="24"/>
          <w:lang w:eastAsia="zh-CN"/>
        </w:rPr>
        <w:t>ption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that </w:t>
      </w:r>
      <w:proofErr w:type="gramStart"/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30kHz</w:t>
      </w:r>
      <w:proofErr w:type="gramEnd"/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for 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lastRenderedPageBreak/>
        <w:t xml:space="preserve">normal and 30kHz for emergency operation for TT&amp;C application. </w:t>
      </w:r>
      <w:r w:rsidR="00E44187" w:rsidRPr="00E44187"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fter discussion, WB5C1 chair </w:t>
      </w:r>
      <w:r w:rsidR="00E44187" w:rsidRPr="00E44187">
        <w:rPr>
          <w:rFonts w:ascii="Times New Roman" w:eastAsia="宋体" w:hAnsi="Times New Roman" w:cs="Times New Roman"/>
          <w:sz w:val="24"/>
          <w:szCs w:val="24"/>
          <w:lang w:eastAsia="zh-CN"/>
        </w:rPr>
        <w:t>proposed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to draft this </w:t>
      </w:r>
      <w:r w:rsidR="00E44187" w:rsidRPr="00E44187">
        <w:rPr>
          <w:rFonts w:ascii="Times New Roman" w:eastAsia="宋体" w:hAnsi="Times New Roman" w:cs="Times New Roman"/>
          <w:sz w:val="24"/>
          <w:szCs w:val="24"/>
          <w:lang w:eastAsia="zh-CN"/>
        </w:rPr>
        <w:t>propos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ed </w:t>
      </w:r>
      <w:r w:rsid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option as the </w:t>
      </w:r>
      <w:r w:rsidR="00E44187" w:rsidRP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footnote for further discussio</w:t>
      </w:r>
      <w:r w:rsid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 w:rsid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in</w:t>
      </w:r>
      <w:r w:rsidR="00E4418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afternoon.</w:t>
      </w:r>
    </w:p>
    <w:p w:rsidR="008742F3" w:rsidRPr="002971E5" w:rsidRDefault="008742F3" w:rsidP="002971E5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2971E5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2971E5">
        <w:rPr>
          <w:rFonts w:ascii="Times New Roman" w:hAnsi="Times New Roman" w:cs="Times New Roman"/>
          <w:sz w:val="24"/>
          <w:szCs w:val="24"/>
        </w:rPr>
        <w:t xml:space="preserve">which </w:t>
      </w:r>
      <w:r w:rsidRPr="002971E5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2971E5">
        <w:rPr>
          <w:rFonts w:ascii="Times New Roman" w:hAnsi="Times New Roman" w:cs="Times New Roman"/>
          <w:sz w:val="24"/>
          <w:szCs w:val="24"/>
        </w:rPr>
        <w:t>discussion at</w:t>
      </w:r>
      <w:r w:rsidRPr="002971E5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2971E5">
        <w:rPr>
          <w:rFonts w:ascii="Times New Roman" w:hAnsi="Times New Roman" w:cs="Times New Roman"/>
          <w:sz w:val="24"/>
          <w:szCs w:val="24"/>
        </w:rPr>
        <w:t>T</w:t>
      </w:r>
      <w:r w:rsidRPr="002971E5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2971E5">
        <w:rPr>
          <w:rFonts w:ascii="Times New Roman" w:hAnsi="Times New Roman" w:cs="Times New Roman"/>
          <w:sz w:val="24"/>
          <w:szCs w:val="24"/>
        </w:rPr>
        <w:t>M</w:t>
      </w:r>
      <w:r w:rsidRPr="002971E5">
        <w:rPr>
          <w:rFonts w:ascii="Times New Roman" w:hAnsi="Times New Roman" w:cs="Times New Roman"/>
          <w:sz w:val="24"/>
          <w:szCs w:val="24"/>
        </w:rPr>
        <w:t>eeting</w:t>
      </w:r>
      <w:r w:rsidR="003346ED" w:rsidRPr="002971E5">
        <w:rPr>
          <w:rFonts w:ascii="Times New Roman" w:hAnsi="Times New Roman" w:cs="Times New Roman"/>
          <w:sz w:val="24"/>
          <w:szCs w:val="24"/>
        </w:rPr>
        <w:t>s</w:t>
      </w:r>
      <w:r w:rsidR="00D1517A" w:rsidRPr="002971E5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  <w:r w:rsidR="005F5BFC" w:rsidRPr="002971E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46B9C" w:rsidRDefault="002971E5" w:rsidP="002971E5">
      <w:pPr>
        <w:ind w:left="36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It seems that the following</w:t>
      </w:r>
      <w:r w:rsidRP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proposed </w:t>
      </w:r>
      <w:proofErr w:type="spellStart"/>
      <w:r w:rsidRP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footnote</w:t>
      </w:r>
      <w:r w:rsidR="00646B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z</w:t>
      </w:r>
      <w:proofErr w:type="spellEnd"/>
      <w:r w:rsidRPr="002971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would be a comprised and right direction to solve AI 1.2. </w:t>
      </w:r>
      <w:r w:rsidRPr="00646B9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Does APT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agree</w:t>
      </w:r>
      <w:r w:rsidR="00646B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</w:t>
      </w:r>
      <w:r w:rsidRPr="00646B9C">
        <w:rPr>
          <w:rFonts w:ascii="Times New Roman" w:eastAsia="宋体" w:hAnsi="Times New Roman" w:cs="Times New Roman"/>
          <w:sz w:val="24"/>
          <w:szCs w:val="24"/>
          <w:lang w:eastAsia="zh-CN"/>
        </w:rPr>
        <w:t>accept the change?</w:t>
      </w:r>
      <w:r w:rsidR="00646B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646B9C">
        <w:rPr>
          <w:rFonts w:ascii="Times New Roman" w:eastAsia="宋体" w:hAnsi="Times New Roman" w:cs="Times New Roman"/>
          <w:sz w:val="24"/>
          <w:szCs w:val="24"/>
          <w:lang w:eastAsia="zh-CN"/>
        </w:rPr>
        <w:t>I</w:t>
      </w:r>
      <w:r w:rsidR="00646B9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 will be discussed </w:t>
      </w:r>
    </w:p>
    <w:p w:rsidR="002971E5" w:rsidRPr="00646B9C" w:rsidRDefault="00646B9C" w:rsidP="002971E5">
      <w:pPr>
        <w:ind w:left="36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bookmarkStart w:id="1" w:name="_GoBack"/>
      <w:bookmarkEnd w:id="1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further in this afernoon.</w:t>
      </w:r>
    </w:p>
    <w:p w:rsidR="002971E5" w:rsidRPr="00053B2E" w:rsidRDefault="002971E5" w:rsidP="00053B2E">
      <w:pPr>
        <w:pStyle w:val="Proposal"/>
        <w:rPr>
          <w:rStyle w:val="Artdef"/>
          <w:rFonts w:eastAsia="宋体"/>
          <w:b/>
        </w:rPr>
      </w:pPr>
      <w:r w:rsidRPr="00053B2E">
        <w:rPr>
          <w:rStyle w:val="Artdef"/>
          <w:b/>
        </w:rPr>
        <w:t>ADD</w:t>
      </w:r>
    </w:p>
    <w:p w:rsidR="002971E5" w:rsidRPr="00053B2E" w:rsidRDefault="002971E5" w:rsidP="00053B2E">
      <w:pPr>
        <w:pStyle w:val="Proposal"/>
        <w:rPr>
          <w:rStyle w:val="Artdef"/>
        </w:rPr>
      </w:pPr>
      <w:proofErr w:type="gramStart"/>
      <w:r w:rsidRPr="00053B2E">
        <w:rPr>
          <w:rStyle w:val="Artdef"/>
          <w:highlight w:val="yellow"/>
        </w:rPr>
        <w:t>5.A12</w:t>
      </w:r>
      <w:proofErr w:type="gramEnd"/>
      <w:r w:rsidRPr="00053B2E">
        <w:rPr>
          <w:rStyle w:val="Artdef"/>
          <w:highlight w:val="yellow"/>
        </w:rPr>
        <w:tab/>
        <w:t xml:space="preserve">In the frequency band 399.9-400.02 MHz, the maximum </w:t>
      </w:r>
      <w:proofErr w:type="spellStart"/>
      <w:r w:rsidRPr="00053B2E">
        <w:rPr>
          <w:rStyle w:val="Artdef"/>
          <w:highlight w:val="yellow"/>
        </w:rPr>
        <w:t>e.i.r.p</w:t>
      </w:r>
      <w:proofErr w:type="spellEnd"/>
      <w:r w:rsidRPr="00053B2E">
        <w:rPr>
          <w:rStyle w:val="Artdef"/>
          <w:highlight w:val="yellow"/>
        </w:rPr>
        <w:t>. of any emission of the earth stations in the mobile-satellite service shall not exceed 5 </w:t>
      </w:r>
      <w:proofErr w:type="spellStart"/>
      <w:r w:rsidRPr="00053B2E">
        <w:rPr>
          <w:rStyle w:val="Artdef"/>
          <w:highlight w:val="yellow"/>
        </w:rPr>
        <w:t>dBW</w:t>
      </w:r>
      <w:proofErr w:type="spellEnd"/>
      <w:r w:rsidRPr="00053B2E">
        <w:rPr>
          <w:rStyle w:val="Artdef"/>
          <w:highlight w:val="yellow"/>
        </w:rPr>
        <w:t xml:space="preserve"> in any 4 kHz and maximum </w:t>
      </w:r>
      <w:proofErr w:type="spellStart"/>
      <w:r w:rsidRPr="00053B2E">
        <w:rPr>
          <w:rStyle w:val="Artdef"/>
          <w:highlight w:val="yellow"/>
        </w:rPr>
        <w:t>e.i.r.p</w:t>
      </w:r>
      <w:proofErr w:type="spellEnd"/>
      <w:r w:rsidRPr="00053B2E">
        <w:rPr>
          <w:rStyle w:val="Artdef"/>
          <w:highlight w:val="yellow"/>
        </w:rPr>
        <w:t>. of each earth station in the mobile-satellite service shall not exceed 5 </w:t>
      </w:r>
      <w:proofErr w:type="spellStart"/>
      <w:r w:rsidRPr="00053B2E">
        <w:rPr>
          <w:rStyle w:val="Artdef"/>
          <w:highlight w:val="yellow"/>
        </w:rPr>
        <w:t>dBW</w:t>
      </w:r>
      <w:proofErr w:type="spellEnd"/>
      <w:r w:rsidRPr="00053B2E">
        <w:rPr>
          <w:rStyle w:val="Artdef"/>
          <w:highlight w:val="yellow"/>
        </w:rPr>
        <w:t xml:space="preserve"> in the whole 399.9-400.05 MHz frequency band. Until 22 November [2024/2027], this limit shall not apply to satellite systems for which complete notification information has been received by the </w:t>
      </w:r>
      <w:proofErr w:type="spellStart"/>
      <w:r w:rsidRPr="00053B2E">
        <w:rPr>
          <w:rStyle w:val="Artdef"/>
          <w:highlight w:val="yellow"/>
        </w:rPr>
        <w:t>Radiocommunication</w:t>
      </w:r>
      <w:proofErr w:type="spellEnd"/>
      <w:r w:rsidRPr="00053B2E">
        <w:rPr>
          <w:rStyle w:val="Artdef"/>
          <w:highlight w:val="yellow"/>
        </w:rPr>
        <w:t xml:space="preserve"> Bureau by 22 November 2019 and that have been brought into use by that date. After 22 November 2024 these limits shall apply to all systems within mobile-satellite service operating in this frequency band     (WRC</w:t>
      </w:r>
      <w:r w:rsidRPr="00053B2E">
        <w:rPr>
          <w:rStyle w:val="Artdef"/>
          <w:highlight w:val="yellow"/>
        </w:rPr>
        <w:noBreakHyphen/>
        <w:t>19)</w:t>
      </w:r>
    </w:p>
    <w:p w:rsidR="00053B2E" w:rsidRDefault="002971E5" w:rsidP="00053B2E">
      <w:pPr>
        <w:pStyle w:val="Proposal"/>
        <w:rPr>
          <w:rFonts w:eastAsia="宋体" w:hAnsi="Times New Roman"/>
          <w:lang w:eastAsia="zh-CN"/>
        </w:rPr>
      </w:pPr>
      <w:r w:rsidRPr="00E074E3">
        <w:rPr>
          <w:rFonts w:hAnsi="Times New Roman"/>
        </w:rPr>
        <w:t>ADD</w:t>
      </w:r>
      <w:r w:rsidRPr="00E074E3">
        <w:rPr>
          <w:rFonts w:hAnsi="Times New Roman"/>
        </w:rPr>
        <w:tab/>
      </w:r>
    </w:p>
    <w:p w:rsidR="002971E5" w:rsidRPr="00053B2E" w:rsidRDefault="002971E5" w:rsidP="00053B2E">
      <w:pPr>
        <w:pStyle w:val="Proposal"/>
        <w:rPr>
          <w:rStyle w:val="Artdef"/>
          <w:b/>
          <w:highlight w:val="yellow"/>
        </w:rPr>
      </w:pPr>
      <w:proofErr w:type="gramStart"/>
      <w:r w:rsidRPr="00053B2E">
        <w:rPr>
          <w:rStyle w:val="Artdef"/>
          <w:highlight w:val="yellow"/>
        </w:rPr>
        <w:t>5.B12</w:t>
      </w:r>
      <w:proofErr w:type="gramEnd"/>
      <w:r w:rsidRPr="00053B2E">
        <w:rPr>
          <w:rStyle w:val="Artdef"/>
          <w:highlight w:val="yellow"/>
        </w:rPr>
        <w:tab/>
        <w:t>In the frequency band 399.99-400.02 MHz could be used for short-duration space operation service transmissions and provisions of 5.A12 are not applicable under following conditions:</w:t>
      </w:r>
    </w:p>
    <w:p w:rsidR="002971E5" w:rsidRPr="00053B2E" w:rsidRDefault="002971E5" w:rsidP="00053B2E">
      <w:pPr>
        <w:pStyle w:val="Note"/>
        <w:numPr>
          <w:ilvl w:val="0"/>
          <w:numId w:val="5"/>
        </w:numPr>
        <w:rPr>
          <w:rStyle w:val="Artdef"/>
          <w:b w:val="0"/>
          <w:highlight w:val="yellow"/>
        </w:rPr>
      </w:pPr>
      <w:r w:rsidRPr="00053B2E">
        <w:rPr>
          <w:rStyle w:val="Artdef"/>
          <w:b w:val="0"/>
          <w:highlight w:val="yellow"/>
        </w:rPr>
        <w:t>1) The only available main control channel was 400.02-400.05 MHz;</w:t>
      </w:r>
    </w:p>
    <w:p w:rsidR="002971E5" w:rsidRPr="00053B2E" w:rsidRDefault="002971E5" w:rsidP="00053B2E">
      <w:pPr>
        <w:pStyle w:val="Note"/>
        <w:numPr>
          <w:ilvl w:val="0"/>
          <w:numId w:val="5"/>
        </w:numPr>
        <w:rPr>
          <w:rStyle w:val="Artdef"/>
          <w:b w:val="0"/>
          <w:highlight w:val="yellow"/>
        </w:rPr>
      </w:pPr>
      <w:r w:rsidRPr="00053B2E">
        <w:rPr>
          <w:rStyle w:val="Artdef"/>
          <w:b w:val="0"/>
          <w:highlight w:val="yellow"/>
        </w:rPr>
        <w:t>2) There are no other backup channels and there was no possibility to implement backup channel in another frequency band;</w:t>
      </w:r>
    </w:p>
    <w:p w:rsidR="002971E5" w:rsidRPr="00053B2E" w:rsidRDefault="002971E5" w:rsidP="00053B2E">
      <w:pPr>
        <w:pStyle w:val="Note"/>
        <w:numPr>
          <w:ilvl w:val="0"/>
          <w:numId w:val="5"/>
        </w:numPr>
        <w:rPr>
          <w:rStyle w:val="Artdef"/>
          <w:b w:val="0"/>
          <w:highlight w:val="yellow"/>
        </w:rPr>
      </w:pPr>
      <w:r w:rsidRPr="00053B2E">
        <w:rPr>
          <w:rStyle w:val="Artdef"/>
          <w:b w:val="0"/>
          <w:highlight w:val="yellow"/>
        </w:rPr>
        <w:t>3) Usage of this band is triggered by event of Force Majeure</w:t>
      </w:r>
    </w:p>
    <w:p w:rsidR="002971E5" w:rsidRPr="00053B2E" w:rsidRDefault="002971E5" w:rsidP="00053B2E">
      <w:pPr>
        <w:pStyle w:val="Note"/>
        <w:numPr>
          <w:ilvl w:val="0"/>
          <w:numId w:val="5"/>
        </w:numPr>
        <w:rPr>
          <w:rStyle w:val="Artdef"/>
          <w:b w:val="0"/>
          <w:highlight w:val="yellow"/>
        </w:rPr>
      </w:pPr>
      <w:r w:rsidRPr="00053B2E">
        <w:rPr>
          <w:rStyle w:val="Artdef"/>
          <w:b w:val="0"/>
          <w:highlight w:val="yellow"/>
        </w:rPr>
        <w:t>4) The only allowed usage of this band for space operation service transmissions when provisions of 5.A12 are not applicable is issuing de-orbit command in order to reduce amount of space debris.</w:t>
      </w:r>
    </w:p>
    <w:p w:rsidR="00C82B13" w:rsidRPr="00E34F22" w:rsidRDefault="00223A78" w:rsidP="00C40ACD">
      <w:pPr>
        <w:wordWrap/>
        <w:ind w:firstLineChars="300" w:firstLine="72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4D7CC0" w:rsidRPr="00C40ACD" w:rsidRDefault="004D7CC0" w:rsidP="00F97CE1">
      <w:pPr>
        <w:wordWrap/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F97CE1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C7" w:rsidRDefault="001D59C7" w:rsidP="00D1517A">
      <w:pPr>
        <w:spacing w:after="0" w:line="240" w:lineRule="auto"/>
      </w:pPr>
      <w:r>
        <w:separator/>
      </w:r>
    </w:p>
  </w:endnote>
  <w:endnote w:type="continuationSeparator" w:id="0">
    <w:p w:rsidR="001D59C7" w:rsidRDefault="001D59C7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C7" w:rsidRDefault="001D59C7" w:rsidP="00D1517A">
      <w:pPr>
        <w:spacing w:after="0" w:line="240" w:lineRule="auto"/>
      </w:pPr>
      <w:r>
        <w:separator/>
      </w:r>
    </w:p>
  </w:footnote>
  <w:footnote w:type="continuationSeparator" w:id="0">
    <w:p w:rsidR="001D59C7" w:rsidRDefault="001D59C7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1EA"/>
    <w:multiLevelType w:val="hybridMultilevel"/>
    <w:tmpl w:val="73DAE1EC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F33FC0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4F5D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DEC180B"/>
    <w:multiLevelType w:val="hybridMultilevel"/>
    <w:tmpl w:val="70D2AEF6"/>
    <w:lvl w:ilvl="0" w:tplc="DD4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53B2E"/>
    <w:rsid w:val="00086F2C"/>
    <w:rsid w:val="000A08B4"/>
    <w:rsid w:val="000B5983"/>
    <w:rsid w:val="001A1F17"/>
    <w:rsid w:val="001C7095"/>
    <w:rsid w:val="001D59C7"/>
    <w:rsid w:val="001E0789"/>
    <w:rsid w:val="001E7E44"/>
    <w:rsid w:val="00223A78"/>
    <w:rsid w:val="00271E4E"/>
    <w:rsid w:val="00275459"/>
    <w:rsid w:val="00283D24"/>
    <w:rsid w:val="002971E5"/>
    <w:rsid w:val="002B2BF9"/>
    <w:rsid w:val="003346ED"/>
    <w:rsid w:val="0037655E"/>
    <w:rsid w:val="00395D4E"/>
    <w:rsid w:val="00400F3B"/>
    <w:rsid w:val="00431AC5"/>
    <w:rsid w:val="004A574B"/>
    <w:rsid w:val="004C71C2"/>
    <w:rsid w:val="004D7CC0"/>
    <w:rsid w:val="004E5AEA"/>
    <w:rsid w:val="005755E6"/>
    <w:rsid w:val="005759DF"/>
    <w:rsid w:val="005A3FDB"/>
    <w:rsid w:val="005B195D"/>
    <w:rsid w:val="005F5BFC"/>
    <w:rsid w:val="00635934"/>
    <w:rsid w:val="00646B9C"/>
    <w:rsid w:val="00677357"/>
    <w:rsid w:val="00683E04"/>
    <w:rsid w:val="007205AB"/>
    <w:rsid w:val="00755CDF"/>
    <w:rsid w:val="007A3B2E"/>
    <w:rsid w:val="00803498"/>
    <w:rsid w:val="00842027"/>
    <w:rsid w:val="0085281D"/>
    <w:rsid w:val="008742F3"/>
    <w:rsid w:val="00955405"/>
    <w:rsid w:val="0098034D"/>
    <w:rsid w:val="009E27EC"/>
    <w:rsid w:val="00A43231"/>
    <w:rsid w:val="00AC461C"/>
    <w:rsid w:val="00AD75DA"/>
    <w:rsid w:val="00B039ED"/>
    <w:rsid w:val="00B13A1E"/>
    <w:rsid w:val="00B5725B"/>
    <w:rsid w:val="00C0009B"/>
    <w:rsid w:val="00C40ACD"/>
    <w:rsid w:val="00C750CB"/>
    <w:rsid w:val="00C82B13"/>
    <w:rsid w:val="00CA244F"/>
    <w:rsid w:val="00CB747B"/>
    <w:rsid w:val="00CF287E"/>
    <w:rsid w:val="00D1517A"/>
    <w:rsid w:val="00D25DC4"/>
    <w:rsid w:val="00D95310"/>
    <w:rsid w:val="00DE2A6C"/>
    <w:rsid w:val="00E039E5"/>
    <w:rsid w:val="00E34F22"/>
    <w:rsid w:val="00E44187"/>
    <w:rsid w:val="00EA1B34"/>
    <w:rsid w:val="00EC68D5"/>
    <w:rsid w:val="00EF7969"/>
    <w:rsid w:val="00F97CE1"/>
    <w:rsid w:val="00FA52F7"/>
    <w:rsid w:val="00FC5C8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qFormat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qFormat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"/>
    <w:next w:val="a"/>
    <w:rsid w:val="002971E5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wangxd</cp:lastModifiedBy>
  <cp:revision>26</cp:revision>
  <dcterms:created xsi:type="dcterms:W3CDTF">2019-02-11T06:53:00Z</dcterms:created>
  <dcterms:modified xsi:type="dcterms:W3CDTF">2019-11-05T09:31:00Z</dcterms:modified>
</cp:coreProperties>
</file>