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45" w:rsidRPr="005755E6" w:rsidRDefault="00EA1B34" w:rsidP="00F97CE1">
      <w:pPr>
        <w:wordWrap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</w:t>
      </w:r>
      <w:r w:rsidR="00E535F6">
        <w:rPr>
          <w:rFonts w:ascii="Times New Roman" w:eastAsia="宋体" w:hAnsi="Times New Roman" w:cs="Times New Roman" w:hint="eastAsia"/>
          <w:b/>
          <w:sz w:val="28"/>
          <w:szCs w:val="28"/>
          <w:lang w:eastAsia="zh-CN"/>
        </w:rPr>
        <w:t xml:space="preserve">1.2 </w:t>
      </w:r>
      <w:r w:rsidRPr="005755E6">
        <w:rPr>
          <w:rFonts w:ascii="Times New Roman" w:hAnsi="Times New Roman" w:cs="Times New Roman"/>
          <w:b/>
          <w:sz w:val="28"/>
          <w:szCs w:val="28"/>
        </w:rPr>
        <w:t xml:space="preserve">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:rsidR="0098034D" w:rsidRDefault="0098034D" w:rsidP="00F97CE1">
      <w:pPr>
        <w:wordWrap/>
        <w:jc w:val="center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Wang </w:t>
      </w:r>
      <w:proofErr w:type="spellStart"/>
      <w:proofErr w:type="gramStart"/>
      <w:r w:rsidR="00223A78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X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iaodong</w:t>
      </w:r>
      <w:proofErr w:type="spellEnd"/>
      <w:r w:rsidR="00223A78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,</w:t>
      </w:r>
      <w:proofErr w:type="gramEnd"/>
      <w:r w:rsidR="00223A78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wxd@srrc.org.cn</w:t>
      </w:r>
      <w:r w:rsidR="00EA1B34" w:rsidRPr="004D7C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CC0" w:rsidRPr="0098034D" w:rsidRDefault="004D7CC0" w:rsidP="00F97CE1">
      <w:pPr>
        <w:wordWrap/>
        <w:jc w:val="center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Date: </w:t>
      </w:r>
      <w:r w:rsidR="0098034D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2019</w:t>
      </w:r>
      <w:r w:rsidR="000A08B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.</w:t>
      </w:r>
      <w:r w:rsidR="00CF287E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11.0</w:t>
      </w:r>
      <w:r w:rsidR="00E535F6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8</w:t>
      </w:r>
    </w:p>
    <w:p w:rsidR="000B5983" w:rsidRPr="00AC461C" w:rsidRDefault="000B5983" w:rsidP="00F97CE1">
      <w:pPr>
        <w:wordWrap/>
        <w:rPr>
          <w:rFonts w:ascii="Times New Roman" w:hAnsi="Times New Roman" w:cs="Times New Roman"/>
          <w:sz w:val="24"/>
          <w:szCs w:val="24"/>
        </w:rPr>
      </w:pPr>
    </w:p>
    <w:p w:rsidR="00EA1B34" w:rsidRPr="00B16580" w:rsidRDefault="00EA1B34" w:rsidP="00F97CE1">
      <w:pPr>
        <w:pStyle w:val="a3"/>
        <w:numPr>
          <w:ilvl w:val="0"/>
          <w:numId w:val="1"/>
        </w:numPr>
        <w:wordWrap/>
        <w:ind w:leftChars="0" w:left="360"/>
        <w:rPr>
          <w:rFonts w:ascii="Times New Roman" w:hAnsi="Times New Roman" w:cs="Times New Roman"/>
          <w:b/>
          <w:sz w:val="24"/>
          <w:szCs w:val="24"/>
        </w:rPr>
      </w:pPr>
      <w:r w:rsidRPr="00B16580">
        <w:rPr>
          <w:rFonts w:ascii="Times New Roman" w:hAnsi="Times New Roman" w:cs="Times New Roman"/>
          <w:b/>
          <w:sz w:val="24"/>
          <w:szCs w:val="24"/>
        </w:rPr>
        <w:t>Agenda Item</w:t>
      </w:r>
    </w:p>
    <w:p w:rsidR="005759DF" w:rsidRPr="00635934" w:rsidRDefault="007205AB" w:rsidP="00635934">
      <w:pPr>
        <w:pStyle w:val="Normalaftertitle"/>
        <w:spacing w:before="0" w:after="240"/>
        <w:rPr>
          <w:rFonts w:eastAsia="宋体"/>
          <w:i/>
          <w:iCs/>
          <w:lang w:val="en-US" w:eastAsia="zh-CN"/>
        </w:rPr>
      </w:pPr>
      <w:bookmarkStart w:id="0" w:name="_Toc2862417"/>
      <w:r w:rsidRPr="00635934">
        <w:rPr>
          <w:i/>
          <w:iCs/>
          <w:lang w:val="en-US"/>
        </w:rPr>
        <w:t>Agenda item 1.2</w:t>
      </w:r>
      <w:bookmarkEnd w:id="0"/>
      <w:r w:rsidR="005759DF" w:rsidRPr="00635934">
        <w:rPr>
          <w:rFonts w:hint="eastAsia"/>
          <w:i/>
          <w:iCs/>
          <w:lang w:val="en-US"/>
        </w:rPr>
        <w:t xml:space="preserve"> is </w:t>
      </w:r>
      <w:r w:rsidRPr="00635934">
        <w:rPr>
          <w:i/>
          <w:iCs/>
          <w:lang w:val="en-US"/>
        </w:rPr>
        <w:t>to consider in-band power limits for earth stations operating in the mobile-satellite service, meteorological-satellite service and Earth exploration-satellite service in the frequency bands 401-403 MHz and 399.9-400.05 MHz, in accordance with Resolution 765</w:t>
      </w:r>
      <w:r w:rsidR="005759DF" w:rsidRPr="00635934">
        <w:rPr>
          <w:rFonts w:eastAsia="宋体" w:hint="eastAsia"/>
          <w:i/>
          <w:iCs/>
          <w:lang w:val="en-US" w:eastAsia="zh-CN"/>
        </w:rPr>
        <w:t xml:space="preserve"> </w:t>
      </w:r>
      <w:r w:rsidRPr="00635934">
        <w:rPr>
          <w:i/>
          <w:iCs/>
          <w:lang w:val="en-US"/>
        </w:rPr>
        <w:t>(WRC-</w:t>
      </w:r>
      <w:r w:rsidR="005759DF" w:rsidRPr="00635934">
        <w:rPr>
          <w:rFonts w:eastAsia="宋体" w:hint="eastAsia"/>
          <w:i/>
          <w:iCs/>
          <w:lang w:val="en-US" w:eastAsia="zh-CN"/>
        </w:rPr>
        <w:t>1</w:t>
      </w:r>
      <w:r w:rsidRPr="00635934">
        <w:rPr>
          <w:i/>
          <w:iCs/>
          <w:lang w:val="en-US"/>
        </w:rPr>
        <w:t>5);</w:t>
      </w:r>
    </w:p>
    <w:p w:rsidR="00635934" w:rsidRPr="00B16580" w:rsidRDefault="00EA1B34" w:rsidP="00635934">
      <w:pPr>
        <w:pStyle w:val="a3"/>
        <w:numPr>
          <w:ilvl w:val="0"/>
          <w:numId w:val="1"/>
        </w:numPr>
        <w:wordWrap/>
        <w:spacing w:after="240"/>
        <w:ind w:leftChars="0" w:left="360"/>
        <w:rPr>
          <w:rFonts w:ascii="Times New Roman" w:eastAsia="宋体" w:hAnsi="Times New Roman" w:cs="Times New Roman"/>
          <w:b/>
          <w:sz w:val="24"/>
          <w:szCs w:val="24"/>
          <w:lang w:val="en-NZ" w:eastAsia="zh-CN"/>
        </w:rPr>
      </w:pPr>
      <w:r w:rsidRPr="00B16580">
        <w:rPr>
          <w:rFonts w:ascii="Times New Roman" w:hAnsi="Times New Roman" w:cs="Times New Roman"/>
          <w:b/>
          <w:sz w:val="24"/>
          <w:szCs w:val="24"/>
        </w:rPr>
        <w:t xml:space="preserve">APT </w:t>
      </w:r>
      <w:r w:rsidR="003346ED" w:rsidRPr="00B16580">
        <w:rPr>
          <w:rFonts w:ascii="Times New Roman" w:hAnsi="Times New Roman" w:cs="Times New Roman"/>
          <w:b/>
          <w:sz w:val="24"/>
          <w:szCs w:val="24"/>
        </w:rPr>
        <w:t xml:space="preserve">Common Proposals and </w:t>
      </w:r>
      <w:r w:rsidR="00D1517A" w:rsidRPr="00B16580">
        <w:rPr>
          <w:rFonts w:ascii="Times New Roman" w:hAnsi="Times New Roman" w:cs="Times New Roman"/>
          <w:b/>
          <w:sz w:val="24"/>
          <w:szCs w:val="24"/>
        </w:rPr>
        <w:t xml:space="preserve">APT Views for </w:t>
      </w:r>
      <w:r w:rsidR="003346ED" w:rsidRPr="00B16580">
        <w:rPr>
          <w:rFonts w:ascii="Times New Roman" w:hAnsi="Times New Roman" w:cs="Times New Roman"/>
          <w:b/>
          <w:sz w:val="24"/>
          <w:szCs w:val="24"/>
        </w:rPr>
        <w:t>WRC-19</w:t>
      </w:r>
      <w:r w:rsidR="00D1517A" w:rsidRPr="00B16580">
        <w:rPr>
          <w:rFonts w:ascii="Times New Roman" w:hAnsi="Times New Roman" w:cs="Times New Roman"/>
          <w:b/>
          <w:sz w:val="24"/>
          <w:szCs w:val="24"/>
        </w:rPr>
        <w:t xml:space="preserve"> (which </w:t>
      </w:r>
      <w:r w:rsidR="003346ED" w:rsidRPr="00B16580">
        <w:rPr>
          <w:rFonts w:ascii="Times New Roman" w:hAnsi="Times New Roman" w:cs="Times New Roman"/>
          <w:b/>
          <w:sz w:val="24"/>
          <w:szCs w:val="24"/>
        </w:rPr>
        <w:t>has been submitted to WRC-19</w:t>
      </w:r>
      <w:r w:rsidR="00D1517A" w:rsidRPr="00B16580">
        <w:rPr>
          <w:rFonts w:ascii="Times New Roman" w:hAnsi="Times New Roman" w:cs="Times New Roman"/>
          <w:b/>
          <w:sz w:val="24"/>
          <w:szCs w:val="24"/>
        </w:rPr>
        <w:t>)</w:t>
      </w:r>
      <w:r w:rsidR="000B5983" w:rsidRPr="00B165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5934" w:rsidRPr="00635934" w:rsidRDefault="00B5725B" w:rsidP="00635934">
      <w:pPr>
        <w:pStyle w:val="a3"/>
        <w:suppressAutoHyphens/>
        <w:wordWrap/>
        <w:ind w:leftChars="0" w:left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63593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APT </w:t>
      </w:r>
      <w:r w:rsidRPr="00635934">
        <w:rPr>
          <w:rFonts w:ascii="Times New Roman" w:eastAsia="宋体" w:hAnsi="Times New Roman" w:cs="Times New Roman"/>
          <w:sz w:val="24"/>
          <w:szCs w:val="24"/>
          <w:lang w:eastAsia="zh-CN"/>
        </w:rPr>
        <w:t>support</w:t>
      </w:r>
      <w:r w:rsidR="00635934" w:rsidRPr="00635934">
        <w:rPr>
          <w:rFonts w:ascii="Times New Roman" w:eastAsia="宋体" w:hAnsi="Times New Roman" w:cs="Times New Roman"/>
          <w:sz w:val="24"/>
          <w:szCs w:val="24"/>
          <w:lang w:eastAsia="zh-CN"/>
        </w:rPr>
        <w:t>s</w:t>
      </w:r>
      <w:r w:rsidRPr="00635934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</w:t>
      </w:r>
      <w:r w:rsidRPr="00635934">
        <w:rPr>
          <w:rFonts w:ascii="Times New Roman" w:eastAsia="宋体" w:hAnsi="Times New Roman" w:cs="Times New Roman"/>
          <w:b/>
          <w:sz w:val="24"/>
          <w:szCs w:val="24"/>
          <w:lang w:eastAsia="zh-CN"/>
        </w:rPr>
        <w:t>Method C</w:t>
      </w:r>
      <w:r w:rsidR="00635934" w:rsidRPr="0063593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and </w:t>
      </w:r>
      <w:r w:rsidR="00635934" w:rsidRPr="00635934">
        <w:rPr>
          <w:rFonts w:ascii="Times New Roman" w:eastAsia="宋体" w:hAnsi="Times New Roman" w:cs="Times New Roman"/>
          <w:b/>
          <w:sz w:val="24"/>
          <w:szCs w:val="24"/>
          <w:lang w:eastAsia="zh-CN"/>
        </w:rPr>
        <w:t xml:space="preserve">Method E </w:t>
      </w:r>
      <w:r w:rsidR="008F6AFB">
        <w:rPr>
          <w:rFonts w:ascii="Times New Roman" w:eastAsia="宋体" w:hAnsi="Times New Roman" w:cs="Times New Roman" w:hint="eastAsia"/>
          <w:b/>
          <w:sz w:val="24"/>
          <w:szCs w:val="24"/>
          <w:lang w:eastAsia="zh-CN"/>
        </w:rPr>
        <w:t xml:space="preserve">in CPM report </w:t>
      </w:r>
      <w:r w:rsidR="00635934" w:rsidRPr="0063593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for the </w:t>
      </w:r>
      <w:r w:rsidR="008F6AFB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frequency </w:t>
      </w:r>
      <w:r w:rsidR="00635934" w:rsidRPr="0063593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band</w:t>
      </w:r>
      <w:r w:rsidR="008F6AFB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s</w:t>
      </w:r>
      <w:r w:rsidR="00635934" w:rsidRPr="0063593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 w:rsidR="008F6AFB" w:rsidRPr="00635934">
        <w:rPr>
          <w:rFonts w:ascii="Times New Roman" w:eastAsia="宋体" w:hAnsi="Times New Roman" w:cs="Times New Roman"/>
          <w:sz w:val="24"/>
          <w:szCs w:val="24"/>
          <w:lang w:eastAsia="zh-CN"/>
        </w:rPr>
        <w:t>399.9-400.05 MHz</w:t>
      </w:r>
      <w:r w:rsidR="008F6AFB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and </w:t>
      </w:r>
      <w:r w:rsidR="00635934" w:rsidRPr="00635934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401-403 MHz </w:t>
      </w:r>
      <w:r w:rsidR="00635934" w:rsidRPr="0063593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respectively. </w:t>
      </w:r>
    </w:p>
    <w:p w:rsidR="008742F3" w:rsidRPr="00B16580" w:rsidRDefault="00EA1B34" w:rsidP="00F97CE1">
      <w:pPr>
        <w:pStyle w:val="a3"/>
        <w:numPr>
          <w:ilvl w:val="0"/>
          <w:numId w:val="1"/>
        </w:numPr>
        <w:wordWrap/>
        <w:ind w:leftChars="0" w:left="360"/>
        <w:rPr>
          <w:rFonts w:ascii="Times New Roman" w:hAnsi="Times New Roman" w:cs="Times New Roman"/>
          <w:b/>
          <w:sz w:val="24"/>
          <w:szCs w:val="24"/>
        </w:rPr>
      </w:pPr>
      <w:r w:rsidRPr="00B16580">
        <w:rPr>
          <w:rFonts w:ascii="Times New Roman" w:hAnsi="Times New Roman" w:cs="Times New Roman"/>
          <w:b/>
          <w:sz w:val="24"/>
          <w:szCs w:val="24"/>
        </w:rPr>
        <w:t xml:space="preserve">Topics proposed by other regional Groups or ITU Members which are </w:t>
      </w:r>
      <w:r w:rsidR="008742F3" w:rsidRPr="00B16580">
        <w:rPr>
          <w:rFonts w:ascii="Times New Roman" w:hAnsi="Times New Roman" w:cs="Times New Roman"/>
          <w:b/>
          <w:sz w:val="24"/>
          <w:szCs w:val="24"/>
        </w:rPr>
        <w:t xml:space="preserve">not included in </w:t>
      </w:r>
      <w:r w:rsidR="00C82B13" w:rsidRPr="00B16580">
        <w:rPr>
          <w:rFonts w:ascii="Times New Roman" w:hAnsi="Times New Roman" w:cs="Times New Roman"/>
          <w:b/>
          <w:sz w:val="24"/>
          <w:szCs w:val="24"/>
        </w:rPr>
        <w:t>no. 2 above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52"/>
        <w:gridCol w:w="3728"/>
        <w:gridCol w:w="4206"/>
      </w:tblGrid>
      <w:tr w:rsidR="005A3FDB" w:rsidTr="00E34F22">
        <w:tc>
          <w:tcPr>
            <w:tcW w:w="1242" w:type="dxa"/>
          </w:tcPr>
          <w:p w:rsidR="005A3FDB" w:rsidRDefault="005A3FDB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</w:tcPr>
          <w:p w:rsidR="005A3FDB" w:rsidRDefault="005A3FDB" w:rsidP="00F97CE1">
            <w:pPr>
              <w:wordWrap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184451">
              <w:t>399.9-400.05 MHz</w:t>
            </w:r>
          </w:p>
        </w:tc>
        <w:tc>
          <w:tcPr>
            <w:tcW w:w="4316" w:type="dxa"/>
          </w:tcPr>
          <w:p w:rsidR="005A3FDB" w:rsidRDefault="005A3FDB" w:rsidP="00F97CE1">
            <w:pPr>
              <w:wordWrap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184451">
              <w:rPr>
                <w:lang w:eastAsia="fr-FR"/>
              </w:rPr>
              <w:t>401-403 MHz</w:t>
            </w:r>
          </w:p>
        </w:tc>
      </w:tr>
      <w:tr w:rsidR="005A3FDB" w:rsidTr="00E34F22">
        <w:tc>
          <w:tcPr>
            <w:tcW w:w="1242" w:type="dxa"/>
          </w:tcPr>
          <w:p w:rsidR="005A3FDB" w:rsidRDefault="005A3FDB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CITEL</w:t>
            </w:r>
          </w:p>
        </w:tc>
        <w:tc>
          <w:tcPr>
            <w:tcW w:w="3828" w:type="dxa"/>
          </w:tcPr>
          <w:p w:rsidR="005A3FDB" w:rsidRDefault="005A3FDB" w:rsidP="00F97CE1">
            <w:pPr>
              <w:wordWrap/>
              <w:ind w:firstLineChars="14" w:firstLine="34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New method. Introduce in-band power limit only in 399.9-399.99MHz, </w:t>
            </w:r>
            <w:r w:rsidRPr="005A3FDB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apply after 22 November 2029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316" w:type="dxa"/>
          </w:tcPr>
          <w:p w:rsidR="005A3FDB" w:rsidRDefault="00275459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Approximately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method E.</w:t>
            </w:r>
          </w:p>
          <w:p w:rsidR="00275459" w:rsidRPr="005A3FDB" w:rsidRDefault="00275459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W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ithout limi</w:t>
            </w:r>
            <w:r w:rsidR="00B13A1E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t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in 4kHz and apply after 22 </w:t>
            </w:r>
            <w:r w:rsidRPr="005A3FDB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November 2029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.</w:t>
            </w:r>
          </w:p>
        </w:tc>
      </w:tr>
      <w:tr w:rsidR="005A3FDB" w:rsidTr="00E34F22">
        <w:tc>
          <w:tcPr>
            <w:tcW w:w="1242" w:type="dxa"/>
          </w:tcPr>
          <w:p w:rsidR="005A3FDB" w:rsidRDefault="00275459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RCC</w:t>
            </w:r>
          </w:p>
        </w:tc>
        <w:tc>
          <w:tcPr>
            <w:tcW w:w="3828" w:type="dxa"/>
          </w:tcPr>
          <w:p w:rsidR="005A3FDB" w:rsidRDefault="00275459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Method C. </w:t>
            </w:r>
          </w:p>
        </w:tc>
        <w:tc>
          <w:tcPr>
            <w:tcW w:w="4316" w:type="dxa"/>
          </w:tcPr>
          <w:p w:rsidR="005A3FDB" w:rsidRDefault="00275459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Method E. Apply after 22 </w:t>
            </w:r>
            <w:r w:rsidRPr="005A3FDB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November 202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7.</w:t>
            </w:r>
          </w:p>
        </w:tc>
      </w:tr>
      <w:tr w:rsidR="005A3FDB" w:rsidTr="00E34F22">
        <w:tc>
          <w:tcPr>
            <w:tcW w:w="1242" w:type="dxa"/>
          </w:tcPr>
          <w:p w:rsidR="005A3FDB" w:rsidRDefault="00275459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CEPT</w:t>
            </w:r>
          </w:p>
        </w:tc>
        <w:tc>
          <w:tcPr>
            <w:tcW w:w="3828" w:type="dxa"/>
          </w:tcPr>
          <w:p w:rsidR="005A3FDB" w:rsidRDefault="00275459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M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ethod C. </w:t>
            </w:r>
          </w:p>
        </w:tc>
        <w:tc>
          <w:tcPr>
            <w:tcW w:w="4316" w:type="dxa"/>
          </w:tcPr>
          <w:p w:rsidR="005A3FDB" w:rsidRDefault="00275459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Method E Apply after 22 </w:t>
            </w:r>
            <w:r w:rsidRPr="005A3FDB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November 202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7.</w:t>
            </w:r>
          </w:p>
        </w:tc>
      </w:tr>
      <w:tr w:rsidR="005A3FDB" w:rsidTr="00E34F22">
        <w:tc>
          <w:tcPr>
            <w:tcW w:w="1242" w:type="dxa"/>
          </w:tcPr>
          <w:p w:rsidR="005A3FDB" w:rsidRDefault="00275459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ATU</w:t>
            </w:r>
          </w:p>
        </w:tc>
        <w:tc>
          <w:tcPr>
            <w:tcW w:w="3828" w:type="dxa"/>
          </w:tcPr>
          <w:p w:rsidR="005A3FDB" w:rsidRDefault="00635934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C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hange to Method C from </w:t>
            </w:r>
            <w:r w:rsidR="00275459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No change</w:t>
            </w:r>
          </w:p>
        </w:tc>
        <w:tc>
          <w:tcPr>
            <w:tcW w:w="4316" w:type="dxa"/>
          </w:tcPr>
          <w:p w:rsidR="005A3FDB" w:rsidRDefault="00275459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Approximately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method E.</w:t>
            </w:r>
            <w:r w:rsidR="00B13A1E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not apply to TT&amp;C even after 22 November 2029</w:t>
            </w:r>
          </w:p>
        </w:tc>
      </w:tr>
      <w:tr w:rsidR="005A3FDB" w:rsidTr="00E34F22">
        <w:tc>
          <w:tcPr>
            <w:tcW w:w="1242" w:type="dxa"/>
          </w:tcPr>
          <w:p w:rsidR="005A3FDB" w:rsidRDefault="00B13A1E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ASMG</w:t>
            </w:r>
          </w:p>
        </w:tc>
        <w:tc>
          <w:tcPr>
            <w:tcW w:w="3828" w:type="dxa"/>
          </w:tcPr>
          <w:p w:rsidR="005A3FDB" w:rsidRDefault="00B13A1E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Method C</w:t>
            </w:r>
          </w:p>
        </w:tc>
        <w:tc>
          <w:tcPr>
            <w:tcW w:w="4316" w:type="dxa"/>
          </w:tcPr>
          <w:p w:rsidR="005A3FDB" w:rsidRDefault="00B13A1E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Method E</w:t>
            </w:r>
          </w:p>
        </w:tc>
      </w:tr>
      <w:tr w:rsidR="00842027" w:rsidTr="00E34F22">
        <w:tc>
          <w:tcPr>
            <w:tcW w:w="1242" w:type="dxa"/>
          </w:tcPr>
          <w:p w:rsidR="00842027" w:rsidRDefault="00842027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CHN</w:t>
            </w:r>
          </w:p>
        </w:tc>
        <w:tc>
          <w:tcPr>
            <w:tcW w:w="3828" w:type="dxa"/>
          </w:tcPr>
          <w:p w:rsidR="00842027" w:rsidRDefault="00842027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Method C</w:t>
            </w:r>
          </w:p>
        </w:tc>
        <w:tc>
          <w:tcPr>
            <w:tcW w:w="4316" w:type="dxa"/>
          </w:tcPr>
          <w:p w:rsidR="00842027" w:rsidRDefault="00842027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Method E</w:t>
            </w:r>
          </w:p>
        </w:tc>
      </w:tr>
      <w:tr w:rsidR="00B13A1E" w:rsidRPr="00842027" w:rsidTr="00E34F22">
        <w:tc>
          <w:tcPr>
            <w:tcW w:w="1242" w:type="dxa"/>
          </w:tcPr>
          <w:p w:rsidR="00B13A1E" w:rsidRDefault="00B13A1E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J</w:t>
            </w:r>
          </w:p>
        </w:tc>
        <w:tc>
          <w:tcPr>
            <w:tcW w:w="3828" w:type="dxa"/>
          </w:tcPr>
          <w:p w:rsidR="00B13A1E" w:rsidRDefault="00842027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316" w:type="dxa"/>
          </w:tcPr>
          <w:p w:rsidR="00B13A1E" w:rsidRDefault="00842027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Mehtod</w:t>
            </w:r>
            <w:proofErr w:type="spellEnd"/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E, Apply after 22 </w:t>
            </w:r>
            <w:r w:rsidRPr="005A3FDB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November 202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9.</w:t>
            </w:r>
          </w:p>
        </w:tc>
      </w:tr>
      <w:tr w:rsidR="00842027" w:rsidRPr="00842027" w:rsidTr="00E34F22">
        <w:tc>
          <w:tcPr>
            <w:tcW w:w="1242" w:type="dxa"/>
          </w:tcPr>
          <w:p w:rsidR="00842027" w:rsidRDefault="00842027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AUS</w:t>
            </w:r>
          </w:p>
        </w:tc>
        <w:tc>
          <w:tcPr>
            <w:tcW w:w="3828" w:type="dxa"/>
          </w:tcPr>
          <w:p w:rsidR="00842027" w:rsidRDefault="00842027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Method C</w:t>
            </w:r>
          </w:p>
        </w:tc>
        <w:tc>
          <w:tcPr>
            <w:tcW w:w="4316" w:type="dxa"/>
          </w:tcPr>
          <w:p w:rsidR="00842027" w:rsidRDefault="00842027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-</w:t>
            </w:r>
          </w:p>
        </w:tc>
      </w:tr>
      <w:tr w:rsidR="00755CDF" w:rsidRPr="00842027" w:rsidTr="00E34F22">
        <w:tc>
          <w:tcPr>
            <w:tcW w:w="1242" w:type="dxa"/>
          </w:tcPr>
          <w:p w:rsidR="00755CDF" w:rsidRDefault="00755CDF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India</w:t>
            </w:r>
          </w:p>
        </w:tc>
        <w:tc>
          <w:tcPr>
            <w:tcW w:w="3828" w:type="dxa"/>
          </w:tcPr>
          <w:p w:rsidR="00755CDF" w:rsidRDefault="00755CDF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Method C</w:t>
            </w:r>
          </w:p>
        </w:tc>
        <w:tc>
          <w:tcPr>
            <w:tcW w:w="4316" w:type="dxa"/>
          </w:tcPr>
          <w:p w:rsidR="00755CDF" w:rsidRDefault="00755CDF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Method E</w:t>
            </w:r>
          </w:p>
        </w:tc>
      </w:tr>
      <w:tr w:rsidR="00755CDF" w:rsidTr="00E34F22">
        <w:tc>
          <w:tcPr>
            <w:tcW w:w="1242" w:type="dxa"/>
          </w:tcPr>
          <w:p w:rsidR="00755CDF" w:rsidRDefault="00755CDF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B13A1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Luxembourg</w:t>
            </w:r>
          </w:p>
        </w:tc>
        <w:tc>
          <w:tcPr>
            <w:tcW w:w="3828" w:type="dxa"/>
          </w:tcPr>
          <w:p w:rsidR="00755CDF" w:rsidRDefault="00755CDF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S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upports </w:t>
            </w:r>
            <w:r w:rsidRPr="00B13A1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in-band power limits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, while maintaining filing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original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status when changing the limits.</w:t>
            </w:r>
          </w:p>
        </w:tc>
        <w:tc>
          <w:tcPr>
            <w:tcW w:w="4316" w:type="dxa"/>
          </w:tcPr>
          <w:p w:rsidR="00755CDF" w:rsidRDefault="00755CDF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-</w:t>
            </w:r>
          </w:p>
        </w:tc>
      </w:tr>
      <w:tr w:rsidR="00755CDF" w:rsidTr="00C44957">
        <w:tc>
          <w:tcPr>
            <w:tcW w:w="1242" w:type="dxa"/>
          </w:tcPr>
          <w:p w:rsidR="00755CDF" w:rsidRPr="00B13A1E" w:rsidRDefault="00755CDF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84202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Slovenia</w:t>
            </w:r>
          </w:p>
        </w:tc>
        <w:tc>
          <w:tcPr>
            <w:tcW w:w="8144" w:type="dxa"/>
            <w:gridSpan w:val="2"/>
          </w:tcPr>
          <w:p w:rsidR="00755CDF" w:rsidRDefault="00FC5C8E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R</w:t>
            </w:r>
            <w:r w:rsidR="00755CDF" w:rsidRPr="0084202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equests WRC-19 to exclude the NEMO-HD satellite network from the application of possible </w:t>
            </w:r>
            <w:proofErr w:type="spellStart"/>
            <w:r w:rsidR="00755CDF" w:rsidRPr="0084202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e.i.r.p</w:t>
            </w:r>
            <w:proofErr w:type="spellEnd"/>
            <w:r w:rsidR="00755CDF" w:rsidRPr="0084202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. limits</w:t>
            </w:r>
            <w:r w:rsidR="00755CDF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due to </w:t>
            </w:r>
            <w:r w:rsidR="00755CDF" w:rsidRPr="0084202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force majeure</w:t>
            </w:r>
            <w:r w:rsidR="00755CDF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.</w:t>
            </w:r>
          </w:p>
        </w:tc>
      </w:tr>
    </w:tbl>
    <w:p w:rsidR="005759DF" w:rsidRPr="005759DF" w:rsidRDefault="005759DF" w:rsidP="00F97CE1">
      <w:pPr>
        <w:wordWrap/>
        <w:rPr>
          <w:rFonts w:ascii="Times New Roman" w:eastAsia="宋体" w:hAnsi="Times New Roman" w:cs="Times New Roman"/>
          <w:sz w:val="24"/>
          <w:szCs w:val="24"/>
          <w:lang w:eastAsia="zh-CN"/>
        </w:rPr>
      </w:pPr>
    </w:p>
    <w:p w:rsidR="00EA1B34" w:rsidRPr="00B72AE1" w:rsidRDefault="008742F3" w:rsidP="00F97CE1">
      <w:pPr>
        <w:pStyle w:val="a3"/>
        <w:numPr>
          <w:ilvl w:val="0"/>
          <w:numId w:val="1"/>
        </w:numPr>
        <w:wordWrap/>
        <w:ind w:leftChars="0" w:left="360"/>
        <w:rPr>
          <w:rFonts w:ascii="Times New Roman" w:hAnsi="Times New Roman" w:cs="Times New Roman" w:hint="eastAsia"/>
          <w:b/>
          <w:sz w:val="24"/>
          <w:szCs w:val="24"/>
        </w:rPr>
      </w:pPr>
      <w:r w:rsidRPr="00B16580">
        <w:rPr>
          <w:rFonts w:ascii="Times New Roman" w:hAnsi="Times New Roman" w:cs="Times New Roman"/>
          <w:b/>
          <w:sz w:val="24"/>
          <w:szCs w:val="24"/>
        </w:rPr>
        <w:t xml:space="preserve">Progress of discussion during </w:t>
      </w:r>
      <w:r w:rsidR="003346ED" w:rsidRPr="00B16580">
        <w:rPr>
          <w:rFonts w:ascii="Times New Roman" w:hAnsi="Times New Roman" w:cs="Times New Roman"/>
          <w:b/>
          <w:sz w:val="24"/>
          <w:szCs w:val="24"/>
        </w:rPr>
        <w:t xml:space="preserve">WRC-19 </w:t>
      </w:r>
      <w:r w:rsidR="00D1517A" w:rsidRPr="00B16580">
        <w:rPr>
          <w:rFonts w:ascii="Times New Roman" w:hAnsi="Times New Roman" w:cs="Times New Roman"/>
          <w:b/>
          <w:sz w:val="24"/>
          <w:szCs w:val="24"/>
        </w:rPr>
        <w:t>on the Agenda Item</w:t>
      </w:r>
    </w:p>
    <w:p w:rsidR="00CC4C72" w:rsidRDefault="00CC4C72" w:rsidP="004D026B">
      <w:pPr>
        <w:pStyle w:val="Note"/>
        <w:spacing w:after="240"/>
        <w:jc w:val="both"/>
        <w:rPr>
          <w:rFonts w:eastAsia="宋体" w:hint="eastAsia"/>
          <w:lang w:eastAsia="zh-CN"/>
        </w:rPr>
      </w:pPr>
      <w:r w:rsidRPr="0049476D">
        <w:t xml:space="preserve">Yesterday afternoon, the sub-working group meeting of 5C1 completed the discussion on AI1.2 and formed the </w:t>
      </w:r>
      <w:r w:rsidRPr="0049476D">
        <w:rPr>
          <w:rFonts w:hint="eastAsia"/>
        </w:rPr>
        <w:t xml:space="preserve">final document of </w:t>
      </w:r>
      <w:r w:rsidR="0049476D" w:rsidRPr="0049476D">
        <w:rPr>
          <w:rFonts w:hint="eastAsia"/>
        </w:rPr>
        <w:t>this sub working group</w:t>
      </w:r>
      <w:r w:rsidRPr="0049476D">
        <w:t xml:space="preserve">. </w:t>
      </w:r>
      <w:r w:rsidR="005F63AA" w:rsidRPr="0049476D">
        <w:t>This final document has little change from</w:t>
      </w:r>
      <w:r w:rsidRPr="0049476D">
        <w:t xml:space="preserve"> the document I submitted to APT coordination </w:t>
      </w:r>
      <w:r w:rsidR="005F63AA" w:rsidRPr="0049476D">
        <w:rPr>
          <w:rFonts w:hint="eastAsia"/>
        </w:rPr>
        <w:t>meeting and agreed by APT groups</w:t>
      </w:r>
      <w:r w:rsidR="005F63AA" w:rsidRPr="0049476D">
        <w:t xml:space="preserve"> yesterday</w:t>
      </w:r>
      <w:r w:rsidRPr="0049476D">
        <w:rPr>
          <w:rFonts w:hint="eastAsia"/>
        </w:rPr>
        <w:t xml:space="preserve">. </w:t>
      </w:r>
    </w:p>
    <w:p w:rsidR="0049476D" w:rsidRPr="0049476D" w:rsidRDefault="0049476D" w:rsidP="004D026B">
      <w:pPr>
        <w:pStyle w:val="Note"/>
        <w:spacing w:after="240"/>
        <w:jc w:val="both"/>
        <w:rPr>
          <w:rFonts w:hint="eastAsia"/>
        </w:rPr>
      </w:pPr>
      <w:r w:rsidRPr="0049476D">
        <w:lastRenderedPageBreak/>
        <w:t xml:space="preserve">At present, the only remaining problem </w:t>
      </w:r>
      <w:r w:rsidRPr="0049476D">
        <w:rPr>
          <w:rFonts w:hint="eastAsia"/>
        </w:rPr>
        <w:t xml:space="preserve">to be determined </w:t>
      </w:r>
      <w:r w:rsidRPr="0049476D">
        <w:t xml:space="preserve">is the transitional </w:t>
      </w:r>
      <w:r w:rsidRPr="0049476D">
        <w:rPr>
          <w:rFonts w:hint="eastAsia"/>
        </w:rPr>
        <w:t>period</w:t>
      </w:r>
      <w:r w:rsidRPr="0049476D">
        <w:t>,</w:t>
      </w:r>
    </w:p>
    <w:p w:rsidR="00E557DF" w:rsidRPr="00E557DF" w:rsidRDefault="0049476D" w:rsidP="00345944">
      <w:pPr>
        <w:pStyle w:val="Note"/>
        <w:numPr>
          <w:ilvl w:val="0"/>
          <w:numId w:val="9"/>
        </w:numPr>
        <w:ind w:leftChars="342" w:left="1104"/>
        <w:jc w:val="both"/>
        <w:rPr>
          <w:rFonts w:hint="eastAsia"/>
        </w:rPr>
      </w:pPr>
      <w:r w:rsidRPr="0049476D">
        <w:rPr>
          <w:rFonts w:hint="eastAsia"/>
        </w:rPr>
        <w:t xml:space="preserve">For the frequency band </w:t>
      </w:r>
      <w:r w:rsidR="00CC4C72" w:rsidRPr="0049476D">
        <w:t>399.9-401.05</w:t>
      </w:r>
      <w:r w:rsidRPr="0049476D">
        <w:rPr>
          <w:rFonts w:hint="eastAsia"/>
        </w:rPr>
        <w:t>MHz</w:t>
      </w:r>
    </w:p>
    <w:p w:rsidR="0049476D" w:rsidRPr="0049476D" w:rsidRDefault="00E557DF" w:rsidP="00345944">
      <w:pPr>
        <w:pStyle w:val="Note"/>
        <w:tabs>
          <w:tab w:val="clear" w:pos="1134"/>
        </w:tabs>
        <w:ind w:leftChars="410" w:left="820"/>
        <w:jc w:val="both"/>
        <w:rPr>
          <w:rFonts w:hint="eastAsia"/>
        </w:rPr>
      </w:pPr>
      <w:r>
        <w:rPr>
          <w:rFonts w:eastAsia="宋体" w:hint="eastAsia"/>
          <w:lang w:eastAsia="zh-CN"/>
        </w:rPr>
        <w:t>A</w:t>
      </w:r>
      <w:r w:rsidR="00CC4C72" w:rsidRPr="0049476D">
        <w:t>PT, C</w:t>
      </w:r>
      <w:r w:rsidR="0049476D" w:rsidRPr="0049476D">
        <w:rPr>
          <w:rFonts w:hint="eastAsia"/>
        </w:rPr>
        <w:t>I</w:t>
      </w:r>
      <w:r w:rsidR="00CC4C72" w:rsidRPr="0049476D">
        <w:t>TEL, CEPT, ASMG and A</w:t>
      </w:r>
      <w:r w:rsidR="0049476D" w:rsidRPr="0049476D">
        <w:rPr>
          <w:rFonts w:hint="eastAsia"/>
        </w:rPr>
        <w:t>TU</w:t>
      </w:r>
      <w:r w:rsidR="00CC4C72" w:rsidRPr="0049476D">
        <w:t xml:space="preserve"> support 22 November 2022,</w:t>
      </w:r>
      <w:r w:rsidR="0049476D" w:rsidRPr="0049476D">
        <w:rPr>
          <w:rFonts w:hint="eastAsia"/>
        </w:rPr>
        <w:t xml:space="preserve"> only </w:t>
      </w:r>
      <w:r w:rsidR="00CC4C72" w:rsidRPr="0049476D">
        <w:t xml:space="preserve">RCC needs to be </w:t>
      </w:r>
      <w:r w:rsidR="0049476D" w:rsidRPr="0049476D">
        <w:rPr>
          <w:rFonts w:hint="eastAsia"/>
        </w:rPr>
        <w:t>confirmed</w:t>
      </w:r>
      <w:r w:rsidR="00CC4C72" w:rsidRPr="0049476D">
        <w:t>.</w:t>
      </w:r>
      <w:r w:rsidR="0049476D" w:rsidRPr="0049476D">
        <w:rPr>
          <w:rFonts w:hint="eastAsia"/>
        </w:rPr>
        <w:t xml:space="preserve"> </w:t>
      </w:r>
    </w:p>
    <w:p w:rsidR="00E557DF" w:rsidRPr="00E557DF" w:rsidRDefault="00CC4C72" w:rsidP="00345944">
      <w:pPr>
        <w:pStyle w:val="Note"/>
        <w:numPr>
          <w:ilvl w:val="0"/>
          <w:numId w:val="9"/>
        </w:numPr>
        <w:ind w:leftChars="342" w:left="1104"/>
        <w:jc w:val="both"/>
        <w:rPr>
          <w:rFonts w:hint="eastAsia"/>
        </w:rPr>
      </w:pPr>
      <w:r w:rsidRPr="0049476D">
        <w:t xml:space="preserve">For the </w:t>
      </w:r>
      <w:r w:rsidR="0049476D" w:rsidRPr="0049476D">
        <w:rPr>
          <w:rFonts w:hint="eastAsia"/>
        </w:rPr>
        <w:t>frequency band</w:t>
      </w:r>
      <w:r w:rsidR="0049476D" w:rsidRPr="0049476D">
        <w:t xml:space="preserve"> </w:t>
      </w:r>
      <w:r w:rsidRPr="0049476D">
        <w:t>401-405</w:t>
      </w:r>
      <w:r w:rsidR="0049476D" w:rsidRPr="0049476D">
        <w:rPr>
          <w:rFonts w:hint="eastAsia"/>
        </w:rPr>
        <w:t>MHz</w:t>
      </w:r>
    </w:p>
    <w:p w:rsidR="004D026B" w:rsidRPr="004D026B" w:rsidRDefault="00CC4C72" w:rsidP="004D026B">
      <w:pPr>
        <w:pStyle w:val="Note"/>
        <w:spacing w:after="240"/>
        <w:ind w:leftChars="200" w:left="400" w:firstLineChars="200" w:firstLine="480"/>
        <w:jc w:val="both"/>
        <w:rPr>
          <w:rFonts w:eastAsia="宋体" w:hint="eastAsia"/>
          <w:lang w:eastAsia="zh-CN"/>
        </w:rPr>
      </w:pPr>
      <w:r w:rsidRPr="0049476D">
        <w:t xml:space="preserve">CITEL and Japan support </w:t>
      </w:r>
      <w:r w:rsidR="0049476D" w:rsidRPr="0049476D">
        <w:t xml:space="preserve">22 November </w:t>
      </w:r>
      <w:r w:rsidRPr="0049476D">
        <w:t>2029</w:t>
      </w:r>
      <w:r w:rsidR="00E557DF">
        <w:rPr>
          <w:rFonts w:eastAsia="宋体" w:hint="eastAsia"/>
          <w:lang w:eastAsia="zh-CN"/>
        </w:rPr>
        <w:t>.</w:t>
      </w:r>
      <w:bookmarkStart w:id="1" w:name="_GoBack"/>
      <w:bookmarkEnd w:id="1"/>
    </w:p>
    <w:p w:rsidR="004D026B" w:rsidRDefault="004D026B" w:rsidP="004D026B">
      <w:pPr>
        <w:pStyle w:val="Note"/>
        <w:spacing w:after="240"/>
        <w:jc w:val="both"/>
        <w:rPr>
          <w:rFonts w:eastAsia="宋体" w:hint="eastAsia"/>
          <w:lang w:eastAsia="zh-CN"/>
        </w:rPr>
      </w:pPr>
      <w:r w:rsidRPr="00576C19">
        <w:t xml:space="preserve">What I want to point out is that although </w:t>
      </w:r>
      <w:r w:rsidRPr="00576C19">
        <w:rPr>
          <w:rFonts w:hint="eastAsia"/>
        </w:rPr>
        <w:t xml:space="preserve">the footnote for </w:t>
      </w:r>
      <w:r w:rsidRPr="00576C19">
        <w:t>the frequency band 399.9-400.05</w:t>
      </w:r>
      <w:r w:rsidRPr="00576C19">
        <w:rPr>
          <w:rFonts w:hint="eastAsia"/>
        </w:rPr>
        <w:t>MHz</w:t>
      </w:r>
      <w:r w:rsidRPr="00576C19">
        <w:t xml:space="preserve"> is different from the original </w:t>
      </w:r>
      <w:r w:rsidRPr="00576C19">
        <w:rPr>
          <w:rFonts w:hint="eastAsia"/>
        </w:rPr>
        <w:t xml:space="preserve">APT </w:t>
      </w:r>
      <w:r w:rsidRPr="00576C19">
        <w:t>view method C</w:t>
      </w:r>
      <w:r w:rsidRPr="00576C19">
        <w:rPr>
          <w:rFonts w:hint="eastAsia"/>
        </w:rPr>
        <w:t xml:space="preserve">, </w:t>
      </w:r>
      <w:r w:rsidRPr="00576C19">
        <w:t xml:space="preserve">It is the result achieved through full coordination, discussion and compromise of various regional organizations and </w:t>
      </w:r>
      <w:r w:rsidRPr="00576C19">
        <w:rPr>
          <w:rFonts w:hint="eastAsia"/>
        </w:rPr>
        <w:t xml:space="preserve">concerned </w:t>
      </w:r>
      <w:proofErr w:type="gramStart"/>
      <w:r w:rsidRPr="00576C19">
        <w:t>countries</w:t>
      </w:r>
      <w:proofErr w:type="gramEnd"/>
      <w:r w:rsidRPr="00576C19">
        <w:t>.</w:t>
      </w:r>
    </w:p>
    <w:p w:rsidR="00CC4C72" w:rsidRPr="0049476D" w:rsidRDefault="0049476D" w:rsidP="004D026B">
      <w:pPr>
        <w:pStyle w:val="Note"/>
        <w:spacing w:after="240"/>
        <w:jc w:val="both"/>
        <w:rPr>
          <w:rFonts w:hint="eastAsia"/>
        </w:rPr>
      </w:pPr>
      <w:r w:rsidRPr="0049476D">
        <w:t>W</w:t>
      </w:r>
      <w:r w:rsidRPr="0049476D">
        <w:rPr>
          <w:rFonts w:hint="eastAsia"/>
        </w:rPr>
        <w:t>ith this, t</w:t>
      </w:r>
      <w:r w:rsidR="00CC4C72" w:rsidRPr="0049476D">
        <w:t>he</w:t>
      </w:r>
      <w:r w:rsidR="00B036E5">
        <w:rPr>
          <w:rFonts w:eastAsia="宋体" w:hint="eastAsia"/>
          <w:lang w:eastAsia="zh-CN"/>
        </w:rPr>
        <w:t xml:space="preserve"> final</w:t>
      </w:r>
      <w:r w:rsidR="00CC4C72" w:rsidRPr="0049476D">
        <w:t xml:space="preserve"> document will be submitted to the </w:t>
      </w:r>
      <w:r w:rsidR="00B036E5">
        <w:rPr>
          <w:rFonts w:eastAsia="宋体" w:hint="eastAsia"/>
          <w:lang w:eastAsia="zh-CN"/>
        </w:rPr>
        <w:t xml:space="preserve">WG </w:t>
      </w:r>
      <w:r w:rsidR="00CC4C72" w:rsidRPr="0049476D">
        <w:t>5C for consideration.</w:t>
      </w:r>
    </w:p>
    <w:p w:rsidR="008742F3" w:rsidRPr="00DF125A" w:rsidRDefault="008742F3" w:rsidP="002971E5">
      <w:pPr>
        <w:pStyle w:val="a3"/>
        <w:numPr>
          <w:ilvl w:val="0"/>
          <w:numId w:val="1"/>
        </w:numPr>
        <w:wordWrap/>
        <w:ind w:leftChars="0" w:left="360"/>
        <w:rPr>
          <w:rFonts w:ascii="Times New Roman" w:hAnsi="Times New Roman" w:cs="Times New Roman" w:hint="eastAsia"/>
          <w:b/>
          <w:sz w:val="24"/>
          <w:szCs w:val="24"/>
        </w:rPr>
      </w:pPr>
      <w:r w:rsidRPr="000B41B8">
        <w:rPr>
          <w:rFonts w:ascii="Times New Roman" w:hAnsi="Times New Roman" w:cs="Times New Roman"/>
          <w:b/>
          <w:sz w:val="24"/>
          <w:szCs w:val="24"/>
        </w:rPr>
        <w:t>Iss</w:t>
      </w:r>
      <w:r w:rsidRPr="00B16580">
        <w:rPr>
          <w:rFonts w:ascii="Times New Roman" w:hAnsi="Times New Roman" w:cs="Times New Roman"/>
          <w:b/>
          <w:sz w:val="24"/>
          <w:szCs w:val="24"/>
        </w:rPr>
        <w:t xml:space="preserve">ues </w:t>
      </w:r>
      <w:r w:rsidR="000B5983" w:rsidRPr="00B16580">
        <w:rPr>
          <w:rFonts w:ascii="Times New Roman" w:hAnsi="Times New Roman" w:cs="Times New Roman"/>
          <w:b/>
          <w:sz w:val="24"/>
          <w:szCs w:val="24"/>
        </w:rPr>
        <w:t xml:space="preserve">which </w:t>
      </w:r>
      <w:r w:rsidRPr="00B16580">
        <w:rPr>
          <w:rFonts w:ascii="Times New Roman" w:hAnsi="Times New Roman" w:cs="Times New Roman"/>
          <w:b/>
          <w:sz w:val="24"/>
          <w:szCs w:val="24"/>
        </w:rPr>
        <w:t xml:space="preserve">require </w:t>
      </w:r>
      <w:r w:rsidR="00D1517A" w:rsidRPr="00B16580">
        <w:rPr>
          <w:rFonts w:ascii="Times New Roman" w:hAnsi="Times New Roman" w:cs="Times New Roman"/>
          <w:b/>
          <w:sz w:val="24"/>
          <w:szCs w:val="24"/>
        </w:rPr>
        <w:t>discussion at</w:t>
      </w:r>
      <w:r w:rsidRPr="00B16580">
        <w:rPr>
          <w:rFonts w:ascii="Times New Roman" w:hAnsi="Times New Roman" w:cs="Times New Roman"/>
          <w:b/>
          <w:sz w:val="24"/>
          <w:szCs w:val="24"/>
        </w:rPr>
        <w:t xml:space="preserve"> AP</w:t>
      </w:r>
      <w:r w:rsidR="003346ED" w:rsidRPr="00B16580">
        <w:rPr>
          <w:rFonts w:ascii="Times New Roman" w:hAnsi="Times New Roman" w:cs="Times New Roman"/>
          <w:b/>
          <w:sz w:val="24"/>
          <w:szCs w:val="24"/>
        </w:rPr>
        <w:t>T</w:t>
      </w:r>
      <w:r w:rsidRPr="00B16580">
        <w:rPr>
          <w:rFonts w:ascii="Times New Roman" w:hAnsi="Times New Roman" w:cs="Times New Roman"/>
          <w:b/>
          <w:sz w:val="24"/>
          <w:szCs w:val="24"/>
        </w:rPr>
        <w:t xml:space="preserve"> Coordination </w:t>
      </w:r>
      <w:r w:rsidR="003346ED" w:rsidRPr="00B16580">
        <w:rPr>
          <w:rFonts w:ascii="Times New Roman" w:hAnsi="Times New Roman" w:cs="Times New Roman"/>
          <w:b/>
          <w:sz w:val="24"/>
          <w:szCs w:val="24"/>
        </w:rPr>
        <w:t>M</w:t>
      </w:r>
      <w:r w:rsidRPr="00B16580">
        <w:rPr>
          <w:rFonts w:ascii="Times New Roman" w:hAnsi="Times New Roman" w:cs="Times New Roman"/>
          <w:b/>
          <w:sz w:val="24"/>
          <w:szCs w:val="24"/>
        </w:rPr>
        <w:t>eeting</w:t>
      </w:r>
      <w:r w:rsidR="003346ED" w:rsidRPr="00B16580">
        <w:rPr>
          <w:rFonts w:ascii="Times New Roman" w:hAnsi="Times New Roman" w:cs="Times New Roman"/>
          <w:b/>
          <w:sz w:val="24"/>
          <w:szCs w:val="24"/>
        </w:rPr>
        <w:t>s</w:t>
      </w:r>
      <w:r w:rsidR="00D1517A" w:rsidRPr="00B16580">
        <w:rPr>
          <w:rFonts w:ascii="Times New Roman" w:hAnsi="Times New Roman" w:cs="Times New Roman"/>
          <w:b/>
          <w:sz w:val="24"/>
          <w:szCs w:val="24"/>
        </w:rPr>
        <w:t xml:space="preserve"> and seek guidance thereafter</w:t>
      </w:r>
      <w:r w:rsidR="005F5BFC" w:rsidRPr="00B16580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</w:p>
    <w:p w:rsidR="00DF125A" w:rsidRDefault="00DF125A" w:rsidP="00DF125A">
      <w:pPr>
        <w:pStyle w:val="a3"/>
        <w:wordWrap/>
        <w:ind w:leftChars="0" w:left="360"/>
        <w:rPr>
          <w:rFonts w:ascii="Times New Roman" w:eastAsia="宋体" w:hAnsi="Times New Roman" w:cs="Times New Roman" w:hint="eastAsia"/>
          <w:b/>
          <w:sz w:val="24"/>
          <w:szCs w:val="24"/>
          <w:lang w:eastAsia="zh-CN"/>
        </w:rPr>
      </w:pPr>
      <w:proofErr w:type="gramStart"/>
      <w:r>
        <w:rPr>
          <w:rFonts w:ascii="Times New Roman" w:eastAsia="宋体" w:hAnsi="Times New Roman" w:cs="Times New Roman" w:hint="eastAsia"/>
          <w:b/>
          <w:sz w:val="24"/>
          <w:szCs w:val="24"/>
          <w:lang w:eastAsia="zh-CN"/>
        </w:rPr>
        <w:t>None.</w:t>
      </w:r>
      <w:proofErr w:type="gramEnd"/>
    </w:p>
    <w:p w:rsidR="00576C19" w:rsidRDefault="00576C19" w:rsidP="00DF125A">
      <w:pPr>
        <w:pStyle w:val="a3"/>
        <w:wordWrap/>
        <w:ind w:leftChars="0" w:left="360"/>
        <w:rPr>
          <w:rFonts w:ascii="Times New Roman" w:eastAsia="宋体" w:hAnsi="Times New Roman" w:cs="Times New Roman" w:hint="eastAsia"/>
          <w:b/>
          <w:sz w:val="24"/>
          <w:szCs w:val="24"/>
          <w:lang w:eastAsia="zh-CN"/>
        </w:rPr>
      </w:pPr>
    </w:p>
    <w:p w:rsidR="00576C19" w:rsidRPr="00B16580" w:rsidRDefault="00576C19" w:rsidP="00DF125A">
      <w:pPr>
        <w:pStyle w:val="a3"/>
        <w:wordWrap/>
        <w:ind w:leftChars="0" w:left="360"/>
        <w:rPr>
          <w:rFonts w:ascii="Times New Roman" w:hAnsi="Times New Roman" w:cs="Times New Roman"/>
          <w:b/>
          <w:sz w:val="24"/>
          <w:szCs w:val="24"/>
        </w:rPr>
      </w:pPr>
    </w:p>
    <w:p w:rsidR="00C82B13" w:rsidRPr="00C82B13" w:rsidRDefault="00C82B13" w:rsidP="00F97CE1">
      <w:pPr>
        <w:wordWrap/>
        <w:rPr>
          <w:rFonts w:ascii="Times New Roman" w:hAnsi="Times New Roman" w:cs="Times New Roman"/>
          <w:sz w:val="24"/>
          <w:szCs w:val="24"/>
        </w:rPr>
      </w:pPr>
      <w:r w:rsidRPr="00C82B13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>
        <w:rPr>
          <w:rFonts w:ascii="Times New Roman" w:hAnsi="Times New Roman" w:cs="Times New Roman"/>
          <w:i/>
          <w:sz w:val="24"/>
          <w:szCs w:val="24"/>
        </w:rPr>
        <w:t>are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</w:t>
      </w:r>
      <w:r>
        <w:rPr>
          <w:rFonts w:ascii="Times New Roman" w:hAnsi="Times New Roman" w:cs="Times New Roman"/>
          <w:i/>
          <w:sz w:val="24"/>
          <w:szCs w:val="24"/>
        </w:rPr>
        <w:t>under no.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3 and inform the outcomes of consultation to the Coordination Meeting</w:t>
      </w:r>
      <w:r w:rsidR="003346ED">
        <w:rPr>
          <w:rFonts w:ascii="Times New Roman" w:hAnsi="Times New Roman" w:cs="Times New Roman"/>
          <w:sz w:val="24"/>
          <w:szCs w:val="24"/>
        </w:rPr>
        <w:t>.</w:t>
      </w:r>
      <w:r w:rsidR="003346ED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82B13" w:rsidRPr="00C82B13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7FD" w:rsidRDefault="00B537FD" w:rsidP="00D1517A">
      <w:pPr>
        <w:spacing w:after="0" w:line="240" w:lineRule="auto"/>
      </w:pPr>
      <w:r>
        <w:separator/>
      </w:r>
    </w:p>
  </w:endnote>
  <w:endnote w:type="continuationSeparator" w:id="0">
    <w:p w:rsidR="00B537FD" w:rsidRDefault="00B537FD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7FD" w:rsidRDefault="00B537FD" w:rsidP="00D1517A">
      <w:pPr>
        <w:spacing w:after="0" w:line="240" w:lineRule="auto"/>
      </w:pPr>
      <w:r>
        <w:separator/>
      </w:r>
    </w:p>
  </w:footnote>
  <w:footnote w:type="continuationSeparator" w:id="0">
    <w:p w:rsidR="00B537FD" w:rsidRDefault="00B537FD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A59"/>
    <w:multiLevelType w:val="hybridMultilevel"/>
    <w:tmpl w:val="13A87AB8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>
    <w:nsid w:val="1CB923C4"/>
    <w:multiLevelType w:val="hybridMultilevel"/>
    <w:tmpl w:val="B1F0EF8C"/>
    <w:lvl w:ilvl="0" w:tplc="FDDCA0CA">
      <w:start w:val="38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67E6CBD"/>
    <w:multiLevelType w:val="hybridMultilevel"/>
    <w:tmpl w:val="CB24B67E"/>
    <w:lvl w:ilvl="0" w:tplc="FDDCA0CA">
      <w:start w:val="38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B5751EA"/>
    <w:multiLevelType w:val="hybridMultilevel"/>
    <w:tmpl w:val="73DAE1EC"/>
    <w:lvl w:ilvl="0" w:tplc="FDDCA0CA">
      <w:start w:val="38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2A939E6"/>
    <w:multiLevelType w:val="hybridMultilevel"/>
    <w:tmpl w:val="E2EE41F4"/>
    <w:lvl w:ilvl="0" w:tplc="FDDCA0CA">
      <w:start w:val="38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32F33FC0"/>
    <w:multiLevelType w:val="hybridMultilevel"/>
    <w:tmpl w:val="58508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34F5D"/>
    <w:multiLevelType w:val="hybridMultilevel"/>
    <w:tmpl w:val="58508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7DEC180B"/>
    <w:multiLevelType w:val="hybridMultilevel"/>
    <w:tmpl w:val="70D2AEF6"/>
    <w:lvl w:ilvl="0" w:tplc="DD4A05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4"/>
    <w:rsid w:val="00035FB5"/>
    <w:rsid w:val="00053B2E"/>
    <w:rsid w:val="00086F2C"/>
    <w:rsid w:val="000A08B4"/>
    <w:rsid w:val="000B41B8"/>
    <w:rsid w:val="000B5983"/>
    <w:rsid w:val="000B620D"/>
    <w:rsid w:val="00171AB5"/>
    <w:rsid w:val="001A1F17"/>
    <w:rsid w:val="001C7095"/>
    <w:rsid w:val="001D59C7"/>
    <w:rsid w:val="001E0789"/>
    <w:rsid w:val="001E7E44"/>
    <w:rsid w:val="00223A78"/>
    <w:rsid w:val="00271E4E"/>
    <w:rsid w:val="00273489"/>
    <w:rsid w:val="00275459"/>
    <w:rsid w:val="00283D24"/>
    <w:rsid w:val="002971E5"/>
    <w:rsid w:val="002B2BF9"/>
    <w:rsid w:val="003346ED"/>
    <w:rsid w:val="00345944"/>
    <w:rsid w:val="0037655E"/>
    <w:rsid w:val="00395D4E"/>
    <w:rsid w:val="00400F3B"/>
    <w:rsid w:val="00431AC5"/>
    <w:rsid w:val="00476F4E"/>
    <w:rsid w:val="0049476D"/>
    <w:rsid w:val="004A574B"/>
    <w:rsid w:val="004C71C2"/>
    <w:rsid w:val="004D026B"/>
    <w:rsid w:val="004D7CC0"/>
    <w:rsid w:val="004E5AEA"/>
    <w:rsid w:val="00527E63"/>
    <w:rsid w:val="005755E6"/>
    <w:rsid w:val="005759DF"/>
    <w:rsid w:val="00576C19"/>
    <w:rsid w:val="005A3FDB"/>
    <w:rsid w:val="005B195D"/>
    <w:rsid w:val="005D5FD6"/>
    <w:rsid w:val="005F5BFC"/>
    <w:rsid w:val="005F63AA"/>
    <w:rsid w:val="005F694F"/>
    <w:rsid w:val="00613BC9"/>
    <w:rsid w:val="0061443A"/>
    <w:rsid w:val="006320F3"/>
    <w:rsid w:val="006351EB"/>
    <w:rsid w:val="00635934"/>
    <w:rsid w:val="00646B9C"/>
    <w:rsid w:val="006660C3"/>
    <w:rsid w:val="00677357"/>
    <w:rsid w:val="00683E04"/>
    <w:rsid w:val="006A6D3F"/>
    <w:rsid w:val="006C7BDA"/>
    <w:rsid w:val="006D5403"/>
    <w:rsid w:val="006F4EE1"/>
    <w:rsid w:val="007205AB"/>
    <w:rsid w:val="00755CDF"/>
    <w:rsid w:val="007A3B2E"/>
    <w:rsid w:val="00803498"/>
    <w:rsid w:val="00810A97"/>
    <w:rsid w:val="00842027"/>
    <w:rsid w:val="0085281D"/>
    <w:rsid w:val="008742F3"/>
    <w:rsid w:val="008F6AFB"/>
    <w:rsid w:val="00943ECD"/>
    <w:rsid w:val="00955405"/>
    <w:rsid w:val="00963E24"/>
    <w:rsid w:val="0098034D"/>
    <w:rsid w:val="009E27EC"/>
    <w:rsid w:val="00A07A82"/>
    <w:rsid w:val="00A43231"/>
    <w:rsid w:val="00A61417"/>
    <w:rsid w:val="00A87B75"/>
    <w:rsid w:val="00AC461C"/>
    <w:rsid w:val="00AD75DA"/>
    <w:rsid w:val="00B036E5"/>
    <w:rsid w:val="00B039ED"/>
    <w:rsid w:val="00B13A1E"/>
    <w:rsid w:val="00B16580"/>
    <w:rsid w:val="00B537FD"/>
    <w:rsid w:val="00B5725B"/>
    <w:rsid w:val="00B72AE1"/>
    <w:rsid w:val="00BC5B53"/>
    <w:rsid w:val="00BE1A6C"/>
    <w:rsid w:val="00C0009B"/>
    <w:rsid w:val="00C40ACD"/>
    <w:rsid w:val="00C750CB"/>
    <w:rsid w:val="00C82B13"/>
    <w:rsid w:val="00CA1497"/>
    <w:rsid w:val="00CA244F"/>
    <w:rsid w:val="00CB71EC"/>
    <w:rsid w:val="00CB747B"/>
    <w:rsid w:val="00CC4C72"/>
    <w:rsid w:val="00CE67DE"/>
    <w:rsid w:val="00CF287E"/>
    <w:rsid w:val="00D1517A"/>
    <w:rsid w:val="00D25DC4"/>
    <w:rsid w:val="00D95078"/>
    <w:rsid w:val="00D95310"/>
    <w:rsid w:val="00DC3D81"/>
    <w:rsid w:val="00DE2A6C"/>
    <w:rsid w:val="00DF125A"/>
    <w:rsid w:val="00E039E5"/>
    <w:rsid w:val="00E22DAF"/>
    <w:rsid w:val="00E34F22"/>
    <w:rsid w:val="00E44187"/>
    <w:rsid w:val="00E535F6"/>
    <w:rsid w:val="00E557DF"/>
    <w:rsid w:val="00E75E60"/>
    <w:rsid w:val="00EA1B34"/>
    <w:rsid w:val="00EC68D5"/>
    <w:rsid w:val="00EE2181"/>
    <w:rsid w:val="00EF7969"/>
    <w:rsid w:val="00F27A11"/>
    <w:rsid w:val="00F97CE1"/>
    <w:rsid w:val="00FA52F7"/>
    <w:rsid w:val="00FA69FA"/>
    <w:rsid w:val="00FC5C8E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D1517A"/>
  </w:style>
  <w:style w:type="paragraph" w:styleId="a5">
    <w:name w:val="footer"/>
    <w:basedOn w:val="a"/>
    <w:link w:val="Char0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D1517A"/>
  </w:style>
  <w:style w:type="paragraph" w:customStyle="1" w:styleId="Normalaftertitle">
    <w:name w:val="Normal after title"/>
    <w:basedOn w:val="a"/>
    <w:next w:val="a"/>
    <w:link w:val="NormalaftertitleChar"/>
    <w:qFormat/>
    <w:rsid w:val="007205AB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80" w:after="0" w:line="240" w:lineRule="auto"/>
      <w:jc w:val="left"/>
      <w:textAlignment w:val="baseline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character" w:customStyle="1" w:styleId="NormalaftertitleChar">
    <w:name w:val="Normal after title Char"/>
    <w:basedOn w:val="a0"/>
    <w:link w:val="Normalaftertitle"/>
    <w:qFormat/>
    <w:locked/>
    <w:rsid w:val="007205AB"/>
    <w:rPr>
      <w:rFonts w:ascii="Times New Roman" w:hAnsi="Times New Roman" w:cs="Times New Roman"/>
      <w:kern w:val="0"/>
      <w:sz w:val="24"/>
      <w:szCs w:val="20"/>
      <w:lang w:val="en-GB" w:eastAsia="en-US"/>
    </w:rPr>
  </w:style>
  <w:style w:type="paragraph" w:customStyle="1" w:styleId="Headingb">
    <w:name w:val="Heading_b"/>
    <w:basedOn w:val="a"/>
    <w:next w:val="a"/>
    <w:qFormat/>
    <w:rsid w:val="00B5725B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jc w:val="left"/>
      <w:textAlignment w:val="baseline"/>
    </w:pPr>
    <w:rPr>
      <w:rFonts w:ascii="Times New Roman Bold" w:hAnsi="Times New Roman Bold" w:cs="Times New Roman Bold"/>
      <w:b/>
      <w:kern w:val="0"/>
      <w:sz w:val="24"/>
      <w:szCs w:val="20"/>
      <w:lang w:val="fr-CH" w:eastAsia="en-US"/>
    </w:rPr>
  </w:style>
  <w:style w:type="character" w:customStyle="1" w:styleId="Artdef">
    <w:name w:val="Art_def"/>
    <w:basedOn w:val="a0"/>
    <w:qFormat/>
    <w:rsid w:val="00271E4E"/>
    <w:rPr>
      <w:rFonts w:ascii="Times New Roman" w:hAnsi="Times New Roman"/>
      <w:b/>
    </w:rPr>
  </w:style>
  <w:style w:type="paragraph" w:customStyle="1" w:styleId="Note">
    <w:name w:val="Note"/>
    <w:basedOn w:val="a"/>
    <w:next w:val="a"/>
    <w:link w:val="NoteChar"/>
    <w:qFormat/>
    <w:rsid w:val="00271E4E"/>
    <w:pPr>
      <w:widowControl/>
      <w:tabs>
        <w:tab w:val="left" w:pos="284"/>
        <w:tab w:val="left" w:pos="1134"/>
        <w:tab w:val="left" w:pos="1871"/>
        <w:tab w:val="left" w:pos="2268"/>
      </w:tabs>
      <w:wordWrap/>
      <w:overflowPunct w:val="0"/>
      <w:adjustRightInd w:val="0"/>
      <w:spacing w:before="80" w:after="0" w:line="240" w:lineRule="auto"/>
      <w:jc w:val="left"/>
      <w:textAlignment w:val="baseline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character" w:customStyle="1" w:styleId="NoteChar">
    <w:name w:val="Note Char"/>
    <w:basedOn w:val="a0"/>
    <w:link w:val="Note"/>
    <w:qFormat/>
    <w:locked/>
    <w:rsid w:val="00271E4E"/>
    <w:rPr>
      <w:rFonts w:ascii="Times New Roman" w:hAnsi="Times New Roman" w:cs="Times New Roman"/>
      <w:kern w:val="0"/>
      <w:sz w:val="24"/>
      <w:szCs w:val="20"/>
      <w:lang w:val="en-GB" w:eastAsia="en-US"/>
    </w:rPr>
  </w:style>
  <w:style w:type="paragraph" w:customStyle="1" w:styleId="Reasons">
    <w:name w:val="Reasons"/>
    <w:basedOn w:val="a"/>
    <w:qFormat/>
    <w:rsid w:val="00271E4E"/>
    <w:pPr>
      <w:widowControl/>
      <w:tabs>
        <w:tab w:val="left" w:pos="1134"/>
        <w:tab w:val="left" w:pos="1588"/>
        <w:tab w:val="left" w:pos="1985"/>
      </w:tabs>
      <w:wordWrap/>
      <w:overflowPunct w:val="0"/>
      <w:adjustRightInd w:val="0"/>
      <w:spacing w:before="120" w:after="0" w:line="240" w:lineRule="auto"/>
      <w:jc w:val="left"/>
      <w:textAlignment w:val="baseline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table" w:styleId="a6">
    <w:name w:val="Table Grid"/>
    <w:basedOn w:val="a1"/>
    <w:uiPriority w:val="39"/>
    <w:rsid w:val="005A3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a"/>
    <w:next w:val="a"/>
    <w:rsid w:val="002971E5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left"/>
      <w:textAlignment w:val="baseline"/>
    </w:pPr>
    <w:rPr>
      <w:rFonts w:ascii="Times New Roman" w:eastAsia="Times New Roman" w:hAnsi="Times New Roman Bold" w:cs="Times New Roman"/>
      <w:b/>
      <w:kern w:val="0"/>
      <w:sz w:val="24"/>
      <w:szCs w:val="20"/>
      <w:lang w:val="en-GB" w:eastAsia="en-US"/>
    </w:rPr>
  </w:style>
  <w:style w:type="paragraph" w:customStyle="1" w:styleId="ResNo">
    <w:name w:val="Res_No"/>
    <w:basedOn w:val="a"/>
    <w:next w:val="a"/>
    <w:rsid w:val="00E75E60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kern w:val="0"/>
      <w:sz w:val="28"/>
      <w:szCs w:val="20"/>
      <w:lang w:val="en-GB" w:eastAsia="en-US"/>
    </w:rPr>
  </w:style>
  <w:style w:type="paragraph" w:customStyle="1" w:styleId="Restitle">
    <w:name w:val="Res_title"/>
    <w:basedOn w:val="a"/>
    <w:next w:val="a"/>
    <w:rsid w:val="00E75E60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kern w:val="0"/>
      <w:sz w:val="28"/>
      <w:szCs w:val="20"/>
      <w:lang w:val="en-GB" w:eastAsia="en-US"/>
    </w:rPr>
  </w:style>
  <w:style w:type="paragraph" w:customStyle="1" w:styleId="tgt">
    <w:name w:val="tgt"/>
    <w:basedOn w:val="a"/>
    <w:rsid w:val="00CC4C7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  <w:lang w:eastAsia="zh-CN"/>
    </w:rPr>
  </w:style>
  <w:style w:type="character" w:customStyle="1" w:styleId="tgt1">
    <w:name w:val="tgt1"/>
    <w:basedOn w:val="a0"/>
    <w:rsid w:val="00CC4C72"/>
  </w:style>
  <w:style w:type="character" w:customStyle="1" w:styleId="apple-converted-space">
    <w:name w:val="apple-converted-space"/>
    <w:basedOn w:val="a0"/>
    <w:rsid w:val="005F63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D1517A"/>
  </w:style>
  <w:style w:type="paragraph" w:styleId="a5">
    <w:name w:val="footer"/>
    <w:basedOn w:val="a"/>
    <w:link w:val="Char0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D1517A"/>
  </w:style>
  <w:style w:type="paragraph" w:customStyle="1" w:styleId="Normalaftertitle">
    <w:name w:val="Normal after title"/>
    <w:basedOn w:val="a"/>
    <w:next w:val="a"/>
    <w:link w:val="NormalaftertitleChar"/>
    <w:qFormat/>
    <w:rsid w:val="007205AB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80" w:after="0" w:line="240" w:lineRule="auto"/>
      <w:jc w:val="left"/>
      <w:textAlignment w:val="baseline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character" w:customStyle="1" w:styleId="NormalaftertitleChar">
    <w:name w:val="Normal after title Char"/>
    <w:basedOn w:val="a0"/>
    <w:link w:val="Normalaftertitle"/>
    <w:qFormat/>
    <w:locked/>
    <w:rsid w:val="007205AB"/>
    <w:rPr>
      <w:rFonts w:ascii="Times New Roman" w:hAnsi="Times New Roman" w:cs="Times New Roman"/>
      <w:kern w:val="0"/>
      <w:sz w:val="24"/>
      <w:szCs w:val="20"/>
      <w:lang w:val="en-GB" w:eastAsia="en-US"/>
    </w:rPr>
  </w:style>
  <w:style w:type="paragraph" w:customStyle="1" w:styleId="Headingb">
    <w:name w:val="Heading_b"/>
    <w:basedOn w:val="a"/>
    <w:next w:val="a"/>
    <w:qFormat/>
    <w:rsid w:val="00B5725B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jc w:val="left"/>
      <w:textAlignment w:val="baseline"/>
    </w:pPr>
    <w:rPr>
      <w:rFonts w:ascii="Times New Roman Bold" w:hAnsi="Times New Roman Bold" w:cs="Times New Roman Bold"/>
      <w:b/>
      <w:kern w:val="0"/>
      <w:sz w:val="24"/>
      <w:szCs w:val="20"/>
      <w:lang w:val="fr-CH" w:eastAsia="en-US"/>
    </w:rPr>
  </w:style>
  <w:style w:type="character" w:customStyle="1" w:styleId="Artdef">
    <w:name w:val="Art_def"/>
    <w:basedOn w:val="a0"/>
    <w:qFormat/>
    <w:rsid w:val="00271E4E"/>
    <w:rPr>
      <w:rFonts w:ascii="Times New Roman" w:hAnsi="Times New Roman"/>
      <w:b/>
    </w:rPr>
  </w:style>
  <w:style w:type="paragraph" w:customStyle="1" w:styleId="Note">
    <w:name w:val="Note"/>
    <w:basedOn w:val="a"/>
    <w:next w:val="a"/>
    <w:link w:val="NoteChar"/>
    <w:qFormat/>
    <w:rsid w:val="00271E4E"/>
    <w:pPr>
      <w:widowControl/>
      <w:tabs>
        <w:tab w:val="left" w:pos="284"/>
        <w:tab w:val="left" w:pos="1134"/>
        <w:tab w:val="left" w:pos="1871"/>
        <w:tab w:val="left" w:pos="2268"/>
      </w:tabs>
      <w:wordWrap/>
      <w:overflowPunct w:val="0"/>
      <w:adjustRightInd w:val="0"/>
      <w:spacing w:before="80" w:after="0" w:line="240" w:lineRule="auto"/>
      <w:jc w:val="left"/>
      <w:textAlignment w:val="baseline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character" w:customStyle="1" w:styleId="NoteChar">
    <w:name w:val="Note Char"/>
    <w:basedOn w:val="a0"/>
    <w:link w:val="Note"/>
    <w:qFormat/>
    <w:locked/>
    <w:rsid w:val="00271E4E"/>
    <w:rPr>
      <w:rFonts w:ascii="Times New Roman" w:hAnsi="Times New Roman" w:cs="Times New Roman"/>
      <w:kern w:val="0"/>
      <w:sz w:val="24"/>
      <w:szCs w:val="20"/>
      <w:lang w:val="en-GB" w:eastAsia="en-US"/>
    </w:rPr>
  </w:style>
  <w:style w:type="paragraph" w:customStyle="1" w:styleId="Reasons">
    <w:name w:val="Reasons"/>
    <w:basedOn w:val="a"/>
    <w:qFormat/>
    <w:rsid w:val="00271E4E"/>
    <w:pPr>
      <w:widowControl/>
      <w:tabs>
        <w:tab w:val="left" w:pos="1134"/>
        <w:tab w:val="left" w:pos="1588"/>
        <w:tab w:val="left" w:pos="1985"/>
      </w:tabs>
      <w:wordWrap/>
      <w:overflowPunct w:val="0"/>
      <w:adjustRightInd w:val="0"/>
      <w:spacing w:before="120" w:after="0" w:line="240" w:lineRule="auto"/>
      <w:jc w:val="left"/>
      <w:textAlignment w:val="baseline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table" w:styleId="a6">
    <w:name w:val="Table Grid"/>
    <w:basedOn w:val="a1"/>
    <w:uiPriority w:val="39"/>
    <w:rsid w:val="005A3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a"/>
    <w:next w:val="a"/>
    <w:rsid w:val="002971E5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left"/>
      <w:textAlignment w:val="baseline"/>
    </w:pPr>
    <w:rPr>
      <w:rFonts w:ascii="Times New Roman" w:eastAsia="Times New Roman" w:hAnsi="Times New Roman Bold" w:cs="Times New Roman"/>
      <w:b/>
      <w:kern w:val="0"/>
      <w:sz w:val="24"/>
      <w:szCs w:val="20"/>
      <w:lang w:val="en-GB" w:eastAsia="en-US"/>
    </w:rPr>
  </w:style>
  <w:style w:type="paragraph" w:customStyle="1" w:styleId="ResNo">
    <w:name w:val="Res_No"/>
    <w:basedOn w:val="a"/>
    <w:next w:val="a"/>
    <w:rsid w:val="00E75E60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kern w:val="0"/>
      <w:sz w:val="28"/>
      <w:szCs w:val="20"/>
      <w:lang w:val="en-GB" w:eastAsia="en-US"/>
    </w:rPr>
  </w:style>
  <w:style w:type="paragraph" w:customStyle="1" w:styleId="Restitle">
    <w:name w:val="Res_title"/>
    <w:basedOn w:val="a"/>
    <w:next w:val="a"/>
    <w:rsid w:val="00E75E60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kern w:val="0"/>
      <w:sz w:val="28"/>
      <w:szCs w:val="20"/>
      <w:lang w:val="en-GB" w:eastAsia="en-US"/>
    </w:rPr>
  </w:style>
  <w:style w:type="paragraph" w:customStyle="1" w:styleId="tgt">
    <w:name w:val="tgt"/>
    <w:basedOn w:val="a"/>
    <w:rsid w:val="00CC4C7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  <w:lang w:eastAsia="zh-CN"/>
    </w:rPr>
  </w:style>
  <w:style w:type="character" w:customStyle="1" w:styleId="tgt1">
    <w:name w:val="tgt1"/>
    <w:basedOn w:val="a0"/>
    <w:rsid w:val="00CC4C72"/>
  </w:style>
  <w:style w:type="character" w:customStyle="1" w:styleId="apple-converted-space">
    <w:name w:val="apple-converted-space"/>
    <w:basedOn w:val="a0"/>
    <w:rsid w:val="005F6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7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wangxd</cp:lastModifiedBy>
  <cp:revision>59</cp:revision>
  <dcterms:created xsi:type="dcterms:W3CDTF">2019-02-11T06:53:00Z</dcterms:created>
  <dcterms:modified xsi:type="dcterms:W3CDTF">2019-11-08T08:43:00Z</dcterms:modified>
</cp:coreProperties>
</file>