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DC6CF3" w:rsidP="00AC461C">
      <w:pPr>
        <w:jc w:val="center"/>
        <w:rPr>
          <w:rFonts w:ascii="Times New Roman" w:hAnsi="Times New Roman" w:cs="Times New Roman"/>
          <w:sz w:val="24"/>
          <w:szCs w:val="24"/>
        </w:rPr>
      </w:pPr>
      <w:r>
        <w:rPr>
          <w:rFonts w:ascii="Times New Roman" w:hAnsi="Times New Roman" w:cs="Times New Roman"/>
          <w:sz w:val="24"/>
          <w:szCs w:val="24"/>
        </w:rPr>
        <w:t xml:space="preserve">LYU Boya, </w:t>
      </w:r>
      <w:hyperlink r:id="rId7" w:history="1">
        <w:r w:rsidRPr="008348DF">
          <w:rPr>
            <w:rStyle w:val="a6"/>
            <w:rFonts w:ascii="Times New Roman" w:hAnsi="Times New Roman" w:cs="Times New Roman"/>
            <w:sz w:val="24"/>
            <w:szCs w:val="24"/>
          </w:rPr>
          <w:t>lvboya@huawei.com</w:t>
        </w:r>
      </w:hyperlink>
      <w:r>
        <w:rPr>
          <w:rFonts w:ascii="Times New Roman" w:hAnsi="Times New Roman" w:cs="Times New Roman"/>
          <w:sz w:val="24"/>
          <w:szCs w:val="24"/>
        </w:rPr>
        <w:t xml:space="preserve"> </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DC6CF3">
        <w:rPr>
          <w:rFonts w:ascii="Times New Roman" w:hAnsi="Times New Roman" w:cs="Times New Roman"/>
          <w:sz w:val="24"/>
          <w:szCs w:val="24"/>
        </w:rPr>
        <w:t>05 Nov. 2019</w:t>
      </w:r>
    </w:p>
    <w:p w:rsidR="000B5983" w:rsidRPr="00AC461C" w:rsidRDefault="000B5983" w:rsidP="00086F2C">
      <w:pPr>
        <w:rPr>
          <w:rFonts w:ascii="Times New Roman" w:hAnsi="Times New Roman" w:cs="Times New Roman"/>
          <w:sz w:val="24"/>
          <w:szCs w:val="24"/>
        </w:rPr>
      </w:pPr>
    </w:p>
    <w:p w:rsidR="00EA1B34" w:rsidRDefault="00EA1B34" w:rsidP="00DC6CF3">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DC6CF3">
        <w:rPr>
          <w:rFonts w:ascii="Times New Roman" w:hAnsi="Times New Roman" w:cs="Times New Roman"/>
          <w:sz w:val="24"/>
          <w:szCs w:val="24"/>
        </w:rPr>
        <w:t xml:space="preserve"> 10</w:t>
      </w:r>
      <w:r w:rsidR="00DC6CF3">
        <w:rPr>
          <w:rFonts w:ascii="Times New Roman" w:hAnsi="Times New Roman" w:cs="Times New Roman"/>
          <w:sz w:val="24"/>
          <w:szCs w:val="24"/>
        </w:rPr>
        <w:tab/>
      </w:r>
      <w:r w:rsidR="00DC6CF3" w:rsidRPr="00DC6CF3">
        <w:rPr>
          <w:rFonts w:ascii="Times New Roman" w:hAnsi="Times New Roman" w:cs="Times New Roman"/>
          <w:sz w:val="24"/>
          <w:szCs w:val="24"/>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4D7CC0" w:rsidRDefault="004D7CC0" w:rsidP="004D7CC0">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rsidR="004D7CC0" w:rsidRDefault="00DC6CF3" w:rsidP="004D7CC0">
      <w:pPr>
        <w:rPr>
          <w:rFonts w:ascii="Times New Roman" w:hAnsi="Times New Roman" w:cs="Times New Roman"/>
          <w:sz w:val="24"/>
          <w:szCs w:val="24"/>
        </w:rPr>
      </w:pPr>
      <w:r w:rsidRPr="00DC6CF3">
        <w:rPr>
          <w:rFonts w:ascii="Times New Roman" w:hAnsi="Times New Roman" w:cs="Times New Roman"/>
          <w:sz w:val="24"/>
          <w:szCs w:val="24"/>
        </w:rPr>
        <w:t>ADD</w:t>
      </w:r>
      <w:r w:rsidRPr="00DC6CF3">
        <w:rPr>
          <w:rFonts w:ascii="Times New Roman" w:hAnsi="Times New Roman" w:cs="Times New Roman"/>
          <w:sz w:val="24"/>
          <w:szCs w:val="24"/>
        </w:rPr>
        <w:tab/>
        <w:t>ACP/24A24A3</w:t>
      </w:r>
    </w:p>
    <w:p w:rsidR="00DC6CF3" w:rsidRPr="00DC6CF3" w:rsidRDefault="00DC6CF3" w:rsidP="00DC6CF3">
      <w:pPr>
        <w:widowControl/>
        <w:tabs>
          <w:tab w:val="left" w:pos="1134"/>
          <w:tab w:val="left" w:pos="1871"/>
          <w:tab w:val="left" w:pos="2268"/>
        </w:tabs>
        <w:wordWrap/>
        <w:overflowPunct w:val="0"/>
        <w:adjustRightInd w:val="0"/>
        <w:spacing w:before="120" w:after="0" w:line="240" w:lineRule="auto"/>
        <w:jc w:val="left"/>
        <w:textAlignment w:val="baseline"/>
        <w:rPr>
          <w:rFonts w:ascii="Times New Roman" w:eastAsia="宋体" w:hAnsi="Times New Roman" w:cs="Times New Roman"/>
          <w:kern w:val="0"/>
          <w:sz w:val="24"/>
          <w:szCs w:val="20"/>
          <w:lang w:val="en-GB" w:eastAsia="en-US"/>
        </w:rPr>
      </w:pPr>
      <w:r w:rsidRPr="00DC6CF3">
        <w:rPr>
          <w:rFonts w:ascii="Times New Roman" w:eastAsia="宋体" w:hAnsi="Times New Roman" w:cs="Times New Roman"/>
          <w:kern w:val="0"/>
          <w:sz w:val="24"/>
          <w:szCs w:val="20"/>
          <w:lang w:val="en-GB" w:eastAsia="en-US"/>
        </w:rPr>
        <w:t>1.x</w:t>
      </w:r>
      <w:r w:rsidRPr="00DC6CF3">
        <w:rPr>
          <w:rFonts w:ascii="Times New Roman" w:eastAsia="宋体" w:hAnsi="Times New Roman" w:cs="Times New Roman"/>
          <w:kern w:val="0"/>
          <w:sz w:val="24"/>
          <w:szCs w:val="20"/>
          <w:lang w:val="en-GB" w:eastAsia="en-US"/>
        </w:rPr>
        <w:tab/>
      </w:r>
      <w:r w:rsidRPr="00DC6CF3">
        <w:rPr>
          <w:rFonts w:ascii="Times New Roman" w:eastAsia="MS Mincho" w:hAnsi="Times New Roman" w:cs="Times New Roman"/>
          <w:sz w:val="24"/>
          <w:szCs w:val="20"/>
          <w:lang w:val="en-GB" w:eastAsia="ja-JP"/>
        </w:rPr>
        <w:t xml:space="preserve">to consider identification for IMT in the </w:t>
      </w:r>
      <w:r w:rsidRPr="00DC6CF3">
        <w:rPr>
          <w:rFonts w:ascii="Times New Roman" w:eastAsia="宋体" w:hAnsi="Times New Roman" w:cs="Times New Roman"/>
          <w:kern w:val="0"/>
          <w:sz w:val="24"/>
          <w:szCs w:val="20"/>
          <w:lang w:val="en-GB" w:eastAsia="en-US"/>
        </w:rPr>
        <w:t xml:space="preserve">7 025-7 125 MHz </w:t>
      </w:r>
      <w:r w:rsidRPr="00DC6CF3">
        <w:rPr>
          <w:rFonts w:ascii="Times New Roman" w:eastAsia="MS Mincho" w:hAnsi="Times New Roman" w:cs="Times New Roman"/>
          <w:sz w:val="24"/>
          <w:szCs w:val="20"/>
          <w:lang w:val="en-GB" w:eastAsia="ja-JP"/>
        </w:rPr>
        <w:t>frequency range</w:t>
      </w:r>
      <w:r w:rsidRPr="00DC6CF3">
        <w:rPr>
          <w:rFonts w:ascii="Times New Roman" w:eastAsia="宋体" w:hAnsi="Times New Roman" w:cs="Times New Roman"/>
          <w:color w:val="000000"/>
          <w:kern w:val="0"/>
          <w:sz w:val="24"/>
          <w:szCs w:val="20"/>
          <w:lang w:val="en-GB" w:eastAsia="zh-CN"/>
        </w:rPr>
        <w:t xml:space="preserve"> </w:t>
      </w:r>
      <w:r w:rsidRPr="00DC6CF3">
        <w:rPr>
          <w:rFonts w:ascii="Times New Roman" w:eastAsia="MS Mincho" w:hAnsi="Times New Roman" w:cs="Times New Roman"/>
          <w:sz w:val="24"/>
          <w:szCs w:val="20"/>
          <w:lang w:val="en-GB" w:eastAsia="ja-JP"/>
        </w:rPr>
        <w:t xml:space="preserve">in accordance with Resolution </w:t>
      </w:r>
      <w:r w:rsidRPr="00DC6CF3">
        <w:rPr>
          <w:rFonts w:ascii="Times New Roman" w:eastAsia="宋体" w:hAnsi="Times New Roman" w:cs="Times New Roman"/>
          <w:b/>
          <w:bCs/>
          <w:kern w:val="0"/>
          <w:sz w:val="24"/>
          <w:szCs w:val="20"/>
          <w:lang w:val="en-GB" w:eastAsia="zh-CN"/>
        </w:rPr>
        <w:t>[ACP</w:t>
      </w:r>
      <w:r w:rsidRPr="00DC6CF3">
        <w:rPr>
          <w:rFonts w:ascii="Times New Roman" w:eastAsia="宋体" w:hAnsi="Times New Roman" w:cs="Times New Roman" w:hint="eastAsia"/>
          <w:b/>
          <w:bCs/>
          <w:kern w:val="0"/>
          <w:sz w:val="24"/>
          <w:szCs w:val="20"/>
          <w:lang w:val="en-GB" w:eastAsia="zh-CN"/>
        </w:rPr>
        <w:t>-</w:t>
      </w:r>
      <w:r w:rsidRPr="00DC6CF3">
        <w:rPr>
          <w:rFonts w:ascii="Times New Roman" w:eastAsia="宋体" w:hAnsi="Times New Roman" w:cs="Times New Roman"/>
          <w:b/>
          <w:bCs/>
          <w:kern w:val="0"/>
          <w:sz w:val="24"/>
          <w:szCs w:val="20"/>
          <w:lang w:val="en-GB" w:eastAsia="zh-CN"/>
        </w:rPr>
        <w:t>C10</w:t>
      </w:r>
      <w:r w:rsidRPr="00DC6CF3">
        <w:rPr>
          <w:rFonts w:ascii="Times New Roman" w:eastAsia="宋体" w:hAnsi="Times New Roman" w:cs="Times New Roman" w:hint="eastAsia"/>
          <w:b/>
          <w:bCs/>
          <w:kern w:val="0"/>
          <w:sz w:val="24"/>
          <w:szCs w:val="20"/>
          <w:lang w:val="en-GB" w:eastAsia="zh-CN"/>
        </w:rPr>
        <w:t>-</w:t>
      </w:r>
      <w:r w:rsidRPr="00DC6CF3">
        <w:rPr>
          <w:rFonts w:ascii="Times New Roman" w:eastAsia="宋体" w:hAnsi="Times New Roman" w:cs="Times New Roman"/>
          <w:b/>
          <w:bCs/>
          <w:kern w:val="0"/>
          <w:sz w:val="24"/>
          <w:szCs w:val="20"/>
          <w:lang w:val="en-GB" w:eastAsia="zh-CN"/>
        </w:rPr>
        <w:t>IMT] (WRC-19)</w:t>
      </w:r>
      <w:r w:rsidRPr="00DC6CF3">
        <w:rPr>
          <w:rFonts w:ascii="Times New Roman" w:eastAsia="宋体" w:hAnsi="Times New Roman" w:cs="Times New Roman"/>
          <w:kern w:val="0"/>
          <w:sz w:val="24"/>
          <w:szCs w:val="20"/>
          <w:lang w:val="en-GB" w:eastAsia="en-US"/>
        </w:rPr>
        <w:t>;</w:t>
      </w:r>
    </w:p>
    <w:p w:rsidR="004D7CC0" w:rsidRPr="004D7CC0" w:rsidRDefault="004D7CC0" w:rsidP="004D7CC0">
      <w:pPr>
        <w:rPr>
          <w:rFonts w:ascii="Times New Roman" w:hAnsi="Times New Roman" w:cs="Times New Roman"/>
          <w:sz w:val="24"/>
          <w:szCs w:val="24"/>
        </w:rPr>
      </w:pPr>
    </w:p>
    <w:p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tbl>
      <w:tblPr>
        <w:tblStyle w:val="a7"/>
        <w:tblW w:w="0" w:type="auto"/>
        <w:tblLayout w:type="fixed"/>
        <w:tblLook w:val="04A0" w:firstRow="1" w:lastRow="0" w:firstColumn="1" w:lastColumn="0" w:noHBand="0" w:noVBand="1"/>
      </w:tblPr>
      <w:tblGrid>
        <w:gridCol w:w="1275"/>
        <w:gridCol w:w="3682"/>
        <w:gridCol w:w="4110"/>
      </w:tblGrid>
      <w:tr w:rsidR="009A6E9D" w:rsidRPr="009A6E9D" w:rsidTr="009A6E9D">
        <w:tc>
          <w:tcPr>
            <w:tcW w:w="1275" w:type="dxa"/>
            <w:vAlign w:val="center"/>
          </w:tcPr>
          <w:p w:rsidR="009A6E9D" w:rsidRPr="009A6E9D" w:rsidRDefault="009A6E9D" w:rsidP="009A6E9D">
            <w:pPr>
              <w:rPr>
                <w:rFonts w:ascii="Arial" w:eastAsia="等线" w:hAnsi="Arial" w:cs="Arial"/>
                <w:b/>
                <w:bCs/>
              </w:rPr>
            </w:pPr>
            <w:r w:rsidRPr="009A6E9D">
              <w:rPr>
                <w:rFonts w:ascii="Arial" w:eastAsia="等线" w:hAnsi="Arial" w:cs="Arial"/>
                <w:b/>
                <w:bCs/>
              </w:rPr>
              <w:t>Doc</w:t>
            </w:r>
            <w:r>
              <w:rPr>
                <w:rFonts w:ascii="Arial" w:eastAsia="等线" w:hAnsi="Arial" w:cs="Arial"/>
                <w:b/>
                <w:bCs/>
              </w:rPr>
              <w:t>ument</w:t>
            </w:r>
          </w:p>
        </w:tc>
        <w:tc>
          <w:tcPr>
            <w:tcW w:w="3682" w:type="dxa"/>
            <w:vAlign w:val="center"/>
          </w:tcPr>
          <w:p w:rsidR="009A6E9D" w:rsidRPr="009A6E9D" w:rsidRDefault="009A6E9D" w:rsidP="009A6E9D">
            <w:pPr>
              <w:rPr>
                <w:rFonts w:ascii="Arial" w:eastAsia="等线" w:hAnsi="Arial" w:cs="Arial"/>
                <w:b/>
                <w:bCs/>
              </w:rPr>
            </w:pPr>
            <w:r w:rsidRPr="009A6E9D">
              <w:rPr>
                <w:rFonts w:ascii="Arial" w:eastAsia="等线" w:hAnsi="Arial" w:cs="Arial"/>
                <w:b/>
                <w:bCs/>
              </w:rPr>
              <w:t xml:space="preserve">Sourcing </w:t>
            </w:r>
          </w:p>
        </w:tc>
        <w:tc>
          <w:tcPr>
            <w:tcW w:w="4110" w:type="dxa"/>
            <w:vAlign w:val="center"/>
          </w:tcPr>
          <w:p w:rsidR="009A6E9D" w:rsidRPr="009A6E9D" w:rsidRDefault="009A6E9D" w:rsidP="009A6E9D">
            <w:pPr>
              <w:rPr>
                <w:rFonts w:ascii="Arial" w:eastAsia="等线" w:hAnsi="Arial" w:cs="Arial"/>
                <w:b/>
                <w:bCs/>
              </w:rPr>
            </w:pPr>
            <w:r w:rsidRPr="009A6E9D">
              <w:rPr>
                <w:rFonts w:ascii="Arial" w:eastAsia="等线" w:hAnsi="Arial" w:cs="Arial"/>
                <w:b/>
                <w:bCs/>
              </w:rPr>
              <w:t>Proposals of frequency ranges or bands</w:t>
            </w:r>
          </w:p>
        </w:tc>
      </w:tr>
      <w:tr w:rsidR="009A6E9D" w:rsidTr="009A6E9D">
        <w:tc>
          <w:tcPr>
            <w:tcW w:w="1275" w:type="dxa"/>
            <w:vAlign w:val="center"/>
          </w:tcPr>
          <w:p w:rsidR="009A6E9D" w:rsidRDefault="009A6E9D" w:rsidP="009A6E9D">
            <w:pPr>
              <w:rPr>
                <w:rFonts w:ascii="Arial" w:eastAsia="等线" w:hAnsi="Arial" w:cs="Arial"/>
                <w:color w:val="2D2E2D"/>
              </w:rPr>
            </w:pPr>
            <w:r>
              <w:rPr>
                <w:rFonts w:ascii="Arial" w:eastAsia="等线" w:hAnsi="Arial" w:cs="Arial"/>
                <w:color w:val="2D2E2D"/>
              </w:rPr>
              <w:t>24A24A3</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APT</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 xml:space="preserve">7 025-7 125 MHz </w:t>
            </w:r>
          </w:p>
        </w:tc>
      </w:tr>
      <w:tr w:rsidR="009A6E9D" w:rsidTr="009A6E9D">
        <w:tc>
          <w:tcPr>
            <w:tcW w:w="1275" w:type="dxa"/>
            <w:vAlign w:val="center"/>
          </w:tcPr>
          <w:p w:rsidR="009A6E9D" w:rsidRDefault="009A6E9D" w:rsidP="009A6E9D">
            <w:pPr>
              <w:rPr>
                <w:rFonts w:ascii="Arial" w:eastAsia="等线" w:hAnsi="Arial" w:cs="Arial"/>
                <w:color w:val="2D2E2D"/>
                <w:sz w:val="24"/>
                <w:szCs w:val="24"/>
              </w:rPr>
            </w:pPr>
            <w:r>
              <w:rPr>
                <w:rFonts w:ascii="Arial" w:eastAsia="等线" w:hAnsi="Arial" w:cs="Arial"/>
                <w:color w:val="2D2E2D"/>
              </w:rPr>
              <w:t>110R2</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Afghanistan/Cambodia (Kingdom of)/China (People's Republic of)/Lao People's Democratic Republic/Mongolia/Nepal (Federal Democratic Republic of)/Papua New Guinea</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5 925-7 125 MHz</w:t>
            </w:r>
          </w:p>
        </w:tc>
      </w:tr>
      <w:tr w:rsidR="009A6E9D" w:rsidTr="009A6E9D">
        <w:tc>
          <w:tcPr>
            <w:tcW w:w="1275" w:type="dxa"/>
            <w:vAlign w:val="center"/>
          </w:tcPr>
          <w:p w:rsidR="009A6E9D" w:rsidRDefault="009A6E9D" w:rsidP="009A6E9D">
            <w:pPr>
              <w:rPr>
                <w:rFonts w:ascii="Arial" w:eastAsia="等线" w:hAnsi="Arial" w:cs="Arial"/>
                <w:color w:val="2D2E2D"/>
              </w:rPr>
            </w:pPr>
            <w:r>
              <w:rPr>
                <w:rFonts w:ascii="Arial" w:eastAsia="等线" w:hAnsi="Arial" w:cs="Arial"/>
                <w:color w:val="2D2E2D"/>
              </w:rPr>
              <w:t>46A24A7</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ATU</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 xml:space="preserve">4 800-4 990, 5 925-6 425, 6 425-7 125, 7 125-8 500 MHz and </w:t>
            </w:r>
            <w:r>
              <w:rPr>
                <w:rFonts w:ascii="Arial" w:eastAsia="等线" w:hAnsi="Arial" w:cs="Arial"/>
                <w:color w:val="2D2E2D"/>
              </w:rPr>
              <w:t>8.5-10.0, 10.0-10.5, 14.8-15.35, 15.35-15.63, 15.63-17.3 GHz</w:t>
            </w:r>
          </w:p>
        </w:tc>
      </w:tr>
      <w:tr w:rsidR="009A6E9D" w:rsidTr="009A6E9D">
        <w:tc>
          <w:tcPr>
            <w:tcW w:w="1275" w:type="dxa"/>
            <w:vAlign w:val="center"/>
          </w:tcPr>
          <w:p w:rsidR="009A6E9D" w:rsidRDefault="009A6E9D" w:rsidP="009A6E9D">
            <w:pPr>
              <w:rPr>
                <w:rFonts w:ascii="Arial" w:eastAsia="等线" w:hAnsi="Arial" w:cs="Arial"/>
                <w:color w:val="2D2E2D"/>
                <w:sz w:val="24"/>
                <w:szCs w:val="24"/>
              </w:rPr>
            </w:pPr>
            <w:r>
              <w:rPr>
                <w:rFonts w:ascii="Arial" w:eastAsia="等线" w:hAnsi="Arial" w:cs="Arial"/>
                <w:color w:val="2D2E2D"/>
              </w:rPr>
              <w:t>97</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SADC and EACO countries*</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Same as African Common Proposals</w:t>
            </w:r>
          </w:p>
        </w:tc>
      </w:tr>
      <w:tr w:rsidR="009A6E9D" w:rsidTr="009A6E9D">
        <w:tc>
          <w:tcPr>
            <w:tcW w:w="1275" w:type="dxa"/>
            <w:vAlign w:val="center"/>
          </w:tcPr>
          <w:p w:rsidR="009A6E9D" w:rsidRDefault="009A6E9D" w:rsidP="009A6E9D">
            <w:pPr>
              <w:rPr>
                <w:rFonts w:ascii="Arial" w:eastAsia="等线" w:hAnsi="Arial" w:cs="Arial"/>
                <w:color w:val="2D2E2D"/>
                <w:sz w:val="24"/>
                <w:szCs w:val="24"/>
              </w:rPr>
            </w:pPr>
            <w:r>
              <w:rPr>
                <w:rFonts w:ascii="Arial" w:eastAsia="等线" w:hAnsi="Arial" w:cs="Arial"/>
                <w:color w:val="2D2E2D"/>
              </w:rPr>
              <w:t>94</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SADC and EACO countries</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3 600-3 800 MHz</w:t>
            </w:r>
          </w:p>
        </w:tc>
      </w:tr>
      <w:tr w:rsidR="009A6E9D" w:rsidTr="009A6E9D">
        <w:tc>
          <w:tcPr>
            <w:tcW w:w="1275" w:type="dxa"/>
            <w:vAlign w:val="center"/>
          </w:tcPr>
          <w:p w:rsidR="009A6E9D" w:rsidRDefault="009A6E9D" w:rsidP="009A6E9D">
            <w:pPr>
              <w:rPr>
                <w:rFonts w:ascii="Arial" w:eastAsia="等线" w:hAnsi="Arial" w:cs="Arial"/>
                <w:color w:val="2D2E2D"/>
              </w:rPr>
            </w:pPr>
            <w:r>
              <w:rPr>
                <w:rFonts w:ascii="Arial" w:eastAsia="等线" w:hAnsi="Arial" w:cs="Arial"/>
                <w:color w:val="2D2E2D"/>
              </w:rPr>
              <w:t>12A24</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RCC</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4 400-4 990 MHz and 6 525-7 100 MHz</w:t>
            </w:r>
          </w:p>
        </w:tc>
      </w:tr>
      <w:tr w:rsidR="009A6E9D" w:rsidTr="009A6E9D">
        <w:tc>
          <w:tcPr>
            <w:tcW w:w="1275" w:type="dxa"/>
            <w:vAlign w:val="center"/>
          </w:tcPr>
          <w:p w:rsidR="009A6E9D" w:rsidRDefault="009A6E9D" w:rsidP="009A6E9D">
            <w:pPr>
              <w:rPr>
                <w:rFonts w:ascii="Arial" w:eastAsia="等线" w:hAnsi="Arial" w:cs="Arial"/>
                <w:color w:val="2D2E2D"/>
              </w:rPr>
            </w:pPr>
            <w:r>
              <w:rPr>
                <w:rFonts w:ascii="Arial" w:eastAsia="等线" w:hAnsi="Arial" w:cs="Arial"/>
                <w:color w:val="2D2E2D"/>
              </w:rPr>
              <w:t>29A24A3, A4 and A5</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ASMG</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 xml:space="preserve">3 300-3 400 MHz, 3 600-3 800 MHz, 3 800-4 200 MHz </w:t>
            </w:r>
          </w:p>
        </w:tc>
      </w:tr>
      <w:tr w:rsidR="009A6E9D" w:rsidTr="009A6E9D">
        <w:tc>
          <w:tcPr>
            <w:tcW w:w="1275" w:type="dxa"/>
            <w:vAlign w:val="center"/>
          </w:tcPr>
          <w:p w:rsidR="009A6E9D" w:rsidRDefault="009A6E9D" w:rsidP="009A6E9D">
            <w:pPr>
              <w:rPr>
                <w:rFonts w:ascii="Arial" w:eastAsia="等线" w:hAnsi="Arial" w:cs="Arial"/>
                <w:color w:val="2D2E2D"/>
                <w:sz w:val="24"/>
                <w:szCs w:val="24"/>
              </w:rPr>
            </w:pPr>
            <w:r>
              <w:rPr>
                <w:rFonts w:ascii="Arial" w:eastAsia="等线" w:hAnsi="Arial" w:cs="Arial"/>
                <w:color w:val="2D2E2D"/>
              </w:rPr>
              <w:t>62</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 xml:space="preserve">Saudi Arabia (Kingdom of)/Bahrain (Kingdom of)/Djibouti (Republic of)/Egypt (Arab Republic of)/State of Palestine/Jordan (Hashemite Kingdom of)/ </w:t>
            </w:r>
            <w:r>
              <w:rPr>
                <w:rFonts w:ascii="Arial" w:eastAsia="等线" w:hAnsi="Arial" w:cs="Arial"/>
                <w:color w:val="2D2E2D"/>
              </w:rPr>
              <w:t>Kuwait (State of)</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Portion(s) of 6-24 GHz, exact candidate bands to be specified during the study</w:t>
            </w:r>
          </w:p>
        </w:tc>
      </w:tr>
      <w:tr w:rsidR="009A6E9D" w:rsidTr="009A6E9D">
        <w:tc>
          <w:tcPr>
            <w:tcW w:w="1275" w:type="dxa"/>
            <w:vAlign w:val="center"/>
          </w:tcPr>
          <w:p w:rsidR="009A6E9D" w:rsidRDefault="009A6E9D" w:rsidP="009A6E9D">
            <w:pPr>
              <w:rPr>
                <w:rFonts w:ascii="Arial" w:eastAsia="等线" w:hAnsi="Arial" w:cs="Arial" w:hint="eastAsia"/>
                <w:color w:val="2D2E2D"/>
                <w:lang w:eastAsia="zh-CN"/>
              </w:rPr>
            </w:pPr>
            <w:r>
              <w:rPr>
                <w:rFonts w:ascii="Arial" w:eastAsia="等线" w:hAnsi="Arial" w:cs="Arial"/>
                <w:color w:val="2D2E2D"/>
                <w:lang w:eastAsia="zh-CN"/>
              </w:rPr>
              <w:t>64</w:t>
            </w:r>
          </w:p>
        </w:tc>
        <w:tc>
          <w:tcPr>
            <w:tcW w:w="3682" w:type="dxa"/>
            <w:vAlign w:val="center"/>
          </w:tcPr>
          <w:p w:rsidR="009A6E9D" w:rsidRPr="009A6E9D" w:rsidRDefault="009A6E9D" w:rsidP="009A6E9D">
            <w:pPr>
              <w:rPr>
                <w:rFonts w:ascii="Arial" w:eastAsia="等线" w:hAnsi="Arial" w:cs="Arial"/>
                <w:color w:val="2D2E2D"/>
              </w:rPr>
            </w:pPr>
            <w:r w:rsidRPr="009A6E9D">
              <w:rPr>
                <w:rFonts w:ascii="Arial" w:eastAsia="等线" w:hAnsi="Arial" w:cs="Arial"/>
                <w:color w:val="2D2E2D"/>
              </w:rPr>
              <w:t>Bahrain (Kingdom of)/United Arab Emirates/Kuwait (State of)/Tunisia</w:t>
            </w:r>
          </w:p>
        </w:tc>
        <w:tc>
          <w:tcPr>
            <w:tcW w:w="4110" w:type="dxa"/>
            <w:vAlign w:val="center"/>
          </w:tcPr>
          <w:p w:rsidR="009A6E9D" w:rsidRPr="009A6E9D" w:rsidRDefault="009A6E9D" w:rsidP="009A6E9D">
            <w:pPr>
              <w:rPr>
                <w:rFonts w:ascii="Arial" w:eastAsia="等线" w:hAnsi="Arial" w:cs="Arial"/>
                <w:color w:val="2D2E2D"/>
              </w:rPr>
            </w:pPr>
            <w:r w:rsidRPr="009A6E9D">
              <w:rPr>
                <w:rFonts w:ascii="Arial" w:eastAsia="等线" w:hAnsi="Arial" w:cs="Arial"/>
                <w:color w:val="2D2E2D"/>
              </w:rPr>
              <w:t>To study possibility for using IMT under Fixed service in 10.7-11.7 GHz</w:t>
            </w:r>
          </w:p>
        </w:tc>
      </w:tr>
      <w:tr w:rsidR="009A6E9D" w:rsidTr="009A6E9D">
        <w:tc>
          <w:tcPr>
            <w:tcW w:w="1275" w:type="dxa"/>
            <w:vAlign w:val="center"/>
          </w:tcPr>
          <w:p w:rsidR="009A6E9D" w:rsidRDefault="009A6E9D" w:rsidP="009A6E9D">
            <w:pPr>
              <w:rPr>
                <w:rFonts w:ascii="Arial" w:eastAsia="等线" w:hAnsi="Arial" w:cs="Arial"/>
                <w:color w:val="2D2E2D"/>
                <w:sz w:val="24"/>
                <w:szCs w:val="24"/>
              </w:rPr>
            </w:pPr>
            <w:r>
              <w:rPr>
                <w:rFonts w:ascii="Arial" w:eastAsia="等线" w:hAnsi="Arial" w:cs="Arial"/>
                <w:color w:val="2D2E2D"/>
              </w:rPr>
              <w:t>109</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Azerbaijan (Republic of)/Slovak Republic/Slovenia (Republic of)</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6 425-7 125 MHz</w:t>
            </w:r>
          </w:p>
        </w:tc>
      </w:tr>
      <w:tr w:rsidR="009A6E9D" w:rsidTr="009A6E9D">
        <w:tc>
          <w:tcPr>
            <w:tcW w:w="1275" w:type="dxa"/>
            <w:vAlign w:val="center"/>
          </w:tcPr>
          <w:p w:rsidR="009A6E9D" w:rsidRDefault="009A6E9D" w:rsidP="009A6E9D">
            <w:pPr>
              <w:rPr>
                <w:rFonts w:ascii="Arial" w:eastAsia="等线" w:hAnsi="Arial" w:cs="Arial"/>
                <w:color w:val="2D2E2D"/>
              </w:rPr>
            </w:pPr>
            <w:r>
              <w:rPr>
                <w:rFonts w:ascii="Arial" w:eastAsia="等线" w:hAnsi="Arial" w:cs="Arial"/>
                <w:color w:val="2D2E2D"/>
              </w:rPr>
              <w:t>11A24A14</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CITEL</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Frequency bands or portions thereof in the range [3 300 MHz to 15.35 GHz]**</w:t>
            </w:r>
          </w:p>
        </w:tc>
      </w:tr>
    </w:tbl>
    <w:p w:rsidR="009A6E9D" w:rsidRPr="009A6E9D" w:rsidRDefault="009A6E9D" w:rsidP="009A6E9D">
      <w:pPr>
        <w:rPr>
          <w:rFonts w:ascii="Arial" w:eastAsia="等线" w:hAnsi="Arial" w:cs="Arial"/>
          <w:color w:val="2D2E2D"/>
        </w:rPr>
      </w:pPr>
    </w:p>
    <w:p w:rsidR="009A6E9D" w:rsidRPr="009A6E9D" w:rsidRDefault="009A6E9D" w:rsidP="009A6E9D">
      <w:pPr>
        <w:rPr>
          <w:rFonts w:ascii="Arial" w:eastAsia="等线" w:hAnsi="Arial" w:cs="Arial" w:hint="eastAsia"/>
          <w:color w:val="2D2E2D"/>
        </w:rPr>
      </w:pPr>
      <w:r w:rsidRPr="009A6E9D">
        <w:rPr>
          <w:rFonts w:ascii="Arial" w:eastAsia="等线" w:hAnsi="Arial" w:cs="Arial" w:hint="eastAsia"/>
          <w:color w:val="2D2E2D"/>
        </w:rPr>
        <w:t>*</w:t>
      </w:r>
      <w:r>
        <w:rPr>
          <w:rFonts w:ascii="Arial" w:eastAsia="等线" w:hAnsi="Arial" w:cs="Arial" w:hint="eastAsia"/>
          <w:color w:val="2D2E2D"/>
        </w:rPr>
        <w:t xml:space="preserve"> </w:t>
      </w:r>
      <w:r w:rsidRPr="009A6E9D">
        <w:rPr>
          <w:rFonts w:ascii="Arial" w:eastAsia="等线" w:hAnsi="Arial" w:cs="Arial" w:hint="eastAsia"/>
          <w:color w:val="2D2E2D"/>
        </w:rPr>
        <w:t>SADC</w:t>
      </w:r>
      <w:r w:rsidRPr="009A6E9D">
        <w:rPr>
          <w:rFonts w:ascii="Arial" w:eastAsia="等线" w:hAnsi="Arial" w:cs="Arial"/>
          <w:color w:val="2D2E2D"/>
        </w:rPr>
        <w:t xml:space="preserve"> </w:t>
      </w:r>
      <w:r w:rsidRPr="009A6E9D">
        <w:rPr>
          <w:rFonts w:ascii="Arial" w:eastAsia="等线" w:hAnsi="Arial" w:cs="Arial" w:hint="eastAsia"/>
          <w:color w:val="2D2E2D"/>
        </w:rPr>
        <w:t>and</w:t>
      </w:r>
      <w:r w:rsidRPr="009A6E9D">
        <w:rPr>
          <w:rFonts w:ascii="Arial" w:eastAsia="等线" w:hAnsi="Arial" w:cs="Arial"/>
          <w:color w:val="2D2E2D"/>
        </w:rPr>
        <w:t xml:space="preserve"> </w:t>
      </w:r>
      <w:r w:rsidRPr="009A6E9D">
        <w:rPr>
          <w:rFonts w:ascii="Arial" w:eastAsia="等线" w:hAnsi="Arial" w:cs="Arial" w:hint="eastAsia"/>
          <w:color w:val="2D2E2D"/>
        </w:rPr>
        <w:t>EACO</w:t>
      </w:r>
      <w:r w:rsidRPr="009A6E9D">
        <w:rPr>
          <w:rFonts w:ascii="Arial" w:eastAsia="等线" w:hAnsi="Arial" w:cs="Arial"/>
          <w:color w:val="2D2E2D"/>
        </w:rPr>
        <w:t xml:space="preserve"> countries: Angola (Republic of)/Botswana (Republic of)/Burundi (Republic of)/Comoros (Union of the)/Eswatini (Kingdom of)/Kenya (Republic of)/Lesotho (Kingdom of)/Madagascar (Republic of)/Malawi/Mauritius (Republic of)/Mozambique (Republic of)/Namibia </w:t>
      </w:r>
      <w:r w:rsidRPr="009A6E9D">
        <w:rPr>
          <w:rFonts w:ascii="Arial" w:eastAsia="等线" w:hAnsi="Arial" w:cs="Arial"/>
          <w:color w:val="2D2E2D"/>
        </w:rPr>
        <w:lastRenderedPageBreak/>
        <w:t>(Republic of)/Uganda (Republic of)/Democratic Republic of the Congo/Rwanda (Republic of)/Seychelles (Republic of)/South Sudan (Republic of)/South Africa (Republic of)/Tanzania (United Republic of)/Zambia (Republic of)/Zimbabwe (Republic of)</w:t>
      </w:r>
    </w:p>
    <w:p w:rsidR="009A6E9D" w:rsidRPr="009A6E9D" w:rsidRDefault="009A6E9D" w:rsidP="009A6E9D">
      <w:pPr>
        <w:rPr>
          <w:rFonts w:ascii="Arial" w:eastAsia="等线" w:hAnsi="Arial" w:cs="Arial"/>
          <w:color w:val="2D2E2D"/>
        </w:rPr>
      </w:pPr>
      <w:r w:rsidRPr="009A6E9D">
        <w:rPr>
          <w:rFonts w:ascii="Arial" w:eastAsia="等线" w:hAnsi="Arial" w:cs="Arial"/>
          <w:color w:val="2D2E2D"/>
        </w:rPr>
        <w:t xml:space="preserve">** </w:t>
      </w:r>
      <w:r w:rsidRPr="009A6E9D">
        <w:rPr>
          <w:rFonts w:ascii="Arial" w:eastAsia="等线" w:hAnsi="Arial" w:cs="Arial"/>
          <w:color w:val="2D2E2D"/>
        </w:rPr>
        <w:t>[CITEL Note: Although CITEL has identified a frequency range in the attached proposal, CITEL is of the view that only a subset of the range should be selected for studies. Additionally, some of the potential frequency bands within the 3 300 MHz-15.35 GHz range may be unacceptable for possible study and identification.]</w:t>
      </w:r>
    </w:p>
    <w:p w:rsidR="009A6E9D" w:rsidRPr="009A6E9D" w:rsidRDefault="009A6E9D" w:rsidP="009A6E9D">
      <w:pPr>
        <w:rPr>
          <w:rFonts w:ascii="Times New Roman" w:eastAsia="宋体" w:hAnsi="Times New Roman" w:cs="Times New Roman" w:hint="eastAsia"/>
          <w:sz w:val="24"/>
          <w:szCs w:val="24"/>
          <w:lang w:eastAsia="zh-CN"/>
        </w:rPr>
      </w:pPr>
    </w:p>
    <w:p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4D7CC0" w:rsidRPr="00CA4FC0" w:rsidRDefault="009A6E9D" w:rsidP="004D7CC0">
      <w:pPr>
        <w:rPr>
          <w:rFonts w:ascii="Times New Roman" w:hAnsi="Times New Roman" w:cs="Times New Roman"/>
          <w:sz w:val="24"/>
          <w:szCs w:val="24"/>
        </w:rPr>
      </w:pPr>
      <w:r w:rsidRPr="00CA4FC0">
        <w:rPr>
          <w:rFonts w:ascii="Times New Roman" w:hAnsi="Times New Roman" w:cs="Times New Roman" w:hint="eastAsia"/>
          <w:sz w:val="24"/>
          <w:szCs w:val="24"/>
        </w:rPr>
        <w:t>S</w:t>
      </w:r>
      <w:r w:rsidRPr="00CA4FC0">
        <w:rPr>
          <w:rFonts w:ascii="Times New Roman" w:hAnsi="Times New Roman" w:cs="Times New Roman"/>
          <w:sz w:val="24"/>
          <w:szCs w:val="24"/>
        </w:rPr>
        <w:t xml:space="preserve">WG 6B1 meeting </w:t>
      </w:r>
      <w:r w:rsidR="00CA4FC0">
        <w:rPr>
          <w:rFonts w:ascii="Times New Roman" w:hAnsi="Times New Roman" w:cs="Times New Roman"/>
          <w:sz w:val="24"/>
          <w:szCs w:val="24"/>
        </w:rPr>
        <w:t>(</w:t>
      </w:r>
      <w:r w:rsidRPr="00CA4FC0">
        <w:rPr>
          <w:rFonts w:ascii="Times New Roman" w:hAnsi="Times New Roman" w:cs="Times New Roman"/>
          <w:sz w:val="24"/>
          <w:szCs w:val="24"/>
        </w:rPr>
        <w:t>4th Nov.</w:t>
      </w:r>
      <w:r w:rsidR="00CA4FC0">
        <w:rPr>
          <w:rFonts w:ascii="Times New Roman" w:hAnsi="Times New Roman" w:cs="Times New Roman"/>
          <w:sz w:val="24"/>
          <w:szCs w:val="24"/>
        </w:rPr>
        <w:t xml:space="preserve"> session 2)</w:t>
      </w:r>
      <w:r w:rsidRPr="00CA4FC0">
        <w:rPr>
          <w:rFonts w:ascii="Times New Roman" w:hAnsi="Times New Roman" w:cs="Times New Roman"/>
          <w:sz w:val="24"/>
          <w:szCs w:val="24"/>
        </w:rPr>
        <w:t xml:space="preserve"> introduced the </w:t>
      </w:r>
      <w:r w:rsidR="00CA4FC0">
        <w:rPr>
          <w:rFonts w:ascii="Times New Roman" w:hAnsi="Times New Roman" w:cs="Times New Roman"/>
          <w:sz w:val="24"/>
          <w:szCs w:val="24"/>
        </w:rPr>
        <w:t xml:space="preserve">IMT </w:t>
      </w:r>
      <w:r w:rsidRPr="00CA4FC0">
        <w:rPr>
          <w:rFonts w:ascii="Times New Roman" w:hAnsi="Times New Roman" w:cs="Times New Roman"/>
          <w:sz w:val="24"/>
          <w:szCs w:val="24"/>
        </w:rPr>
        <w:t xml:space="preserve">input contributions and set up drafting group on IMT matters to consider the contributions listed in no. 3 above and consolidate the Resolution text. </w:t>
      </w:r>
    </w:p>
    <w:p w:rsidR="001B484F" w:rsidRDefault="009A6E9D" w:rsidP="004D7CC0">
      <w:pPr>
        <w:rPr>
          <w:rFonts w:ascii="Times New Roman" w:hAnsi="Times New Roman" w:cs="Times New Roman"/>
          <w:sz w:val="24"/>
          <w:szCs w:val="24"/>
        </w:rPr>
      </w:pPr>
      <w:r w:rsidRPr="00CA4FC0">
        <w:rPr>
          <w:rFonts w:ascii="Times New Roman" w:hAnsi="Times New Roman" w:cs="Times New Roman" w:hint="eastAsia"/>
          <w:sz w:val="24"/>
          <w:szCs w:val="24"/>
        </w:rPr>
        <w:t>D</w:t>
      </w:r>
      <w:r w:rsidRPr="00CA4FC0">
        <w:rPr>
          <w:rFonts w:ascii="Times New Roman" w:hAnsi="Times New Roman" w:cs="Times New Roman"/>
          <w:sz w:val="24"/>
          <w:szCs w:val="24"/>
        </w:rPr>
        <w:t>G 6B1a (IMT) a.i. 10</w:t>
      </w:r>
      <w:r w:rsidR="00CA4FC0" w:rsidRPr="00CA4FC0">
        <w:rPr>
          <w:rFonts w:ascii="Times New Roman" w:hAnsi="Times New Roman" w:cs="Times New Roman"/>
          <w:sz w:val="24"/>
          <w:szCs w:val="24"/>
        </w:rPr>
        <w:t xml:space="preserve">, chaired by </w:t>
      </w:r>
      <w:r w:rsidR="00CA4FC0" w:rsidRPr="00CA4FC0">
        <w:rPr>
          <w:rFonts w:ascii="Times New Roman" w:hAnsi="Times New Roman" w:cs="Times New Roman"/>
          <w:sz w:val="24"/>
          <w:szCs w:val="24"/>
        </w:rPr>
        <w:t>Geraldo NETO from Brazil</w:t>
      </w:r>
      <w:r w:rsidR="00CA4FC0" w:rsidRPr="00CA4FC0">
        <w:rPr>
          <w:rFonts w:ascii="Times New Roman" w:hAnsi="Times New Roman" w:cs="Times New Roman"/>
          <w:sz w:val="24"/>
          <w:szCs w:val="24"/>
        </w:rPr>
        <w:t>,</w:t>
      </w:r>
      <w:r w:rsidRPr="00CA4FC0">
        <w:rPr>
          <w:rFonts w:ascii="Times New Roman" w:hAnsi="Times New Roman" w:cs="Times New Roman"/>
          <w:sz w:val="24"/>
          <w:szCs w:val="24"/>
        </w:rPr>
        <w:t xml:space="preserve"> held its 1st meeting at session 6 on 4th</w:t>
      </w:r>
      <w:r w:rsidR="00CA4FC0" w:rsidRPr="00CA4FC0">
        <w:rPr>
          <w:rFonts w:ascii="Times New Roman" w:hAnsi="Times New Roman" w:cs="Times New Roman"/>
          <w:sz w:val="24"/>
          <w:szCs w:val="24"/>
        </w:rPr>
        <w:t xml:space="preserve"> Nov. </w:t>
      </w:r>
      <w:r w:rsidR="00CA4FC0" w:rsidRPr="001B484F">
        <w:rPr>
          <w:rFonts w:ascii="Times New Roman" w:hAnsi="Times New Roman" w:cs="Times New Roman" w:hint="eastAsia"/>
          <w:sz w:val="24"/>
          <w:szCs w:val="24"/>
        </w:rPr>
        <w:t>T</w:t>
      </w:r>
      <w:r w:rsidR="00CA4FC0" w:rsidRPr="001B484F">
        <w:rPr>
          <w:rFonts w:ascii="Times New Roman" w:hAnsi="Times New Roman" w:cs="Times New Roman"/>
          <w:sz w:val="24"/>
          <w:szCs w:val="24"/>
        </w:rPr>
        <w:t>he chair listed all the frequency bands proposed, and call</w:t>
      </w:r>
      <w:r w:rsidR="001B484F">
        <w:rPr>
          <w:rFonts w:ascii="Times New Roman" w:hAnsi="Times New Roman" w:cs="Times New Roman"/>
          <w:sz w:val="24"/>
          <w:szCs w:val="24"/>
        </w:rPr>
        <w:t>ed</w:t>
      </w:r>
      <w:r w:rsidR="00CA4FC0" w:rsidRPr="001B484F">
        <w:rPr>
          <w:rFonts w:ascii="Times New Roman" w:hAnsi="Times New Roman" w:cs="Times New Roman"/>
          <w:sz w:val="24"/>
          <w:szCs w:val="24"/>
        </w:rPr>
        <w:t xml:space="preserve"> for </w:t>
      </w:r>
      <w:r w:rsidR="001B484F">
        <w:rPr>
          <w:rFonts w:ascii="Times New Roman" w:hAnsi="Times New Roman" w:cs="Times New Roman"/>
          <w:sz w:val="24"/>
          <w:szCs w:val="24"/>
        </w:rPr>
        <w:t xml:space="preserve">general </w:t>
      </w:r>
      <w:r w:rsidR="00CA4FC0" w:rsidRPr="001B484F">
        <w:rPr>
          <w:rFonts w:ascii="Times New Roman" w:hAnsi="Times New Roman" w:cs="Times New Roman"/>
          <w:sz w:val="24"/>
          <w:szCs w:val="24"/>
        </w:rPr>
        <w:t xml:space="preserve">comments. </w:t>
      </w:r>
    </w:p>
    <w:p w:rsidR="001B484F" w:rsidRDefault="00CA4FC0" w:rsidP="001B484F">
      <w:pPr>
        <w:pStyle w:val="a3"/>
        <w:numPr>
          <w:ilvl w:val="0"/>
          <w:numId w:val="6"/>
        </w:numPr>
        <w:ind w:leftChars="0"/>
        <w:rPr>
          <w:rFonts w:ascii="Times New Roman" w:hAnsi="Times New Roman" w:cs="Times New Roman"/>
          <w:sz w:val="24"/>
          <w:szCs w:val="24"/>
        </w:rPr>
      </w:pPr>
      <w:r w:rsidRPr="001B484F">
        <w:rPr>
          <w:rFonts w:ascii="Times New Roman" w:hAnsi="Times New Roman" w:cs="Times New Roman"/>
          <w:sz w:val="24"/>
          <w:szCs w:val="24"/>
        </w:rPr>
        <w:t xml:space="preserve">The proponents </w:t>
      </w:r>
      <w:r w:rsidR="001B484F" w:rsidRPr="001B484F">
        <w:rPr>
          <w:rFonts w:ascii="Times New Roman" w:hAnsi="Times New Roman" w:cs="Times New Roman"/>
          <w:sz w:val="24"/>
          <w:szCs w:val="24"/>
        </w:rPr>
        <w:t xml:space="preserve">emphasized more spectrum is needed to address the increasing data traffic, and the importance of IMT identification for global harmonization and economical scale which benefit both developing and developed countries. Some mentioned that some of the proposed bands were discussed and IMT identification not achieved at previous WRC, and question the necessity of study again; some responded that more countries are deploying 5G on the proposed bands, and 5G development will improve the co-existence situation. </w:t>
      </w:r>
    </w:p>
    <w:p w:rsidR="001B484F" w:rsidRDefault="001B484F" w:rsidP="009D144D">
      <w:pPr>
        <w:pStyle w:val="a3"/>
        <w:numPr>
          <w:ilvl w:val="0"/>
          <w:numId w:val="6"/>
        </w:numPr>
        <w:ind w:leftChars="0"/>
        <w:rPr>
          <w:rFonts w:ascii="Times New Roman" w:hAnsi="Times New Roman" w:cs="Times New Roman"/>
          <w:sz w:val="24"/>
          <w:szCs w:val="24"/>
        </w:rPr>
      </w:pPr>
      <w:r>
        <w:rPr>
          <w:rFonts w:ascii="Times New Roman" w:hAnsi="Times New Roman" w:cs="Times New Roman"/>
          <w:sz w:val="24"/>
          <w:szCs w:val="24"/>
        </w:rPr>
        <w:t xml:space="preserve">The proponents of Document 64 </w:t>
      </w:r>
      <w:r w:rsidR="009D144D">
        <w:rPr>
          <w:rFonts w:ascii="Times New Roman" w:hAnsi="Times New Roman" w:cs="Times New Roman"/>
          <w:sz w:val="24"/>
          <w:szCs w:val="24"/>
        </w:rPr>
        <w:t>(t</w:t>
      </w:r>
      <w:r w:rsidR="009D144D" w:rsidRPr="009D144D">
        <w:rPr>
          <w:rFonts w:ascii="Times New Roman" w:hAnsi="Times New Roman" w:cs="Times New Roman"/>
          <w:sz w:val="24"/>
          <w:szCs w:val="24"/>
        </w:rPr>
        <w:t>o study possibility for using IMT under Fixed service in 10.7-11.7 GHz</w:t>
      </w:r>
      <w:r w:rsidR="009D144D">
        <w:rPr>
          <w:rFonts w:ascii="Times New Roman" w:hAnsi="Times New Roman" w:cs="Times New Roman"/>
          <w:sz w:val="24"/>
          <w:szCs w:val="24"/>
        </w:rPr>
        <w:t xml:space="preserve">) asked its proposal </w:t>
      </w:r>
      <w:r>
        <w:rPr>
          <w:rFonts w:ascii="Times New Roman" w:hAnsi="Times New Roman" w:cs="Times New Roman"/>
          <w:sz w:val="24"/>
          <w:szCs w:val="24"/>
        </w:rPr>
        <w:t xml:space="preserve">to be treated together with other IMT </w:t>
      </w:r>
      <w:r w:rsidR="009D144D">
        <w:rPr>
          <w:rFonts w:ascii="Times New Roman" w:hAnsi="Times New Roman" w:cs="Times New Roman"/>
          <w:sz w:val="24"/>
          <w:szCs w:val="24"/>
        </w:rPr>
        <w:t xml:space="preserve">mid-band </w:t>
      </w:r>
      <w:r>
        <w:rPr>
          <w:rFonts w:ascii="Times New Roman" w:hAnsi="Times New Roman" w:cs="Times New Roman"/>
          <w:sz w:val="24"/>
          <w:szCs w:val="24"/>
        </w:rPr>
        <w:t>proposal</w:t>
      </w:r>
      <w:r w:rsidR="009D144D">
        <w:rPr>
          <w:rFonts w:ascii="Times New Roman" w:hAnsi="Times New Roman" w:cs="Times New Roman"/>
          <w:sz w:val="24"/>
          <w:szCs w:val="24"/>
        </w:rPr>
        <w:t>s</w:t>
      </w:r>
      <w:r>
        <w:rPr>
          <w:rFonts w:ascii="Times New Roman" w:hAnsi="Times New Roman" w:cs="Times New Roman"/>
          <w:sz w:val="24"/>
          <w:szCs w:val="24"/>
        </w:rPr>
        <w:t>, while some others propose</w:t>
      </w:r>
      <w:r w:rsidR="009D144D">
        <w:rPr>
          <w:rFonts w:ascii="Times New Roman" w:hAnsi="Times New Roman" w:cs="Times New Roman"/>
          <w:sz w:val="24"/>
          <w:szCs w:val="24"/>
        </w:rPr>
        <w:t>d</w:t>
      </w:r>
      <w:r>
        <w:rPr>
          <w:rFonts w:ascii="Times New Roman" w:hAnsi="Times New Roman" w:cs="Times New Roman"/>
          <w:sz w:val="24"/>
          <w:szCs w:val="24"/>
        </w:rPr>
        <w:t xml:space="preserve"> to separate. </w:t>
      </w:r>
    </w:p>
    <w:p w:rsidR="001B484F" w:rsidRPr="001B484F" w:rsidRDefault="001B484F" w:rsidP="001B484F">
      <w:pPr>
        <w:rPr>
          <w:rFonts w:ascii="Times New Roman" w:hAnsi="Times New Roman" w:cs="Times New Roman" w:hint="eastAsia"/>
          <w:sz w:val="24"/>
          <w:szCs w:val="24"/>
        </w:rPr>
      </w:pPr>
      <w:r>
        <w:rPr>
          <w:rFonts w:ascii="Times New Roman" w:hAnsi="Times New Roman" w:cs="Times New Roman"/>
          <w:sz w:val="24"/>
          <w:szCs w:val="24"/>
        </w:rPr>
        <w:t xml:space="preserve">The DG also initiate the discussion of band by band.  </w:t>
      </w:r>
    </w:p>
    <w:p w:rsidR="001B484F" w:rsidRPr="009D144D" w:rsidRDefault="001B484F" w:rsidP="004D7CC0">
      <w:pPr>
        <w:rPr>
          <w:rFonts w:ascii="Times New Roman" w:hAnsi="Times New Roman" w:cs="Times New Roman" w:hint="eastAsia"/>
          <w:sz w:val="24"/>
          <w:szCs w:val="24"/>
        </w:rPr>
      </w:pPr>
      <w:r w:rsidRPr="009D144D">
        <w:rPr>
          <w:rFonts w:ascii="Times New Roman" w:hAnsi="Times New Roman" w:cs="Times New Roman" w:hint="eastAsia"/>
          <w:sz w:val="24"/>
          <w:szCs w:val="24"/>
        </w:rPr>
        <w:t>N</w:t>
      </w:r>
      <w:r w:rsidRPr="009D144D">
        <w:rPr>
          <w:rFonts w:ascii="Times New Roman" w:hAnsi="Times New Roman" w:cs="Times New Roman"/>
          <w:sz w:val="24"/>
          <w:szCs w:val="24"/>
        </w:rPr>
        <w:t>ext DG is at session 5 on 5th Nov</w:t>
      </w:r>
      <w:r w:rsidR="009D144D" w:rsidRPr="009D144D">
        <w:rPr>
          <w:rFonts w:ascii="Times New Roman" w:hAnsi="Times New Roman" w:cs="Times New Roman"/>
          <w:sz w:val="24"/>
          <w:szCs w:val="24"/>
        </w:rPr>
        <w:t>, to continue to</w:t>
      </w:r>
      <w:r w:rsidRPr="009D144D">
        <w:rPr>
          <w:rFonts w:ascii="Times New Roman" w:hAnsi="Times New Roman" w:cs="Times New Roman"/>
          <w:sz w:val="24"/>
          <w:szCs w:val="24"/>
        </w:rPr>
        <w:t xml:space="preserve"> discuss the bands and Resolution text. </w:t>
      </w:r>
    </w:p>
    <w:p w:rsidR="004D7CC0" w:rsidRPr="004D7CC0" w:rsidRDefault="004D7CC0" w:rsidP="004D7CC0">
      <w:pPr>
        <w:rPr>
          <w:rFonts w:ascii="Times New Roman" w:hAnsi="Times New Roman" w:cs="Times New Roman"/>
          <w:sz w:val="24"/>
          <w:szCs w:val="24"/>
        </w:rPr>
      </w:pPr>
    </w:p>
    <w:p w:rsidR="008742F3" w:rsidRDefault="008742F3" w:rsidP="00086F2C">
      <w:pPr>
        <w:pStyle w:val="a3"/>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C82B13" w:rsidRPr="009D144D" w:rsidRDefault="001B484F" w:rsidP="00C82B13">
      <w:pPr>
        <w:rPr>
          <w:rFonts w:ascii="Times New Roman" w:hAnsi="Times New Roman" w:cs="Times New Roman"/>
          <w:sz w:val="24"/>
          <w:szCs w:val="24"/>
        </w:rPr>
      </w:pPr>
      <w:r w:rsidRPr="009D144D">
        <w:rPr>
          <w:rFonts w:ascii="Times New Roman" w:hAnsi="Times New Roman" w:cs="Times New Roman"/>
          <w:sz w:val="24"/>
          <w:szCs w:val="24"/>
        </w:rPr>
        <w:t>No.</w:t>
      </w:r>
    </w:p>
    <w:p w:rsidR="001B484F" w:rsidRPr="009D144D" w:rsidRDefault="001B484F" w:rsidP="00C82B13">
      <w:pPr>
        <w:rPr>
          <w:rFonts w:ascii="Times New Roman" w:hAnsi="Times New Roman" w:cs="Times New Roman" w:hint="eastAsia"/>
          <w:sz w:val="24"/>
          <w:szCs w:val="24"/>
        </w:rPr>
      </w:pPr>
      <w:r w:rsidRPr="009D144D">
        <w:rPr>
          <w:rFonts w:ascii="Times New Roman" w:hAnsi="Times New Roman" w:cs="Times New Roman"/>
          <w:sz w:val="24"/>
          <w:szCs w:val="24"/>
        </w:rPr>
        <w:t xml:space="preserve">APT Members are encouraged to consider and evaluate the proposals </w:t>
      </w:r>
      <w:r w:rsidR="00BE204A">
        <w:rPr>
          <w:rFonts w:ascii="Times New Roman" w:hAnsi="Times New Roman" w:cs="Times New Roman"/>
          <w:sz w:val="24"/>
          <w:szCs w:val="24"/>
        </w:rPr>
        <w:t xml:space="preserve">from other Regions/countries </w:t>
      </w:r>
      <w:r w:rsidRPr="009D144D">
        <w:rPr>
          <w:rFonts w:ascii="Times New Roman" w:hAnsi="Times New Roman" w:cs="Times New Roman"/>
          <w:sz w:val="24"/>
          <w:szCs w:val="24"/>
        </w:rPr>
        <w:t>in no. 2</w:t>
      </w:r>
      <w:bookmarkStart w:id="0" w:name="_GoBack"/>
      <w:bookmarkEnd w:id="0"/>
      <w:r w:rsidRPr="009D144D">
        <w:rPr>
          <w:rFonts w:ascii="Times New Roman" w:hAnsi="Times New Roman" w:cs="Times New Roman"/>
          <w:sz w:val="24"/>
          <w:szCs w:val="24"/>
        </w:rPr>
        <w:t xml:space="preserve">. </w:t>
      </w:r>
    </w:p>
    <w:p w:rsidR="004D7CC0" w:rsidRDefault="004D7CC0" w:rsidP="00C82B13">
      <w:pPr>
        <w:rPr>
          <w:rFonts w:ascii="Times New Roman" w:hAnsi="Times New Roman" w:cs="Times New Roman"/>
          <w:i/>
          <w:sz w:val="24"/>
          <w:szCs w:val="24"/>
        </w:rPr>
      </w:pP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146" w:rsidRDefault="00BC1146" w:rsidP="00D1517A">
      <w:pPr>
        <w:spacing w:after="0" w:line="240" w:lineRule="auto"/>
      </w:pPr>
      <w:r>
        <w:separator/>
      </w:r>
    </w:p>
  </w:endnote>
  <w:endnote w:type="continuationSeparator" w:id="0">
    <w:p w:rsidR="00BC1146" w:rsidRDefault="00BC1146"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146" w:rsidRDefault="00BC1146" w:rsidP="00D1517A">
      <w:pPr>
        <w:spacing w:after="0" w:line="240" w:lineRule="auto"/>
      </w:pPr>
      <w:r>
        <w:separator/>
      </w:r>
    </w:p>
  </w:footnote>
  <w:footnote w:type="continuationSeparator" w:id="0">
    <w:p w:rsidR="00BC1146" w:rsidRDefault="00BC1146"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4367D"/>
    <w:multiLevelType w:val="hybridMultilevel"/>
    <w:tmpl w:val="94F884C2"/>
    <w:lvl w:ilvl="0" w:tplc="84FACA68">
      <w:start w:val="4"/>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F306981"/>
    <w:multiLevelType w:val="hybridMultilevel"/>
    <w:tmpl w:val="7974D7DC"/>
    <w:lvl w:ilvl="0" w:tplc="B7863A5E">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604AE4"/>
    <w:multiLevelType w:val="hybridMultilevel"/>
    <w:tmpl w:val="0DE2FB5A"/>
    <w:lvl w:ilvl="0" w:tplc="08E0FB0E">
      <w:start w:val="4"/>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A5145C"/>
    <w:multiLevelType w:val="hybridMultilevel"/>
    <w:tmpl w:val="7EF4C30E"/>
    <w:lvl w:ilvl="0" w:tplc="373AF5C8">
      <w:start w:val="4"/>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5E411C6D"/>
    <w:multiLevelType w:val="hybridMultilevel"/>
    <w:tmpl w:val="7A9C2504"/>
    <w:lvl w:ilvl="0" w:tplc="A022A0F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86F2C"/>
    <w:rsid w:val="000B5983"/>
    <w:rsid w:val="001512E5"/>
    <w:rsid w:val="001A1F17"/>
    <w:rsid w:val="001B484F"/>
    <w:rsid w:val="001E0789"/>
    <w:rsid w:val="00283D24"/>
    <w:rsid w:val="003346ED"/>
    <w:rsid w:val="004354DE"/>
    <w:rsid w:val="004A0441"/>
    <w:rsid w:val="004A574B"/>
    <w:rsid w:val="004D7CC0"/>
    <w:rsid w:val="005755E6"/>
    <w:rsid w:val="00677357"/>
    <w:rsid w:val="00683E04"/>
    <w:rsid w:val="008742F3"/>
    <w:rsid w:val="009A6E9D"/>
    <w:rsid w:val="009D144D"/>
    <w:rsid w:val="009E27EC"/>
    <w:rsid w:val="00AC461C"/>
    <w:rsid w:val="00BC1146"/>
    <w:rsid w:val="00BE204A"/>
    <w:rsid w:val="00C750CB"/>
    <w:rsid w:val="00C82B13"/>
    <w:rsid w:val="00CA4FC0"/>
    <w:rsid w:val="00D1517A"/>
    <w:rsid w:val="00DC6CF3"/>
    <w:rsid w:val="00E507A7"/>
    <w:rsid w:val="00EA1B34"/>
    <w:rsid w:val="00EC68D5"/>
    <w:rsid w:val="00EF7969"/>
    <w:rsid w:val="00F9397B"/>
    <w:rsid w:val="00FF288C"/>
    <w:rsid w:val="00FF62DA"/>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character" w:styleId="a6">
    <w:name w:val="Hyperlink"/>
    <w:basedOn w:val="a0"/>
    <w:uiPriority w:val="99"/>
    <w:unhideWhenUsed/>
    <w:rsid w:val="00DC6CF3"/>
    <w:rPr>
      <w:color w:val="0563C1" w:themeColor="hyperlink"/>
      <w:u w:val="single"/>
    </w:rPr>
  </w:style>
  <w:style w:type="table" w:styleId="a7">
    <w:name w:val="Table Grid"/>
    <w:basedOn w:val="a1"/>
    <w:uiPriority w:val="39"/>
    <w:rsid w:val="009A6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89868">
      <w:bodyDiv w:val="1"/>
      <w:marLeft w:val="0"/>
      <w:marRight w:val="0"/>
      <w:marTop w:val="0"/>
      <w:marBottom w:val="0"/>
      <w:divBdr>
        <w:top w:val="none" w:sz="0" w:space="0" w:color="auto"/>
        <w:left w:val="none" w:sz="0" w:space="0" w:color="auto"/>
        <w:bottom w:val="none" w:sz="0" w:space="0" w:color="auto"/>
        <w:right w:val="none" w:sz="0" w:space="0" w:color="auto"/>
      </w:divBdr>
    </w:div>
    <w:div w:id="1130126167">
      <w:bodyDiv w:val="1"/>
      <w:marLeft w:val="0"/>
      <w:marRight w:val="0"/>
      <w:marTop w:val="0"/>
      <w:marBottom w:val="0"/>
      <w:divBdr>
        <w:top w:val="none" w:sz="0" w:space="0" w:color="auto"/>
        <w:left w:val="none" w:sz="0" w:space="0" w:color="auto"/>
        <w:bottom w:val="none" w:sz="0" w:space="0" w:color="auto"/>
        <w:right w:val="none" w:sz="0" w:space="0" w:color="auto"/>
      </w:divBdr>
    </w:div>
    <w:div w:id="1526361288">
      <w:bodyDiv w:val="1"/>
      <w:marLeft w:val="0"/>
      <w:marRight w:val="0"/>
      <w:marTop w:val="0"/>
      <w:marBottom w:val="0"/>
      <w:divBdr>
        <w:top w:val="none" w:sz="0" w:space="0" w:color="auto"/>
        <w:left w:val="none" w:sz="0" w:space="0" w:color="auto"/>
        <w:bottom w:val="none" w:sz="0" w:space="0" w:color="auto"/>
        <w:right w:val="none" w:sz="0" w:space="0" w:color="auto"/>
      </w:divBdr>
    </w:div>
    <w:div w:id="1905866805">
      <w:bodyDiv w:val="1"/>
      <w:marLeft w:val="0"/>
      <w:marRight w:val="0"/>
      <w:marTop w:val="0"/>
      <w:marBottom w:val="0"/>
      <w:divBdr>
        <w:top w:val="none" w:sz="0" w:space="0" w:color="auto"/>
        <w:left w:val="none" w:sz="0" w:space="0" w:color="auto"/>
        <w:bottom w:val="none" w:sz="0" w:space="0" w:color="auto"/>
        <w:right w:val="none" w:sz="0" w:space="0" w:color="auto"/>
      </w:divBdr>
    </w:div>
    <w:div w:id="207068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vboya@huawe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3951</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Lvboya</cp:lastModifiedBy>
  <cp:revision>3</cp:revision>
  <dcterms:created xsi:type="dcterms:W3CDTF">2019-11-05T08:43:00Z</dcterms:created>
  <dcterms:modified xsi:type="dcterms:W3CDTF">2019-11-05T08:43:00Z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1572849197</vt:lpwstr>
  </property>
</Properties>
</file>