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72" w:rsidRPr="005755E6" w:rsidRDefault="00C17A72" w:rsidP="00C17A72">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Pr>
          <w:rFonts w:ascii="Times New Roman" w:hAnsi="Times New Roman" w:cs="Times New Roman"/>
          <w:b/>
          <w:sz w:val="28"/>
          <w:szCs w:val="28"/>
        </w:rPr>
        <w:t>WRC-19</w:t>
      </w:r>
    </w:p>
    <w:p w:rsidR="006E3574" w:rsidRDefault="00C17A72" w:rsidP="00C17A72">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Pr>
          <w:rFonts w:ascii="Times New Roman" w:hAnsi="Times New Roman" w:cs="Times New Roman"/>
          <w:sz w:val="24"/>
          <w:szCs w:val="24"/>
        </w:rPr>
        <w:t>:</w:t>
      </w:r>
      <w:r w:rsidR="00A161FB">
        <w:rPr>
          <w:rFonts w:ascii="Times New Roman" w:hAnsi="Times New Roman" w:cs="Times New Roman"/>
          <w:sz w:val="24"/>
          <w:szCs w:val="24"/>
        </w:rPr>
        <w:t xml:space="preserve"> </w:t>
      </w:r>
      <w:proofErr w:type="spellStart"/>
      <w:r w:rsidR="00A161FB">
        <w:rPr>
          <w:rFonts w:ascii="Times New Roman" w:hAnsi="Times New Roman" w:cs="Times New Roman"/>
          <w:sz w:val="24"/>
          <w:szCs w:val="24"/>
        </w:rPr>
        <w:t>Phung</w:t>
      </w:r>
      <w:proofErr w:type="spellEnd"/>
      <w:r w:rsidR="00A161FB">
        <w:rPr>
          <w:rFonts w:ascii="Times New Roman" w:hAnsi="Times New Roman" w:cs="Times New Roman"/>
          <w:sz w:val="24"/>
          <w:szCs w:val="24"/>
        </w:rPr>
        <w:t xml:space="preserve"> Nguyen Phuong</w:t>
      </w:r>
      <w:r w:rsidR="006E3574">
        <w:rPr>
          <w:rFonts w:ascii="Times New Roman" w:hAnsi="Times New Roman" w:cs="Times New Roman"/>
          <w:sz w:val="24"/>
          <w:szCs w:val="24"/>
        </w:rPr>
        <w:t>,</w:t>
      </w:r>
    </w:p>
    <w:p w:rsidR="006E3574" w:rsidRDefault="00A161FB" w:rsidP="006E3574">
      <w:pPr>
        <w:jc w:val="center"/>
        <w:rPr>
          <w:rFonts w:ascii="Times New Roman" w:hAnsi="Times New Roman" w:cs="Times New Roman"/>
          <w:sz w:val="24"/>
          <w:szCs w:val="24"/>
        </w:rPr>
      </w:pPr>
      <w:r>
        <w:rPr>
          <w:rFonts w:ascii="Times New Roman" w:hAnsi="Times New Roman" w:cs="Times New Roman"/>
          <w:sz w:val="24"/>
          <w:szCs w:val="24"/>
        </w:rPr>
        <w:t>phuongpn@rfd.gov.vn</w:t>
      </w:r>
    </w:p>
    <w:p w:rsidR="00C17A72" w:rsidRPr="004D7CC0" w:rsidRDefault="00C17A72" w:rsidP="00C17A7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161FB">
        <w:rPr>
          <w:rFonts w:ascii="Times New Roman" w:hAnsi="Times New Roman" w:cs="Times New Roman"/>
          <w:sz w:val="24"/>
          <w:szCs w:val="24"/>
        </w:rPr>
        <w:t>0</w:t>
      </w:r>
      <w:r w:rsidR="006E3574">
        <w:rPr>
          <w:rFonts w:ascii="Times New Roman" w:hAnsi="Times New Roman" w:cs="Times New Roman"/>
          <w:sz w:val="24"/>
          <w:szCs w:val="24"/>
        </w:rPr>
        <w:t>1/</w:t>
      </w:r>
      <w:r w:rsidR="00A161FB">
        <w:rPr>
          <w:rFonts w:ascii="Times New Roman" w:hAnsi="Times New Roman" w:cs="Times New Roman"/>
          <w:sz w:val="24"/>
          <w:szCs w:val="24"/>
        </w:rPr>
        <w:t>1</w:t>
      </w:r>
      <w:r w:rsidR="006E3574">
        <w:rPr>
          <w:rFonts w:ascii="Times New Roman" w:hAnsi="Times New Roman" w:cs="Times New Roman"/>
          <w:sz w:val="24"/>
          <w:szCs w:val="24"/>
        </w:rPr>
        <w:t>1/2019</w:t>
      </w:r>
    </w:p>
    <w:p w:rsidR="00C17A72" w:rsidRPr="00AC461C" w:rsidRDefault="00C17A72" w:rsidP="00C17A72">
      <w:pPr>
        <w:rPr>
          <w:rFonts w:ascii="Times New Roman" w:hAnsi="Times New Roman" w:cs="Times New Roman"/>
          <w:sz w:val="24"/>
          <w:szCs w:val="24"/>
        </w:rPr>
      </w:pPr>
    </w:p>
    <w:p w:rsidR="00C17A72" w:rsidRDefault="00C17A72" w:rsidP="003713F5">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 xml:space="preserve">Agenda Item 7 issue </w:t>
      </w:r>
      <w:r w:rsidR="00A161FB">
        <w:rPr>
          <w:rFonts w:ascii="Times New Roman" w:hAnsi="Times New Roman" w:cs="Times New Roman"/>
          <w:b/>
          <w:bCs/>
          <w:sz w:val="24"/>
          <w:szCs w:val="24"/>
        </w:rPr>
        <w:t>C1, C2, C3, C6, C7</w:t>
      </w:r>
    </w:p>
    <w:p w:rsidR="00A161FB" w:rsidRPr="00A161FB" w:rsidRDefault="00A161FB" w:rsidP="00A161FB">
      <w:pPr>
        <w:rPr>
          <w:rFonts w:ascii="Times New Roman" w:hAnsi="Times New Roman" w:cs="Times New Roman"/>
          <w:sz w:val="24"/>
          <w:szCs w:val="24"/>
        </w:rPr>
      </w:pPr>
      <w:r w:rsidRPr="00A161FB">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161FB">
        <w:rPr>
          <w:rFonts w:ascii="Times New Roman" w:hAnsi="Times New Roman" w:cs="Times New Roman"/>
          <w:b/>
          <w:sz w:val="24"/>
          <w:szCs w:val="24"/>
        </w:rPr>
        <w:t>86 (Rev.WRC</w:t>
      </w:r>
      <w:r w:rsidRPr="00A161FB">
        <w:rPr>
          <w:rFonts w:ascii="Times New Roman" w:hAnsi="Times New Roman" w:cs="Times New Roman"/>
          <w:b/>
          <w:sz w:val="24"/>
          <w:szCs w:val="24"/>
        </w:rPr>
        <w:noBreakHyphen/>
        <w:t>07)</w:t>
      </w:r>
      <w:r w:rsidRPr="00A161FB">
        <w:rPr>
          <w:rFonts w:ascii="Times New Roman" w:hAnsi="Times New Roman" w:cs="Times New Roman"/>
          <w:sz w:val="24"/>
          <w:szCs w:val="24"/>
        </w:rPr>
        <w:t xml:space="preserve">, in order to facilitate rational, efficient and economical use of radio frequencies and any associated orbits, including the </w:t>
      </w:r>
      <w:proofErr w:type="spellStart"/>
      <w:r w:rsidRPr="00A161FB">
        <w:rPr>
          <w:rFonts w:ascii="Times New Roman" w:hAnsi="Times New Roman" w:cs="Times New Roman"/>
          <w:sz w:val="24"/>
          <w:szCs w:val="24"/>
        </w:rPr>
        <w:t>geostationary</w:t>
      </w:r>
      <w:r w:rsidRPr="00A161FB">
        <w:rPr>
          <w:rFonts w:ascii="Times New Roman" w:hAnsi="Times New Roman" w:cs="Times New Roman"/>
          <w:sz w:val="24"/>
          <w:szCs w:val="24"/>
        </w:rPr>
        <w:noBreakHyphen/>
        <w:t>satellite</w:t>
      </w:r>
      <w:proofErr w:type="spellEnd"/>
      <w:r w:rsidRPr="00A161FB">
        <w:rPr>
          <w:rFonts w:ascii="Times New Roman" w:hAnsi="Times New Roman" w:cs="Times New Roman"/>
          <w:sz w:val="24"/>
          <w:szCs w:val="24"/>
        </w:rPr>
        <w:t xml:space="preserve"> orbit.</w:t>
      </w:r>
    </w:p>
    <w:p w:rsidR="00A161FB" w:rsidRPr="00A161FB" w:rsidRDefault="00A161FB" w:rsidP="00A161FB">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0"/>
          <w:lang w:val="en-GB" w:eastAsia="zh-CN"/>
        </w:rPr>
      </w:pPr>
      <w:r w:rsidRPr="00A161FB">
        <w:rPr>
          <w:rFonts w:ascii="Times New Roman" w:eastAsia="Times New Roman" w:hAnsi="Times New Roman" w:cs="Times New Roman"/>
          <w:kern w:val="0"/>
          <w:sz w:val="24"/>
          <w:szCs w:val="20"/>
          <w:lang w:val="en-GB" w:eastAsia="en-US"/>
        </w:rPr>
        <w:t>Issue C1 - Inconsistency between provisions of RR No.11.43A of RR Article 11 and paragraph 8.13 of Article 8 of RR Appendix 30B</w:t>
      </w:r>
    </w:p>
    <w:p w:rsidR="00A161FB" w:rsidRPr="00A161FB" w:rsidRDefault="00A161FB" w:rsidP="00A161FB">
      <w:pPr>
        <w:widowControl/>
        <w:wordWrap/>
        <w:autoSpaceDE/>
        <w:autoSpaceDN/>
        <w:spacing w:before="120" w:after="0" w:line="240" w:lineRule="auto"/>
        <w:jc w:val="left"/>
        <w:rPr>
          <w:rFonts w:ascii="Times New Roman" w:eastAsia="BatangChe" w:hAnsi="Times New Roman" w:cs="Times New Roman"/>
          <w:kern w:val="0"/>
          <w:sz w:val="24"/>
          <w:szCs w:val="24"/>
          <w:highlight w:val="yellow"/>
          <w:lang w:val="en-NZ" w:eastAsia="en-US"/>
        </w:rPr>
      </w:pPr>
      <w:r w:rsidRPr="00A161FB">
        <w:rPr>
          <w:rFonts w:ascii="Times New Roman" w:eastAsia="BatangChe" w:hAnsi="Times New Roman" w:cs="Times New Roman"/>
          <w:kern w:val="0"/>
          <w:sz w:val="24"/>
          <w:szCs w:val="24"/>
          <w:lang w:eastAsia="en-US"/>
        </w:rPr>
        <w:t>Issue C2 - Clarification of the possibility to notify/bring into use only one of the blocks/one sub-band under AP30B Article 6</w:t>
      </w:r>
    </w:p>
    <w:p w:rsidR="00A161FB" w:rsidRDefault="00A161FB" w:rsidP="00A161FB">
      <w:pPr>
        <w:keepNext/>
        <w:wordWrap/>
        <w:autoSpaceDE/>
        <w:autoSpaceDN/>
        <w:spacing w:before="120" w:after="120" w:line="240" w:lineRule="auto"/>
        <w:outlineLvl w:val="7"/>
        <w:rPr>
          <w:rFonts w:ascii="Times New Roman" w:eastAsia="BatangChe" w:hAnsi="Times New Roman" w:cs="Times New Roman"/>
          <w:bCs/>
          <w:sz w:val="24"/>
          <w:szCs w:val="24"/>
        </w:rPr>
      </w:pPr>
      <w:r w:rsidRPr="00A161FB">
        <w:rPr>
          <w:rFonts w:ascii="Times New Roman" w:eastAsia="BatangChe" w:hAnsi="Times New Roman" w:cs="Times New Roman"/>
          <w:bCs/>
          <w:sz w:val="24"/>
          <w:szCs w:val="24"/>
        </w:rPr>
        <w:t>Issue C3 - AP30B MOD to Article 6 No. 6.10</w:t>
      </w:r>
    </w:p>
    <w:p w:rsidR="00A161FB" w:rsidRPr="00A161FB" w:rsidRDefault="00A161FB" w:rsidP="00A161FB">
      <w:pPr>
        <w:widowControl/>
        <w:wordWrap/>
        <w:autoSpaceDE/>
        <w:autoSpaceDN/>
        <w:spacing w:before="120" w:after="0" w:line="240" w:lineRule="auto"/>
        <w:jc w:val="left"/>
        <w:rPr>
          <w:rFonts w:ascii="Times New Roman" w:eastAsia="BatangChe" w:hAnsi="Times New Roman" w:cs="Times New Roman"/>
          <w:kern w:val="0"/>
          <w:sz w:val="24"/>
          <w:szCs w:val="24"/>
          <w:lang w:eastAsia="en-US"/>
        </w:rPr>
      </w:pPr>
      <w:r w:rsidRPr="00A161FB">
        <w:rPr>
          <w:rFonts w:ascii="Times New Roman" w:eastAsia="BatangChe" w:hAnsi="Times New Roman" w:cs="Times New Roman"/>
          <w:kern w:val="0"/>
          <w:sz w:val="24"/>
          <w:szCs w:val="24"/>
          <w:lang w:eastAsia="en-US"/>
        </w:rPr>
        <w:t>Issue C6 – Single AP4 notice for entry into the RR Appendix 30B List (under § 6.17) and Notification (under § 8.1)</w:t>
      </w:r>
    </w:p>
    <w:p w:rsidR="00A161FB" w:rsidRPr="00A161FB" w:rsidRDefault="00A161FB" w:rsidP="00A161FB">
      <w:pPr>
        <w:rPr>
          <w:rFonts w:ascii="Times New Roman" w:hAnsi="Times New Roman" w:cs="Times New Roman"/>
          <w:b/>
          <w:bCs/>
          <w:sz w:val="24"/>
          <w:szCs w:val="24"/>
        </w:rPr>
      </w:pPr>
      <w:r w:rsidRPr="00A161FB">
        <w:rPr>
          <w:rFonts w:ascii="Times New Roman" w:eastAsia="Times New Roman" w:hAnsi="Times New Roman" w:cs="Times New Roman"/>
          <w:kern w:val="0"/>
          <w:sz w:val="24"/>
          <w:szCs w:val="20"/>
          <w:lang w:val="en-GB" w:eastAsia="en-US"/>
        </w:rPr>
        <w:t>Issue C7 – Harmonization of AP30B with AP30/30A on Possibility of Obtaining Agreement for a Specific Period</w:t>
      </w:r>
    </w:p>
    <w:p w:rsidR="00C17A72" w:rsidRPr="00444AAF" w:rsidRDefault="00C17A72" w:rsidP="00C17A72">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APT Common Proposals and APT Views for WRC-19 (which has been submitted to WRC-19)</w:t>
      </w:r>
    </w:p>
    <w:p w:rsidR="00A161FB" w:rsidRPr="00A161FB" w:rsidRDefault="00A161FB" w:rsidP="00A161FB">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0"/>
          <w:lang w:val="en-GB" w:eastAsia="zh-CN"/>
        </w:rPr>
      </w:pPr>
      <w:r w:rsidRPr="00A161FB">
        <w:rPr>
          <w:rFonts w:ascii="Times New Roman" w:eastAsia="Times New Roman" w:hAnsi="Times New Roman" w:cs="Times New Roman"/>
          <w:kern w:val="0"/>
          <w:sz w:val="24"/>
          <w:szCs w:val="20"/>
          <w:lang w:val="en-GB" w:eastAsia="en-US"/>
        </w:rPr>
        <w:t>Issue C1 - Inconsistency between provisions of RR No.11.43A of RR Article 11 and paragraph 8.13 of Article 8 of RR Appendix 30B</w:t>
      </w:r>
    </w:p>
    <w:p w:rsidR="00A161FB" w:rsidRPr="00A161FB" w:rsidRDefault="00A161FB" w:rsidP="00A161FB">
      <w:pPr>
        <w:widowControl/>
        <w:numPr>
          <w:ilvl w:val="0"/>
          <w:numId w:val="2"/>
        </w:numPr>
        <w:tabs>
          <w:tab w:val="left" w:pos="1134"/>
          <w:tab w:val="left" w:pos="1871"/>
          <w:tab w:val="left" w:pos="2268"/>
        </w:tabs>
        <w:wordWrap/>
        <w:overflowPunct w:val="0"/>
        <w:autoSpaceDE/>
        <w:autoSpaceDN/>
        <w:adjustRightInd w:val="0"/>
        <w:spacing w:before="120" w:after="0" w:line="240" w:lineRule="auto"/>
        <w:contextualSpacing/>
        <w:jc w:val="left"/>
        <w:textAlignment w:val="baseline"/>
        <w:rPr>
          <w:rFonts w:ascii="Times New Roman" w:eastAsia="Times New Roman" w:hAnsi="Times New Roman" w:cs="Times New Roman"/>
          <w:kern w:val="0"/>
          <w:sz w:val="24"/>
          <w:szCs w:val="28"/>
          <w:lang w:val="en-GB" w:eastAsia="en-US"/>
        </w:rPr>
      </w:pPr>
      <w:r w:rsidRPr="00A161FB">
        <w:rPr>
          <w:rFonts w:ascii="Times New Roman" w:eastAsia="Times New Roman" w:hAnsi="Times New Roman" w:cs="Times New Roman"/>
          <w:kern w:val="0"/>
          <w:sz w:val="24"/>
          <w:szCs w:val="28"/>
          <w:lang w:val="en-GB"/>
        </w:rPr>
        <w:t xml:space="preserve">APT Members support the single method in the draft CPM text to address this issue by aligning the text of paragraph 8.13 </w:t>
      </w:r>
      <w:r w:rsidRPr="00A161FB">
        <w:rPr>
          <w:rFonts w:ascii="Times New Roman" w:eastAsia="Times New Roman" w:hAnsi="Times New Roman" w:cs="Times New Roman"/>
          <w:kern w:val="0"/>
          <w:sz w:val="24"/>
          <w:szCs w:val="28"/>
          <w:lang w:val="en-GB" w:eastAsia="en-US"/>
        </w:rPr>
        <w:t xml:space="preserve">of Article 8 of RR Appendix </w:t>
      </w:r>
      <w:r w:rsidRPr="00A161FB">
        <w:rPr>
          <w:rFonts w:ascii="Times New Roman" w:eastAsia="Times New Roman" w:hAnsi="Times New Roman" w:cs="Times New Roman"/>
          <w:b/>
          <w:kern w:val="0"/>
          <w:sz w:val="24"/>
          <w:szCs w:val="28"/>
          <w:lang w:val="en-GB" w:eastAsia="en-US"/>
        </w:rPr>
        <w:t>30B</w:t>
      </w:r>
      <w:r w:rsidRPr="00A161FB">
        <w:rPr>
          <w:rFonts w:ascii="Times New Roman" w:eastAsia="Times New Roman" w:hAnsi="Times New Roman" w:cs="Times New Roman"/>
          <w:kern w:val="0"/>
          <w:sz w:val="24"/>
          <w:szCs w:val="28"/>
          <w:lang w:val="en-GB" w:eastAsia="en-US"/>
        </w:rPr>
        <w:t xml:space="preserve"> with that of RR No. </w:t>
      </w:r>
      <w:r w:rsidRPr="00A161FB">
        <w:rPr>
          <w:rFonts w:ascii="Times New Roman" w:eastAsia="Times New Roman" w:hAnsi="Times New Roman" w:cs="Times New Roman"/>
          <w:b/>
          <w:kern w:val="0"/>
          <w:sz w:val="24"/>
          <w:szCs w:val="28"/>
          <w:lang w:val="en-GB" w:eastAsia="en-US"/>
        </w:rPr>
        <w:t>11.43A</w:t>
      </w:r>
      <w:r w:rsidRPr="00A161FB">
        <w:rPr>
          <w:rFonts w:ascii="Times New Roman" w:eastAsia="Times New Roman" w:hAnsi="Times New Roman" w:cs="Times New Roman"/>
          <w:kern w:val="0"/>
          <w:sz w:val="24"/>
          <w:szCs w:val="28"/>
          <w:lang w:val="en-GB" w:eastAsia="en-US"/>
        </w:rPr>
        <w:t xml:space="preserve"> of RR Article </w:t>
      </w:r>
      <w:r w:rsidRPr="00A161FB">
        <w:rPr>
          <w:rFonts w:ascii="Times New Roman" w:eastAsia="Times New Roman" w:hAnsi="Times New Roman" w:cs="Times New Roman"/>
          <w:b/>
          <w:kern w:val="0"/>
          <w:sz w:val="24"/>
          <w:szCs w:val="28"/>
          <w:lang w:val="en-GB" w:eastAsia="en-US"/>
        </w:rPr>
        <w:t>11</w:t>
      </w:r>
      <w:r w:rsidRPr="00A161FB">
        <w:rPr>
          <w:rFonts w:ascii="Times New Roman" w:eastAsia="Times New Roman" w:hAnsi="Times New Roman" w:cs="Times New Roman"/>
          <w:kern w:val="0"/>
          <w:sz w:val="24"/>
          <w:szCs w:val="28"/>
          <w:lang w:val="en-GB" w:eastAsia="en-US"/>
        </w:rPr>
        <w:t xml:space="preserve"> while ensuring that this alignment should not impact on any other current regulatory practice.</w:t>
      </w:r>
    </w:p>
    <w:p w:rsidR="00A161FB" w:rsidRPr="00A161FB" w:rsidRDefault="00A161FB" w:rsidP="00A161FB">
      <w:pPr>
        <w:widowControl/>
        <w:wordWrap/>
        <w:autoSpaceDE/>
        <w:autoSpaceDN/>
        <w:spacing w:before="120" w:after="0" w:line="240" w:lineRule="auto"/>
        <w:jc w:val="left"/>
        <w:rPr>
          <w:rFonts w:ascii="Times New Roman" w:eastAsia="BatangChe" w:hAnsi="Times New Roman" w:cs="Times New Roman"/>
          <w:kern w:val="0"/>
          <w:sz w:val="24"/>
          <w:szCs w:val="24"/>
          <w:highlight w:val="yellow"/>
          <w:lang w:val="en-NZ" w:eastAsia="en-US"/>
        </w:rPr>
      </w:pPr>
      <w:bookmarkStart w:id="0" w:name="_Toc508968228"/>
      <w:r w:rsidRPr="00A161FB">
        <w:rPr>
          <w:rFonts w:ascii="Times New Roman" w:eastAsia="BatangChe" w:hAnsi="Times New Roman" w:cs="Times New Roman"/>
          <w:kern w:val="0"/>
          <w:sz w:val="24"/>
          <w:szCs w:val="24"/>
          <w:lang w:eastAsia="en-US"/>
        </w:rPr>
        <w:t>Issue C2 - Clarification of the possibility to notify/bring into use only one of the blocks/one sub-band under AP30B Article 6</w:t>
      </w:r>
      <w:bookmarkEnd w:id="0"/>
    </w:p>
    <w:p w:rsidR="00A161FB" w:rsidRPr="00A161FB" w:rsidRDefault="00A161FB" w:rsidP="00A161FB">
      <w:pPr>
        <w:widowControl/>
        <w:numPr>
          <w:ilvl w:val="0"/>
          <w:numId w:val="2"/>
        </w:numPr>
        <w:tabs>
          <w:tab w:val="left" w:pos="1134"/>
          <w:tab w:val="left" w:pos="1871"/>
          <w:tab w:val="left" w:pos="2268"/>
        </w:tabs>
        <w:wordWrap/>
        <w:overflowPunct w:val="0"/>
        <w:autoSpaceDE/>
        <w:autoSpaceDN/>
        <w:adjustRightInd w:val="0"/>
        <w:spacing w:before="120" w:after="0" w:line="240" w:lineRule="auto"/>
        <w:contextualSpacing/>
        <w:jc w:val="left"/>
        <w:textAlignment w:val="baseline"/>
        <w:rPr>
          <w:rFonts w:ascii="Times New Roman" w:eastAsia="BatangChe" w:hAnsi="Times New Roman" w:cs="Times New Roman"/>
          <w:kern w:val="0"/>
          <w:sz w:val="24"/>
          <w:szCs w:val="28"/>
        </w:rPr>
      </w:pPr>
      <w:r w:rsidRPr="00A161FB">
        <w:rPr>
          <w:rFonts w:ascii="Times New Roman" w:eastAsia="BatangChe" w:hAnsi="Times New Roman" w:cs="Times New Roman"/>
          <w:kern w:val="0"/>
          <w:sz w:val="24"/>
          <w:szCs w:val="28"/>
        </w:rPr>
        <w:t xml:space="preserve">APT Members support the single method in the draft CPM text which can allow administrations to </w:t>
      </w:r>
      <w:r w:rsidRPr="00A161FB">
        <w:rPr>
          <w:rFonts w:ascii="Times New Roman" w:eastAsia="BatangChe" w:hAnsi="Times New Roman" w:cs="Times New Roman"/>
          <w:kern w:val="0"/>
          <w:sz w:val="24"/>
          <w:szCs w:val="28"/>
          <w:lang w:val="en-GB"/>
        </w:rPr>
        <w:t>submit</w:t>
      </w:r>
      <w:r w:rsidRPr="00A161FB">
        <w:rPr>
          <w:rFonts w:ascii="Times New Roman" w:eastAsia="BatangChe" w:hAnsi="Times New Roman" w:cs="Times New Roman"/>
          <w:kern w:val="0"/>
          <w:sz w:val="24"/>
          <w:szCs w:val="28"/>
        </w:rPr>
        <w:t xml:space="preserve"> an application for one of the blocks/sub-bands of 250 MHz (</w:t>
      </w:r>
      <w:r w:rsidRPr="00A161FB">
        <w:rPr>
          <w:rFonts w:ascii="Times New Roman" w:eastAsia="BatangChe" w:hAnsi="Times New Roman" w:cs="Times New Roman"/>
          <w:spacing w:val="-2"/>
          <w:kern w:val="0"/>
          <w:sz w:val="24"/>
          <w:szCs w:val="24"/>
          <w:lang w:eastAsia="en-US"/>
        </w:rPr>
        <w:t>10.7-10.95 GHz or 11.2</w:t>
      </w:r>
      <w:r w:rsidRPr="00A161FB">
        <w:rPr>
          <w:rFonts w:ascii="Times New Roman" w:eastAsia="BatangChe" w:hAnsi="Times New Roman" w:cs="Times New Roman"/>
          <w:spacing w:val="-2"/>
          <w:kern w:val="0"/>
          <w:sz w:val="24"/>
          <w:szCs w:val="24"/>
          <w:lang w:eastAsia="en-US"/>
        </w:rPr>
        <w:noBreakHyphen/>
        <w:t xml:space="preserve">11.45 GHz for downlink and 12.75-13.0 GHz or 13.0-13.25 GHz for uplink) </w:t>
      </w:r>
      <w:r w:rsidRPr="00A161FB">
        <w:rPr>
          <w:rFonts w:ascii="Times New Roman" w:eastAsia="BatangChe" w:hAnsi="Times New Roman" w:cs="Times New Roman"/>
          <w:kern w:val="0"/>
          <w:sz w:val="24"/>
          <w:szCs w:val="28"/>
        </w:rPr>
        <w:t xml:space="preserve">in an explicit submission of one of the blocks/sub-bands under RR Appendix </w:t>
      </w:r>
      <w:r w:rsidRPr="00A161FB">
        <w:rPr>
          <w:rFonts w:ascii="Times New Roman" w:eastAsia="BatangChe" w:hAnsi="Times New Roman" w:cs="Times New Roman"/>
          <w:b/>
          <w:kern w:val="0"/>
          <w:sz w:val="24"/>
          <w:szCs w:val="28"/>
        </w:rPr>
        <w:t>30B</w:t>
      </w:r>
      <w:r w:rsidRPr="00A161FB">
        <w:rPr>
          <w:rFonts w:ascii="Times New Roman" w:eastAsia="BatangChe" w:hAnsi="Times New Roman" w:cs="Times New Roman"/>
          <w:kern w:val="0"/>
          <w:sz w:val="24"/>
          <w:szCs w:val="28"/>
        </w:rPr>
        <w:t>.</w:t>
      </w:r>
    </w:p>
    <w:p w:rsidR="00A161FB" w:rsidRPr="00A161FB" w:rsidRDefault="00A161FB" w:rsidP="00A161FB">
      <w:pPr>
        <w:keepNext/>
        <w:wordWrap/>
        <w:autoSpaceDE/>
        <w:autoSpaceDN/>
        <w:spacing w:before="120" w:after="120" w:line="240" w:lineRule="auto"/>
        <w:outlineLvl w:val="7"/>
        <w:rPr>
          <w:rFonts w:ascii="Times New Roman" w:eastAsia="BatangChe" w:hAnsi="Times New Roman" w:cs="Times New Roman"/>
          <w:bCs/>
          <w:sz w:val="24"/>
          <w:szCs w:val="24"/>
        </w:rPr>
      </w:pPr>
      <w:r w:rsidRPr="00A161FB">
        <w:rPr>
          <w:rFonts w:ascii="Times New Roman" w:eastAsia="BatangChe" w:hAnsi="Times New Roman" w:cs="Times New Roman"/>
          <w:bCs/>
          <w:sz w:val="24"/>
          <w:szCs w:val="24"/>
        </w:rPr>
        <w:t>Issue C3 - AP30B MOD to Article 6 No. 6.10</w:t>
      </w:r>
    </w:p>
    <w:p w:rsidR="00A161FB" w:rsidRPr="00A161FB" w:rsidRDefault="00A161FB" w:rsidP="00A161FB">
      <w:pPr>
        <w:widowControl/>
        <w:numPr>
          <w:ilvl w:val="0"/>
          <w:numId w:val="2"/>
        </w:numPr>
        <w:tabs>
          <w:tab w:val="left" w:pos="1134"/>
          <w:tab w:val="left" w:pos="1871"/>
          <w:tab w:val="left" w:pos="2268"/>
        </w:tabs>
        <w:wordWrap/>
        <w:overflowPunct w:val="0"/>
        <w:autoSpaceDE/>
        <w:autoSpaceDN/>
        <w:adjustRightInd w:val="0"/>
        <w:spacing w:before="120" w:after="0" w:line="240" w:lineRule="auto"/>
        <w:contextualSpacing/>
        <w:jc w:val="left"/>
        <w:textAlignment w:val="baseline"/>
        <w:rPr>
          <w:rFonts w:ascii="Times New Roman" w:eastAsia="BatangChe" w:hAnsi="Times New Roman" w:cs="Times New Roman"/>
          <w:kern w:val="0"/>
          <w:sz w:val="24"/>
          <w:szCs w:val="28"/>
        </w:rPr>
      </w:pPr>
      <w:r w:rsidRPr="00A161FB">
        <w:rPr>
          <w:rFonts w:ascii="Times New Roman" w:eastAsia="BatangChe" w:hAnsi="Times New Roman" w:cs="Times New Roman"/>
          <w:kern w:val="0"/>
          <w:sz w:val="24"/>
          <w:szCs w:val="28"/>
        </w:rPr>
        <w:t xml:space="preserve">APT Members support the single method in the draft CPM text to add a new provision in Article 6 of RR Appendix </w:t>
      </w:r>
      <w:r w:rsidRPr="00A161FB">
        <w:rPr>
          <w:rFonts w:ascii="Times New Roman" w:eastAsia="BatangChe" w:hAnsi="Times New Roman" w:cs="Times New Roman"/>
          <w:b/>
          <w:kern w:val="0"/>
          <w:sz w:val="24"/>
          <w:szCs w:val="28"/>
        </w:rPr>
        <w:t>30B</w:t>
      </w:r>
      <w:r w:rsidRPr="00A161FB">
        <w:rPr>
          <w:rFonts w:ascii="Times New Roman" w:eastAsia="BatangChe" w:hAnsi="Times New Roman" w:cs="Times New Roman"/>
          <w:kern w:val="0"/>
          <w:sz w:val="24"/>
          <w:szCs w:val="28"/>
        </w:rPr>
        <w:t xml:space="preserve"> to </w:t>
      </w:r>
      <w:r w:rsidRPr="00A161FB">
        <w:rPr>
          <w:rFonts w:ascii="Times New Roman" w:eastAsia="BatangChe" w:hAnsi="Times New Roman" w:cs="Times New Roman"/>
          <w:kern w:val="0"/>
          <w:sz w:val="24"/>
          <w:szCs w:val="24"/>
          <w:lang w:eastAsia="en-US"/>
        </w:rPr>
        <w:t xml:space="preserve">clearly state that § 6.13 to 6.15 of RR Appendix </w:t>
      </w:r>
      <w:r w:rsidRPr="00A161FB">
        <w:rPr>
          <w:rFonts w:ascii="Times New Roman" w:eastAsia="BatangChe" w:hAnsi="Times New Roman" w:cs="Times New Roman"/>
          <w:b/>
          <w:kern w:val="0"/>
          <w:sz w:val="24"/>
          <w:szCs w:val="24"/>
          <w:lang w:eastAsia="en-US"/>
        </w:rPr>
        <w:t>30B</w:t>
      </w:r>
      <w:r w:rsidRPr="00A161FB">
        <w:rPr>
          <w:rFonts w:ascii="Times New Roman" w:eastAsia="BatangChe" w:hAnsi="Times New Roman" w:cs="Times New Roman"/>
          <w:kern w:val="0"/>
          <w:sz w:val="24"/>
          <w:szCs w:val="24"/>
          <w:lang w:eastAsia="en-US"/>
        </w:rPr>
        <w:t xml:space="preserve"> do not apply in the context of requirements associated with §6.6 of RR Appendix </w:t>
      </w:r>
      <w:r w:rsidRPr="00A161FB">
        <w:rPr>
          <w:rFonts w:ascii="Times New Roman" w:eastAsia="BatangChe" w:hAnsi="Times New Roman" w:cs="Times New Roman"/>
          <w:b/>
          <w:bCs/>
          <w:kern w:val="0"/>
          <w:sz w:val="24"/>
          <w:szCs w:val="24"/>
          <w:lang w:eastAsia="en-US"/>
        </w:rPr>
        <w:t>30B</w:t>
      </w:r>
      <w:r w:rsidRPr="00A161FB">
        <w:rPr>
          <w:rFonts w:ascii="Times New Roman" w:eastAsia="BatangChe" w:hAnsi="Times New Roman" w:cs="Times New Roman"/>
          <w:kern w:val="0"/>
          <w:sz w:val="24"/>
          <w:szCs w:val="28"/>
        </w:rPr>
        <w:t>.</w:t>
      </w:r>
    </w:p>
    <w:p w:rsidR="00A161FB" w:rsidRPr="00A161FB" w:rsidRDefault="00A161FB" w:rsidP="00A161FB">
      <w:pPr>
        <w:widowControl/>
        <w:wordWrap/>
        <w:autoSpaceDE/>
        <w:autoSpaceDN/>
        <w:spacing w:before="120" w:after="0" w:line="240" w:lineRule="auto"/>
        <w:jc w:val="left"/>
        <w:rPr>
          <w:rFonts w:ascii="Times New Roman" w:eastAsia="BatangChe" w:hAnsi="Times New Roman" w:cs="Times New Roman"/>
          <w:kern w:val="0"/>
          <w:sz w:val="24"/>
          <w:szCs w:val="24"/>
          <w:lang w:eastAsia="en-US"/>
        </w:rPr>
      </w:pPr>
      <w:bookmarkStart w:id="1" w:name="_Toc508968327"/>
      <w:r w:rsidRPr="00A161FB">
        <w:rPr>
          <w:rFonts w:ascii="Times New Roman" w:eastAsia="BatangChe" w:hAnsi="Times New Roman" w:cs="Times New Roman"/>
          <w:kern w:val="0"/>
          <w:sz w:val="24"/>
          <w:szCs w:val="24"/>
          <w:lang w:eastAsia="en-US"/>
        </w:rPr>
        <w:t>Issue C6 – Single AP4 notice for entry into the RR Appendix 30B List (under § 6.17) and Notification (under § 8.1)</w:t>
      </w:r>
      <w:bookmarkEnd w:id="1"/>
    </w:p>
    <w:p w:rsidR="00A161FB" w:rsidRPr="00A161FB" w:rsidRDefault="00A161FB" w:rsidP="00A161FB">
      <w:pPr>
        <w:widowControl/>
        <w:numPr>
          <w:ilvl w:val="0"/>
          <w:numId w:val="2"/>
        </w:numPr>
        <w:tabs>
          <w:tab w:val="left" w:pos="1134"/>
          <w:tab w:val="left" w:pos="1871"/>
          <w:tab w:val="left" w:pos="2268"/>
        </w:tabs>
        <w:wordWrap/>
        <w:overflowPunct w:val="0"/>
        <w:autoSpaceDE/>
        <w:autoSpaceDN/>
        <w:adjustRightInd w:val="0"/>
        <w:spacing w:before="120" w:after="0" w:line="240" w:lineRule="auto"/>
        <w:contextualSpacing/>
        <w:jc w:val="left"/>
        <w:textAlignment w:val="baseline"/>
        <w:rPr>
          <w:rFonts w:ascii="Times New Roman" w:eastAsia="BatangChe" w:hAnsi="Times New Roman" w:cs="Times New Roman"/>
          <w:kern w:val="0"/>
          <w:sz w:val="24"/>
          <w:szCs w:val="24"/>
          <w:lang w:val="en-NZ" w:eastAsia="en-US"/>
        </w:rPr>
      </w:pPr>
      <w:r w:rsidRPr="00A161FB">
        <w:rPr>
          <w:rFonts w:ascii="Times New Roman" w:eastAsia="BatangChe" w:hAnsi="Times New Roman" w:cs="Times New Roman"/>
          <w:kern w:val="0"/>
          <w:sz w:val="24"/>
          <w:szCs w:val="28"/>
        </w:rPr>
        <w:lastRenderedPageBreak/>
        <w:t xml:space="preserve">APT Members support the single method in the draft CPM text </w:t>
      </w:r>
      <w:r w:rsidRPr="00A161FB">
        <w:rPr>
          <w:rFonts w:ascii="Times New Roman" w:eastAsia="BatangChe" w:hAnsi="Times New Roman" w:cs="Times New Roman"/>
          <w:kern w:val="0"/>
          <w:sz w:val="24"/>
          <w:szCs w:val="28"/>
          <w:lang w:eastAsia="en-US"/>
        </w:rPr>
        <w:t xml:space="preserve">to allow a single submission to be treated both in respect of entry into the List under §6.17 </w:t>
      </w:r>
      <w:r w:rsidRPr="00A161FB">
        <w:rPr>
          <w:rFonts w:ascii="Times New Roman" w:eastAsia="BatangChe" w:hAnsi="Times New Roman" w:cs="Times New Roman"/>
          <w:noProof/>
          <w:kern w:val="0"/>
          <w:sz w:val="24"/>
          <w:szCs w:val="28"/>
          <w:lang w:eastAsia="en-US"/>
        </w:rPr>
        <w:t xml:space="preserve">and </w:t>
      </w:r>
      <w:r w:rsidRPr="00A161FB">
        <w:rPr>
          <w:rFonts w:ascii="Times New Roman" w:eastAsia="BatangChe" w:hAnsi="Times New Roman" w:cs="Times New Roman"/>
          <w:kern w:val="0"/>
          <w:sz w:val="24"/>
          <w:szCs w:val="28"/>
          <w:lang w:eastAsia="en-US"/>
        </w:rPr>
        <w:t xml:space="preserve">notification under §8.1 of RR Appendix </w:t>
      </w:r>
      <w:r w:rsidRPr="00A161FB">
        <w:rPr>
          <w:rFonts w:ascii="Times New Roman" w:eastAsia="BatangChe" w:hAnsi="Times New Roman" w:cs="Times New Roman"/>
          <w:b/>
          <w:kern w:val="0"/>
          <w:sz w:val="24"/>
          <w:szCs w:val="28"/>
          <w:lang w:eastAsia="en-US"/>
        </w:rPr>
        <w:t xml:space="preserve">30B </w:t>
      </w:r>
      <w:r w:rsidRPr="00A161FB">
        <w:rPr>
          <w:rFonts w:ascii="Times New Roman" w:eastAsia="BatangChe" w:hAnsi="Times New Roman" w:cs="Times New Roman"/>
          <w:kern w:val="0"/>
          <w:sz w:val="24"/>
          <w:szCs w:val="28"/>
          <w:lang w:eastAsia="en-US"/>
        </w:rPr>
        <w:t xml:space="preserve">to reduce </w:t>
      </w:r>
      <w:r w:rsidRPr="00A161FB">
        <w:rPr>
          <w:rFonts w:ascii="Times New Roman" w:eastAsia="BatangChe" w:hAnsi="Times New Roman" w:cs="Times New Roman"/>
          <w:noProof/>
          <w:kern w:val="0"/>
          <w:sz w:val="24"/>
          <w:szCs w:val="28"/>
          <w:lang w:eastAsia="en-US"/>
        </w:rPr>
        <w:t>workload</w:t>
      </w:r>
      <w:r w:rsidRPr="00A161FB">
        <w:rPr>
          <w:rFonts w:ascii="Times New Roman" w:eastAsia="BatangChe" w:hAnsi="Times New Roman" w:cs="Times New Roman"/>
          <w:kern w:val="0"/>
          <w:sz w:val="24"/>
          <w:szCs w:val="28"/>
          <w:lang w:eastAsia="en-US"/>
        </w:rPr>
        <w:t xml:space="preserve"> of both administration and the Bureau.</w:t>
      </w:r>
    </w:p>
    <w:p w:rsidR="00A161FB" w:rsidRPr="00A161FB" w:rsidRDefault="00A161FB" w:rsidP="00A161FB">
      <w:pPr>
        <w:widowControl/>
        <w:wordWrap/>
        <w:autoSpaceDE/>
        <w:autoSpaceDN/>
        <w:spacing w:before="120" w:after="0" w:line="240" w:lineRule="auto"/>
        <w:jc w:val="left"/>
        <w:rPr>
          <w:rFonts w:ascii="Times New Roman" w:eastAsia="Times New Roman" w:hAnsi="Times New Roman" w:cs="Times New Roman"/>
          <w:kern w:val="0"/>
          <w:sz w:val="24"/>
          <w:szCs w:val="28"/>
          <w:lang w:val="en-GB" w:eastAsia="en-US"/>
        </w:rPr>
      </w:pPr>
      <w:bookmarkStart w:id="2" w:name="_Toc508968351"/>
      <w:r w:rsidRPr="00A161FB">
        <w:rPr>
          <w:rFonts w:ascii="Times New Roman" w:eastAsia="Times New Roman" w:hAnsi="Times New Roman" w:cs="Times New Roman"/>
          <w:kern w:val="0"/>
          <w:sz w:val="24"/>
          <w:szCs w:val="20"/>
          <w:lang w:val="en-GB" w:eastAsia="en-US"/>
        </w:rPr>
        <w:t>Issue C7 – Harmonization of AP30B with AP30/30A on Possibility of Obtaining Agreement for a Specific Period</w:t>
      </w:r>
      <w:bookmarkEnd w:id="2"/>
    </w:p>
    <w:p w:rsidR="00C17A72" w:rsidRPr="004D7CC0" w:rsidRDefault="00A161FB" w:rsidP="00A161FB">
      <w:pPr>
        <w:rPr>
          <w:rFonts w:ascii="Times New Roman" w:hAnsi="Times New Roman" w:cs="Times New Roman"/>
          <w:sz w:val="24"/>
          <w:szCs w:val="24"/>
        </w:rPr>
      </w:pPr>
      <w:r w:rsidRPr="00A161FB">
        <w:rPr>
          <w:rFonts w:ascii="Times New Roman" w:eastAsia="Times New Roman" w:hAnsi="Times New Roman" w:cs="Times New Roman"/>
          <w:kern w:val="0"/>
          <w:sz w:val="24"/>
          <w:szCs w:val="20"/>
          <w:lang w:val="en-GB"/>
        </w:rPr>
        <w:t xml:space="preserve">APT Members </w:t>
      </w:r>
      <w:r w:rsidRPr="00A161FB">
        <w:rPr>
          <w:rFonts w:ascii="Times New Roman" w:eastAsia="Times New Roman" w:hAnsi="Times New Roman" w:cs="Times New Roman"/>
          <w:kern w:val="0"/>
          <w:sz w:val="24"/>
          <w:szCs w:val="28"/>
          <w:lang w:val="en-ID"/>
        </w:rPr>
        <w:t>support</w:t>
      </w:r>
      <w:r w:rsidRPr="00A161FB">
        <w:rPr>
          <w:rFonts w:ascii="Times New Roman" w:eastAsia="Times New Roman" w:hAnsi="Times New Roman" w:cs="Times New Roman"/>
          <w:kern w:val="0"/>
          <w:sz w:val="24"/>
          <w:szCs w:val="20"/>
          <w:lang w:val="en-GB"/>
        </w:rPr>
        <w:t xml:space="preserve"> the single method in the draft CPM text to </w:t>
      </w:r>
      <w:r w:rsidRPr="00A161FB">
        <w:rPr>
          <w:rFonts w:ascii="Times New Roman" w:eastAsia="Times New Roman" w:hAnsi="Times New Roman" w:cs="Times New Roman"/>
          <w:kern w:val="0"/>
          <w:sz w:val="24"/>
          <w:szCs w:val="20"/>
          <w:lang w:val="en-GB" w:eastAsia="en-US"/>
        </w:rPr>
        <w:t>add a new provision 6.15</w:t>
      </w:r>
      <w:r w:rsidRPr="00A161FB">
        <w:rPr>
          <w:rFonts w:ascii="Times New Roman" w:eastAsia="Times New Roman" w:hAnsi="Times New Roman" w:cs="Times New Roman"/>
          <w:i/>
          <w:iCs/>
          <w:kern w:val="0"/>
          <w:sz w:val="24"/>
          <w:szCs w:val="20"/>
          <w:lang w:val="en-GB" w:eastAsia="en-US"/>
        </w:rPr>
        <w:t>bis</w:t>
      </w:r>
      <w:r w:rsidRPr="00A161FB">
        <w:rPr>
          <w:rFonts w:ascii="Times New Roman" w:eastAsia="Times New Roman" w:hAnsi="Times New Roman" w:cs="Times New Roman"/>
          <w:kern w:val="0"/>
          <w:sz w:val="24"/>
          <w:szCs w:val="20"/>
          <w:lang w:val="en-GB" w:eastAsia="en-US"/>
        </w:rPr>
        <w:t xml:space="preserve"> to Article </w:t>
      </w:r>
      <w:r w:rsidRPr="00A161FB">
        <w:rPr>
          <w:rFonts w:ascii="Times New Roman" w:eastAsia="Times New Roman" w:hAnsi="Times New Roman" w:cs="Times New Roman"/>
          <w:bCs/>
          <w:kern w:val="0"/>
          <w:sz w:val="24"/>
          <w:szCs w:val="20"/>
          <w:lang w:val="en-GB" w:eastAsia="en-US"/>
        </w:rPr>
        <w:t>6</w:t>
      </w:r>
      <w:r w:rsidRPr="00A161FB">
        <w:rPr>
          <w:rFonts w:ascii="Times New Roman" w:eastAsia="Times New Roman" w:hAnsi="Times New Roman" w:cs="Times New Roman"/>
          <w:kern w:val="0"/>
          <w:sz w:val="24"/>
          <w:szCs w:val="20"/>
          <w:lang w:val="en-GB" w:eastAsia="en-US"/>
        </w:rPr>
        <w:t xml:space="preserve"> and a new provision §8.16</w:t>
      </w:r>
      <w:r w:rsidRPr="00A161FB">
        <w:rPr>
          <w:rFonts w:ascii="Times New Roman" w:eastAsia="Times New Roman" w:hAnsi="Times New Roman" w:cs="Times New Roman"/>
          <w:i/>
          <w:kern w:val="0"/>
          <w:sz w:val="24"/>
          <w:szCs w:val="20"/>
          <w:lang w:val="en-GB" w:eastAsia="en-US"/>
        </w:rPr>
        <w:t>bis</w:t>
      </w:r>
      <w:r w:rsidRPr="00A161FB">
        <w:rPr>
          <w:rFonts w:ascii="Times New Roman" w:eastAsia="Times New Roman" w:hAnsi="Times New Roman" w:cs="Times New Roman"/>
          <w:kern w:val="0"/>
          <w:sz w:val="24"/>
          <w:szCs w:val="20"/>
          <w:lang w:val="en-GB" w:eastAsia="en-US"/>
        </w:rPr>
        <w:t xml:space="preserve"> to Article </w:t>
      </w:r>
      <w:r w:rsidRPr="00A161FB">
        <w:rPr>
          <w:rFonts w:ascii="Times New Roman" w:eastAsia="Times New Roman" w:hAnsi="Times New Roman" w:cs="Times New Roman"/>
          <w:bCs/>
          <w:kern w:val="0"/>
          <w:sz w:val="24"/>
          <w:szCs w:val="20"/>
          <w:lang w:val="en-GB" w:eastAsia="en-US"/>
        </w:rPr>
        <w:t>8</w:t>
      </w:r>
      <w:r w:rsidRPr="00A161FB">
        <w:rPr>
          <w:rFonts w:ascii="Times New Roman" w:eastAsia="Times New Roman" w:hAnsi="Times New Roman" w:cs="Times New Roman"/>
          <w:kern w:val="0"/>
          <w:sz w:val="24"/>
          <w:szCs w:val="20"/>
          <w:lang w:val="en-GB" w:eastAsia="en-US"/>
        </w:rPr>
        <w:t xml:space="preserve"> of RR Appendix 30B in order to recognize the possibility of obtaining agreement from affected administrations for a specified period. It is also proposed to modify § 5.2.6 of Article </w:t>
      </w:r>
      <w:r w:rsidRPr="00A161FB">
        <w:rPr>
          <w:rFonts w:ascii="Times New Roman" w:eastAsia="Times New Roman" w:hAnsi="Times New Roman" w:cs="Times New Roman"/>
          <w:bCs/>
          <w:kern w:val="0"/>
          <w:sz w:val="24"/>
          <w:szCs w:val="20"/>
          <w:lang w:val="en-GB" w:eastAsia="en-US"/>
        </w:rPr>
        <w:t>5</w:t>
      </w:r>
      <w:r w:rsidRPr="00A161FB">
        <w:rPr>
          <w:rFonts w:ascii="Times New Roman" w:eastAsia="Times New Roman" w:hAnsi="Times New Roman" w:cs="Times New Roman"/>
          <w:kern w:val="0"/>
          <w:sz w:val="24"/>
          <w:szCs w:val="20"/>
          <w:lang w:val="en-GB" w:eastAsia="en-US"/>
        </w:rPr>
        <w:t xml:space="preserve"> of Appendix 30A to Radio Regulations.</w:t>
      </w: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Topics proposed by other regional Groups or ITU Members which are not included in no. 2 above</w:t>
      </w:r>
    </w:p>
    <w:tbl>
      <w:tblPr>
        <w:tblStyle w:val="TableGrid"/>
        <w:bidiVisual/>
        <w:tblW w:w="0" w:type="auto"/>
        <w:tblLook w:val="04A0"/>
      </w:tblPr>
      <w:tblGrid>
        <w:gridCol w:w="1563"/>
        <w:gridCol w:w="1566"/>
        <w:gridCol w:w="1564"/>
        <w:gridCol w:w="1564"/>
        <w:gridCol w:w="1565"/>
        <w:gridCol w:w="1564"/>
      </w:tblGrid>
      <w:tr w:rsidR="00935C7B" w:rsidTr="00A85A65">
        <w:tc>
          <w:tcPr>
            <w:tcW w:w="1596" w:type="dxa"/>
            <w:shd w:val="clear" w:color="auto" w:fill="FFFFFF" w:themeFill="background1"/>
          </w:tcPr>
          <w:p w:rsidR="00935C7B" w:rsidRPr="00A85A65" w:rsidRDefault="00935C7B" w:rsidP="00B57BD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RCC</w:t>
            </w:r>
          </w:p>
        </w:tc>
        <w:tc>
          <w:tcPr>
            <w:tcW w:w="1596" w:type="dxa"/>
            <w:shd w:val="clear" w:color="auto" w:fill="FFFFFF" w:themeFill="background1"/>
          </w:tcPr>
          <w:p w:rsidR="00935C7B" w:rsidRPr="00A85A65" w:rsidRDefault="00935C7B" w:rsidP="00B57BD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CITEL</w:t>
            </w:r>
          </w:p>
        </w:tc>
        <w:tc>
          <w:tcPr>
            <w:tcW w:w="1596" w:type="dxa"/>
            <w:shd w:val="clear" w:color="auto" w:fill="FFFFFF" w:themeFill="background1"/>
          </w:tcPr>
          <w:p w:rsidR="00935C7B" w:rsidRPr="00A85A65" w:rsidRDefault="00935C7B" w:rsidP="00B57BD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CEPT</w:t>
            </w:r>
          </w:p>
        </w:tc>
        <w:tc>
          <w:tcPr>
            <w:tcW w:w="1596" w:type="dxa"/>
            <w:shd w:val="clear" w:color="auto" w:fill="FFFFFF" w:themeFill="background1"/>
          </w:tcPr>
          <w:p w:rsidR="00935C7B" w:rsidRPr="00A85A65" w:rsidRDefault="00935C7B" w:rsidP="00B57BD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ATU</w:t>
            </w:r>
          </w:p>
        </w:tc>
        <w:tc>
          <w:tcPr>
            <w:tcW w:w="1596" w:type="dxa"/>
            <w:shd w:val="clear" w:color="auto" w:fill="FFFFFF" w:themeFill="background1"/>
          </w:tcPr>
          <w:p w:rsidR="00935C7B" w:rsidRPr="00A85A65" w:rsidRDefault="00935C7B" w:rsidP="00B57BD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ASMG</w:t>
            </w:r>
          </w:p>
        </w:tc>
        <w:tc>
          <w:tcPr>
            <w:tcW w:w="1596" w:type="dxa"/>
            <w:shd w:val="clear" w:color="auto" w:fill="FFFFFF" w:themeFill="background1"/>
          </w:tcPr>
          <w:p w:rsidR="00935C7B" w:rsidRPr="00A85A65" w:rsidRDefault="00935C7B" w:rsidP="00B57BDF">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APT</w:t>
            </w:r>
          </w:p>
        </w:tc>
      </w:tr>
      <w:tr w:rsidR="00935C7B" w:rsidRPr="00A85A65" w:rsidTr="00B57BDF">
        <w:tc>
          <w:tcPr>
            <w:tcW w:w="1596" w:type="dxa"/>
          </w:tcPr>
          <w:p w:rsidR="00935C7B" w:rsidRPr="00A85A65" w:rsidRDefault="00935C7B" w:rsidP="00B57BDF">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B57BDF">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B57BDF">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B57BDF">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B57BDF">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A85A65">
            <w:pPr>
              <w:rPr>
                <w:rFonts w:ascii="Times New Roman" w:hAnsi="Times New Roman" w:cs="Times New Roman"/>
                <w:sz w:val="22"/>
              </w:rPr>
            </w:pPr>
            <w:r w:rsidRPr="00A85A65">
              <w:rPr>
                <w:rFonts w:ascii="Times New Roman" w:hAnsi="Times New Roman" w:cs="Times New Roman"/>
                <w:sz w:val="22"/>
                <w:lang w:bidi="fa-IR"/>
              </w:rPr>
              <w:t>Support single</w:t>
            </w:r>
            <w:r w:rsidR="00A85A65" w:rsidRPr="00A85A65">
              <w:rPr>
                <w:rFonts w:ascii="Times New Roman" w:hAnsi="Times New Roman" w:cs="Times New Roman"/>
                <w:sz w:val="22"/>
                <w:lang w:bidi="fa-IR"/>
              </w:rPr>
              <w:t xml:space="preserve"> </w:t>
            </w:r>
            <w:r w:rsidRPr="00A85A65">
              <w:rPr>
                <w:rFonts w:ascii="Times New Roman" w:hAnsi="Times New Roman" w:cs="Times New Roman"/>
                <w:sz w:val="22"/>
                <w:lang w:bidi="fa-IR"/>
              </w:rPr>
              <w:t>method</w:t>
            </w:r>
          </w:p>
        </w:tc>
      </w:tr>
    </w:tbl>
    <w:p w:rsidR="00935C7B" w:rsidRPr="00935C7B" w:rsidRDefault="00935C7B" w:rsidP="00935C7B">
      <w:pPr>
        <w:rPr>
          <w:rFonts w:ascii="Times New Roman" w:hAnsi="Times New Roman" w:cs="Times New Roman"/>
          <w:b/>
          <w:bCs/>
          <w:sz w:val="24"/>
          <w:szCs w:val="24"/>
        </w:rPr>
      </w:pP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Progress of discussion during WRC-19 on the Agenda Item</w:t>
      </w:r>
    </w:p>
    <w:p w:rsidR="003A7C93" w:rsidRDefault="00682A88"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hAnsi="Times New Roman" w:cs="Times New Roman"/>
          <w:sz w:val="24"/>
          <w:szCs w:val="28"/>
          <w:lang w:eastAsia="zh-CN"/>
        </w:rPr>
      </w:pPr>
      <w:r>
        <w:rPr>
          <w:rFonts w:ascii="Times New Roman" w:hAnsi="Times New Roman" w:cs="Times New Roman"/>
          <w:sz w:val="24"/>
          <w:szCs w:val="28"/>
          <w:lang w:eastAsia="zh-CN"/>
        </w:rPr>
        <w:t>This sub-Issue(C5) along with other sub-issues C1, C2, C3, C7 was approved in the COM 5 and Plenary levels which is exactly is aligned with the APT common proposal (See Doc. 169).</w:t>
      </w:r>
    </w:p>
    <w:p w:rsidR="00682A88" w:rsidRDefault="00682A88"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Issue C6 has been approved at COM-5 with the text prepared by BR.</w:t>
      </w:r>
    </w:p>
    <w:p w:rsidR="00235A7F" w:rsidRPr="00EB66D5" w:rsidRDefault="00235A7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p>
    <w:p w:rsidR="00C17A72" w:rsidRPr="00B940A3" w:rsidRDefault="00C17A72" w:rsidP="00B940A3">
      <w:pPr>
        <w:pStyle w:val="ListParagraph"/>
        <w:numPr>
          <w:ilvl w:val="0"/>
          <w:numId w:val="1"/>
        </w:numPr>
        <w:ind w:leftChars="0" w:left="360"/>
        <w:rPr>
          <w:b/>
          <w:bCs/>
        </w:rPr>
      </w:pPr>
      <w:r w:rsidRPr="00123A92">
        <w:rPr>
          <w:rFonts w:ascii="Times New Roman" w:hAnsi="Times New Roman" w:cs="Times New Roman"/>
          <w:b/>
          <w:bCs/>
          <w:sz w:val="24"/>
          <w:szCs w:val="24"/>
        </w:rPr>
        <w:t>Issues w</w:t>
      </w:r>
      <w:r w:rsidRPr="00B940A3">
        <w:rPr>
          <w:rFonts w:ascii="Times New Roman" w:hAnsi="Times New Roman" w:cs="Times New Roman"/>
          <w:b/>
          <w:bCs/>
          <w:sz w:val="24"/>
          <w:szCs w:val="24"/>
        </w:rPr>
        <w:t>hich require discussion at APT Coordination Meetings and seek guidance thereafter</w:t>
      </w:r>
    </w:p>
    <w:p w:rsidR="00297C6F" w:rsidRDefault="00297C6F" w:rsidP="00297C6F">
      <w:pPr>
        <w:rPr>
          <w:rFonts w:ascii="Times New Roman" w:hAnsi="Times New Roman" w:cs="Times New Roman"/>
          <w:sz w:val="24"/>
          <w:szCs w:val="24"/>
        </w:rPr>
      </w:pPr>
      <w:proofErr w:type="gramStart"/>
      <w:r w:rsidRPr="00297C6F">
        <w:rPr>
          <w:rFonts w:ascii="Times New Roman" w:hAnsi="Times New Roman" w:cs="Times New Roman"/>
          <w:sz w:val="24"/>
          <w:szCs w:val="24"/>
        </w:rPr>
        <w:t>None.</w:t>
      </w:r>
      <w:proofErr w:type="gramEnd"/>
      <w:r w:rsidRPr="00297C6F">
        <w:rPr>
          <w:rFonts w:ascii="Times New Roman" w:hAnsi="Times New Roman" w:cs="Times New Roman"/>
          <w:sz w:val="24"/>
          <w:szCs w:val="24"/>
        </w:rPr>
        <w:t xml:space="preserve"> </w:t>
      </w:r>
    </w:p>
    <w:p w:rsidR="00810899" w:rsidRPr="00810899" w:rsidRDefault="00810899" w:rsidP="00297C6F">
      <w:pPr>
        <w:rPr>
          <w:rFonts w:ascii="Times New Roman" w:hAnsi="Times New Roman" w:cs="Times New Roman"/>
          <w:i/>
          <w:iCs/>
          <w:sz w:val="24"/>
          <w:szCs w:val="24"/>
        </w:rPr>
      </w:pPr>
      <w:r w:rsidRPr="00810899">
        <w:rPr>
          <w:rFonts w:ascii="Times New Roman" w:hAnsi="Times New Roman" w:cs="Times New Roman"/>
          <w:i/>
          <w:sz w:val="24"/>
          <w:szCs w:val="24"/>
        </w:rPr>
        <w:t>Note: Coordinators are encouraged to conduct informal consultation with interested APT Members on the issues/topics under no. 3 and inform the outcomes of consultation to the Coordination Meeting</w:t>
      </w:r>
      <w:r w:rsidRPr="00810899">
        <w:rPr>
          <w:rFonts w:ascii="Times New Roman" w:hAnsi="Times New Roman" w:cs="Times New Roman"/>
          <w:sz w:val="24"/>
          <w:szCs w:val="24"/>
        </w:rPr>
        <w:t>.</w:t>
      </w:r>
      <w:r w:rsidRPr="00810899">
        <w:rPr>
          <w:rFonts w:ascii="Times New Roman" w:hAnsi="Times New Roman" w:cs="Times New Roman"/>
          <w:i/>
          <w:iCs/>
          <w:sz w:val="24"/>
          <w:szCs w:val="24"/>
        </w:rPr>
        <w:t xml:space="preserve"> Coordinators can also organize coordination meetings on the respective agenda items whenever necessary.   </w:t>
      </w:r>
    </w:p>
    <w:p w:rsidR="002E407B" w:rsidRDefault="002E407B" w:rsidP="00810899"/>
    <w:sectPr w:rsidR="002E407B" w:rsidSect="00A85A65">
      <w:pgSz w:w="11906" w:h="16838"/>
      <w:pgMar w:top="1296" w:right="1296" w:bottom="1152" w:left="1440" w:header="850" w:footer="994"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7D020D74"/>
    <w:multiLevelType w:val="hybridMultilevel"/>
    <w:tmpl w:val="654CB31E"/>
    <w:lvl w:ilvl="0" w:tplc="639CED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7A72"/>
    <w:rsid w:val="00235A7F"/>
    <w:rsid w:val="00297C6F"/>
    <w:rsid w:val="002A1BA2"/>
    <w:rsid w:val="002E407B"/>
    <w:rsid w:val="003628DF"/>
    <w:rsid w:val="003713F5"/>
    <w:rsid w:val="003A7C93"/>
    <w:rsid w:val="004112F1"/>
    <w:rsid w:val="00584C13"/>
    <w:rsid w:val="0065088C"/>
    <w:rsid w:val="00682A88"/>
    <w:rsid w:val="006E3574"/>
    <w:rsid w:val="00741A29"/>
    <w:rsid w:val="00810899"/>
    <w:rsid w:val="008B5ABB"/>
    <w:rsid w:val="00922AD7"/>
    <w:rsid w:val="0093083E"/>
    <w:rsid w:val="00935C7B"/>
    <w:rsid w:val="00A161FB"/>
    <w:rsid w:val="00A85A65"/>
    <w:rsid w:val="00B57BDF"/>
    <w:rsid w:val="00B940A3"/>
    <w:rsid w:val="00BA5F0C"/>
    <w:rsid w:val="00BC3EEF"/>
    <w:rsid w:val="00C17A72"/>
    <w:rsid w:val="00C76150"/>
    <w:rsid w:val="00CC12BD"/>
    <w:rsid w:val="00DC1C9B"/>
    <w:rsid w:val="00EB6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72"/>
    <w:pPr>
      <w:widowControl w:val="0"/>
      <w:wordWrap w:val="0"/>
      <w:autoSpaceDE w:val="0"/>
      <w:autoSpaceDN w:val="0"/>
      <w:spacing w:after="160" w:line="259" w:lineRule="auto"/>
      <w:jc w:val="both"/>
    </w:pPr>
    <w:rPr>
      <w:rFonts w:eastAsiaTheme="minorEastAsia"/>
      <w:kern w:val="2"/>
      <w:sz w:val="20"/>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72"/>
    <w:pPr>
      <w:ind w:leftChars="400" w:left="800"/>
    </w:pPr>
  </w:style>
  <w:style w:type="paragraph" w:customStyle="1" w:styleId="ECCTabletext">
    <w:name w:val="ECC Table text"/>
    <w:basedOn w:val="Normal"/>
    <w:qFormat/>
    <w:rsid w:val="00C17A72"/>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C17A72"/>
    <w:pPr>
      <w:spacing w:before="240" w:after="60" w:line="240" w:lineRule="auto"/>
      <w:jc w:val="center"/>
    </w:pPr>
    <w:rPr>
      <w:rFonts w:ascii="Arial" w:eastAsia="Calibri" w:hAnsi="Arial" w:cs="Times New Roman"/>
      <w:bCs/>
      <w:color w:val="FFFFFF" w:themeColor="background1"/>
      <w:sz w:val="20"/>
      <w:szCs w:val="20"/>
      <w:lang w:val="en-GB" w:eastAsia="de-DE" w:bidi="ar-SA"/>
    </w:rPr>
  </w:style>
  <w:style w:type="table" w:customStyle="1" w:styleId="ECCTable-redheader">
    <w:name w:val="ECC Table - red header"/>
    <w:basedOn w:val="TableNormal"/>
    <w:uiPriority w:val="99"/>
    <w:rsid w:val="00C17A72"/>
    <w:pPr>
      <w:spacing w:before="60" w:after="60" w:line="240" w:lineRule="auto"/>
      <w:jc w:val="both"/>
    </w:pPr>
    <w:rPr>
      <w:rFonts w:ascii="Arial" w:eastAsia="Calibri" w:hAnsi="Arial" w:cs="Times New Roman"/>
      <w:sz w:val="20"/>
      <w:szCs w:val="20"/>
      <w:lang w:val="de-DE" w:eastAsia="de-DE" w:bidi="ar-SA"/>
    </w:rPr>
    <w:tblPr>
      <w:tblStyleRowBandSize w:val="1"/>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C17A72"/>
    <w:rPr>
      <w:b/>
      <w:bCs/>
    </w:rPr>
  </w:style>
  <w:style w:type="table" w:customStyle="1" w:styleId="TableGrid1">
    <w:name w:val="Table Grid1"/>
    <w:basedOn w:val="TableNormal"/>
    <w:uiPriority w:val="59"/>
    <w:rsid w:val="00C17A72"/>
    <w:pPr>
      <w:spacing w:after="0" w:line="240" w:lineRule="auto"/>
    </w:pPr>
    <w:rPr>
      <w:rFonts w:eastAsia="Calibri"/>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35C7B"/>
    <w:pPr>
      <w:spacing w:after="0" w:line="240" w:lineRule="auto"/>
      <w:jc w:val="both"/>
    </w:pPr>
    <w:rPr>
      <w:rFonts w:eastAsiaTheme="minorEastAsia"/>
      <w:kern w:val="2"/>
      <w:sz w:val="20"/>
      <w:lang w:eastAsia="ko-K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0BE0-01B7-4ED1-A79C-E6D8630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f_rezaee</dc:creator>
  <cp:lastModifiedBy>HTQT</cp:lastModifiedBy>
  <cp:revision>2</cp:revision>
  <dcterms:created xsi:type="dcterms:W3CDTF">2019-11-13T09:06:00Z</dcterms:created>
  <dcterms:modified xsi:type="dcterms:W3CDTF">2019-11-13T09:06:00Z</dcterms:modified>
</cp:coreProperties>
</file>