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67" w:rsidRPr="005755E6" w:rsidRDefault="00CB5F67" w:rsidP="00CB5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</w:t>
      </w:r>
      <w:r w:rsidRPr="005755E6">
        <w:rPr>
          <w:rFonts w:ascii="Times New Roman" w:hAnsi="Times New Roman" w:cs="Times New Roman"/>
          <w:b/>
          <w:sz w:val="28"/>
          <w:szCs w:val="28"/>
        </w:rPr>
        <w:t>19</w:t>
      </w:r>
    </w:p>
    <w:p w:rsidR="00CB5F67" w:rsidRDefault="00CB5F67" w:rsidP="00CB5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CB5F67" w:rsidRPr="004D7CC0" w:rsidRDefault="00CB5F67" w:rsidP="00583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AD0BD9">
        <w:rPr>
          <w:rFonts w:ascii="Times New Roman" w:hAnsi="Times New Roman" w:cs="Times New Roman"/>
          <w:sz w:val="24"/>
          <w:szCs w:val="24"/>
        </w:rPr>
        <w:t>1</w:t>
      </w:r>
      <w:r w:rsidR="00583C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19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br/>
      </w:r>
      <w:r w:rsidR="00583CAF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CB5F67" w:rsidRDefault="00CB5F67" w:rsidP="00AA3EFE">
      <w:pPr>
        <w:widowControl w:val="0"/>
        <w:wordWrap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EFE" w:rsidRDefault="00AA3EF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>Agenda Item</w:t>
      </w:r>
      <w:r>
        <w:rPr>
          <w:szCs w:val="24"/>
        </w:rPr>
        <w:t xml:space="preserve"> 9.1(Issue 9.1.1)</w:t>
      </w:r>
    </w:p>
    <w:p w:rsidR="00AA3EFE" w:rsidRPr="00265951" w:rsidRDefault="00AA3EFE" w:rsidP="00AA3EFE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AA3EFE" w:rsidRPr="002C7B3B" w:rsidRDefault="00AA3EFE" w:rsidP="00AA3EFE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</w:r>
      <w:proofErr w:type="gramStart"/>
      <w:r w:rsidRPr="002C7B3B">
        <w:rPr>
          <w:i/>
          <w:iCs/>
          <w:lang w:val="en-US"/>
        </w:rPr>
        <w:t>on</w:t>
      </w:r>
      <w:proofErr w:type="gramEnd"/>
      <w:r w:rsidRPr="002C7B3B">
        <w:rPr>
          <w:i/>
          <w:iCs/>
          <w:lang w:val="en-US"/>
        </w:rPr>
        <w:t xml:space="preserve"> the activities of the Radiocommunication Sector since WRC-15;</w:t>
      </w:r>
    </w:p>
    <w:p w:rsidR="00AA3EFE" w:rsidRPr="00265951" w:rsidRDefault="00AA3EFE" w:rsidP="00AA3EFE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AA3EFE" w:rsidRPr="002C7B3B" w:rsidRDefault="00AA3EFE" w:rsidP="00AA3EFE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C7B3B">
        <w:rPr>
          <w:b/>
          <w:bCs/>
        </w:rPr>
        <w:t>Resolution 212 (Rev.WRC-15)</w:t>
      </w:r>
      <w:bookmarkEnd w:id="0"/>
      <w:r>
        <w:rPr>
          <w:b/>
          <w:bCs/>
        </w:rPr>
        <w:t xml:space="preserve">: </w:t>
      </w:r>
      <w:r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762AE" w:rsidRDefault="004762AE" w:rsidP="00AA3EFE">
      <w:pPr>
        <w:pStyle w:val="ListParagraph"/>
      </w:pPr>
    </w:p>
    <w:p w:rsidR="004762AE" w:rsidRPr="00D6720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D6720E">
        <w:rPr>
          <w:szCs w:val="24"/>
        </w:rPr>
        <w:t xml:space="preserve">APT </w:t>
      </w:r>
      <w:r w:rsidRPr="00AA3EFE">
        <w:rPr>
          <w:szCs w:val="24"/>
        </w:rPr>
        <w:t>Common</w:t>
      </w:r>
      <w:r w:rsidRPr="00D6720E">
        <w:rPr>
          <w:szCs w:val="24"/>
        </w:rPr>
        <w:t xml:space="preserve"> Proposals and APT Views for WRC-19 (Which has been submitted to WRC-19)</w:t>
      </w:r>
    </w:p>
    <w:p w:rsidR="00B34D90" w:rsidRPr="00D6720E" w:rsidRDefault="00B34D90" w:rsidP="00C56CEF">
      <w:pPr>
        <w:pStyle w:val="Note"/>
        <w:spacing w:after="120"/>
        <w:ind w:left="403"/>
        <w:rPr>
          <w:lang w:val="en-US"/>
        </w:rPr>
      </w:pPr>
      <w:r w:rsidRPr="00D6720E">
        <w:rPr>
          <w:lang w:val="en-US"/>
        </w:rPr>
        <w:t>None</w:t>
      </w:r>
    </w:p>
    <w:p w:rsidR="00FC396F" w:rsidRDefault="00FC396F" w:rsidP="00FC396F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Pr="00616B39" w:rsidRDefault="002D5AD6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 xml:space="preserve">Topics proposed by other regional Groups or ITU Members which are not included in </w:t>
      </w:r>
      <w:r>
        <w:rPr>
          <w:szCs w:val="24"/>
        </w:rPr>
        <w:t>no. 2 above</w:t>
      </w:r>
    </w:p>
    <w:p w:rsidR="00616B39" w:rsidRDefault="00616B3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616B39">
        <w:rPr>
          <w:lang w:val="en-US"/>
        </w:rPr>
        <w:t>There are 51 proposals on WRC-19 PMS for MOD, NOC, SUP, Others</w:t>
      </w:r>
    </w:p>
    <w:p w:rsidR="00CC3FD9" w:rsidRDefault="00CC3FD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CC3FD9">
        <w:rPr>
          <w:lang w:val="en-US"/>
        </w:rPr>
        <w:t>4A Terms of reference (DT17) w</w:t>
      </w:r>
      <w:r>
        <w:rPr>
          <w:lang w:val="en-US"/>
        </w:rPr>
        <w:t>ere</w:t>
      </w:r>
      <w:r w:rsidRPr="00CC3FD9">
        <w:rPr>
          <w:lang w:val="en-US"/>
        </w:rPr>
        <w:t xml:space="preserve"> criticized by some administration on scope of SWG4A</w:t>
      </w:r>
      <w:r>
        <w:rPr>
          <w:lang w:val="en-US"/>
        </w:rPr>
        <w:t>2</w:t>
      </w:r>
      <w:r w:rsidRPr="00CC3FD9">
        <w:rPr>
          <w:lang w:val="en-US"/>
        </w:rPr>
        <w:t xml:space="preserve"> that should not go to change Radio Regulations considering restriction of ITU-R studies to technical and operation measures (not to regulatory) in Resolution 212 (Rev.WRC-15)</w:t>
      </w:r>
    </w:p>
    <w:p w:rsidR="00A252B7" w:rsidRDefault="00A252B7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A252B7">
        <w:rPr>
          <w:lang w:val="en-US"/>
        </w:rPr>
        <w:t xml:space="preserve">As summarized in CPM text, there are two divergent </w:t>
      </w:r>
      <w:r>
        <w:rPr>
          <w:lang w:val="en-US"/>
        </w:rPr>
        <w:t xml:space="preserve">Views </w:t>
      </w:r>
      <w:r w:rsidRPr="00A252B7">
        <w:rPr>
          <w:lang w:val="en-US"/>
        </w:rPr>
        <w:t xml:space="preserve">(View 1. Change the RR (MOD Res.212, MOD APP.7, </w:t>
      </w:r>
      <w:proofErr w:type="gramStart"/>
      <w:r w:rsidRPr="00A252B7">
        <w:rPr>
          <w:lang w:val="en-US"/>
        </w:rPr>
        <w:t>MOD</w:t>
      </w:r>
      <w:proofErr w:type="gramEnd"/>
      <w:r w:rsidRPr="00A252B7">
        <w:rPr>
          <w:lang w:val="en-US"/>
        </w:rPr>
        <w:t xml:space="preserve"> App.5) and, View 2. NOC), there are still two divergent views </w:t>
      </w:r>
      <w:r>
        <w:rPr>
          <w:lang w:val="en-US"/>
        </w:rPr>
        <w:t>among administrations.</w:t>
      </w:r>
    </w:p>
    <w:p w:rsidR="00A37156" w:rsidRDefault="00A37156" w:rsidP="00A37156">
      <w:pPr>
        <w:pStyle w:val="Note"/>
        <w:tabs>
          <w:tab w:val="clear" w:pos="1134"/>
        </w:tabs>
        <w:spacing w:after="120"/>
        <w:ind w:left="36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 xml:space="preserve">Progress of discussion </w:t>
      </w:r>
      <w:r w:rsidR="002D5AD6" w:rsidRPr="00AC461C">
        <w:rPr>
          <w:szCs w:val="24"/>
        </w:rPr>
        <w:t xml:space="preserve">during </w:t>
      </w:r>
      <w:r w:rsidR="002D5AD6">
        <w:rPr>
          <w:szCs w:val="24"/>
        </w:rPr>
        <w:t>WRC</w:t>
      </w:r>
      <w:r w:rsidR="002D5AD6" w:rsidRPr="00AC461C">
        <w:rPr>
          <w:szCs w:val="24"/>
        </w:rPr>
        <w:t>19 on the Agenda Item</w:t>
      </w:r>
    </w:p>
    <w:p w:rsidR="007F23B0" w:rsidRDefault="007F23B0" w:rsidP="007F23B0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 xml:space="preserve">BR legal opinion acquired on relevance of the </w:t>
      </w:r>
      <w:r w:rsidRPr="00124C73">
        <w:rPr>
          <w:lang w:val="en-US"/>
        </w:rPr>
        <w:t xml:space="preserve">addition of the name of the Paraguay </w:t>
      </w:r>
      <w:r>
        <w:rPr>
          <w:lang w:val="en-US"/>
        </w:rPr>
        <w:t xml:space="preserve">to the No. 5.389B to this agenda item. The BR answer was YES and it is related based on Resolution </w:t>
      </w:r>
      <w:r w:rsidRPr="007F23B0">
        <w:rPr>
          <w:b/>
          <w:bCs/>
          <w:lang w:val="en-US"/>
        </w:rPr>
        <w:t xml:space="preserve">26 </w:t>
      </w:r>
      <w:r w:rsidRPr="00163A94">
        <w:rPr>
          <w:b/>
          <w:bCs/>
        </w:rPr>
        <w:t>(Rev.WRC-07)</w:t>
      </w:r>
    </w:p>
    <w:p w:rsidR="00124C73" w:rsidRDefault="00116ADF" w:rsidP="00116ADF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>However, t</w:t>
      </w:r>
      <w:r w:rsidR="00124C73" w:rsidRPr="00124C73">
        <w:rPr>
          <w:lang w:val="en-US"/>
        </w:rPr>
        <w:t xml:space="preserve">he meeting is still in doubt that addition of the name of the Paraguay </w:t>
      </w:r>
      <w:r w:rsidR="00124C73">
        <w:rPr>
          <w:lang w:val="en-US"/>
        </w:rPr>
        <w:t>to the No. 5.389B is whether in the scope of this agenda item</w:t>
      </w:r>
    </w:p>
    <w:p w:rsidR="001633D8" w:rsidRPr="00583CAF" w:rsidRDefault="00DF74F8" w:rsidP="00583CAF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DF74F8">
        <w:rPr>
          <w:lang w:val="en-US"/>
        </w:rPr>
        <w:t>Based on consultation of DG9.1.1 chair with WG4A</w:t>
      </w:r>
      <w:r>
        <w:rPr>
          <w:lang w:val="en-US"/>
        </w:rPr>
        <w:t xml:space="preserve"> chair</w:t>
      </w:r>
      <w:r w:rsidRPr="00DF74F8">
        <w:rPr>
          <w:lang w:val="en-US"/>
        </w:rPr>
        <w:t xml:space="preserve">, modification </w:t>
      </w:r>
      <w:r>
        <w:rPr>
          <w:lang w:val="en-US"/>
        </w:rPr>
        <w:t xml:space="preserve">of Radio Regulations </w:t>
      </w:r>
      <w:r w:rsidRPr="00973309">
        <w:rPr>
          <w:u w:val="single"/>
          <w:lang w:val="en-US"/>
        </w:rPr>
        <w:t>restricted</w:t>
      </w:r>
      <w:r w:rsidRPr="00DF74F8">
        <w:rPr>
          <w:lang w:val="en-US"/>
        </w:rPr>
        <w:t xml:space="preserve"> to the </w:t>
      </w:r>
      <w:r>
        <w:rPr>
          <w:lang w:val="en-US"/>
        </w:rPr>
        <w:t xml:space="preserve">modification of </w:t>
      </w:r>
      <w:r w:rsidRPr="00DF74F8">
        <w:rPr>
          <w:lang w:val="en-US"/>
        </w:rPr>
        <w:t xml:space="preserve">Resolution </w:t>
      </w:r>
      <w:r w:rsidRPr="00DF74F8">
        <w:rPr>
          <w:b/>
          <w:bCs/>
          <w:lang w:val="en-US"/>
        </w:rPr>
        <w:t>212</w:t>
      </w:r>
      <w:r w:rsidRPr="00DF74F8">
        <w:rPr>
          <w:lang w:val="en-US"/>
        </w:rPr>
        <w:t xml:space="preserve"> only (N</w:t>
      </w:r>
      <w:r>
        <w:rPr>
          <w:lang w:val="en-US"/>
        </w:rPr>
        <w:t>OC</w:t>
      </w:r>
      <w:r w:rsidRPr="00DF74F8">
        <w:rPr>
          <w:lang w:val="en-US"/>
        </w:rPr>
        <w:t xml:space="preserve"> </w:t>
      </w:r>
      <w:r>
        <w:rPr>
          <w:lang w:val="en-US"/>
        </w:rPr>
        <w:t xml:space="preserve">RR </w:t>
      </w:r>
      <w:r w:rsidRPr="00DF74F8">
        <w:rPr>
          <w:lang w:val="en-US"/>
        </w:rPr>
        <w:t xml:space="preserve">Appendices </w:t>
      </w:r>
      <w:r w:rsidRPr="00DF74F8">
        <w:rPr>
          <w:b/>
          <w:bCs/>
          <w:lang w:val="en-US"/>
        </w:rPr>
        <w:t>5</w:t>
      </w:r>
      <w:r w:rsidRPr="00DF74F8">
        <w:rPr>
          <w:lang w:val="en-US"/>
        </w:rPr>
        <w:t xml:space="preserve"> and </w:t>
      </w:r>
      <w:r w:rsidRPr="00DF74F8">
        <w:rPr>
          <w:b/>
          <w:bCs/>
          <w:lang w:val="en-US"/>
        </w:rPr>
        <w:t>7</w:t>
      </w:r>
      <w:r w:rsidRPr="00DF74F8">
        <w:rPr>
          <w:lang w:val="en-US"/>
        </w:rPr>
        <w:t>)</w:t>
      </w:r>
    </w:p>
    <w:p w:rsidR="00433C10" w:rsidRDefault="00433C10" w:rsidP="00433C10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>Issues which requires discussions at APT Coordination Meetings and seek guidance thereafte</w:t>
      </w:r>
      <w:r w:rsidR="008B092C">
        <w:rPr>
          <w:szCs w:val="24"/>
        </w:rPr>
        <w:t>r</w:t>
      </w:r>
    </w:p>
    <w:p w:rsidR="00FC396F" w:rsidRPr="00204DDE" w:rsidRDefault="00583CAF" w:rsidP="003F5550">
      <w:pPr>
        <w:pStyle w:val="Note"/>
        <w:numPr>
          <w:ilvl w:val="0"/>
          <w:numId w:val="4"/>
        </w:numPr>
        <w:tabs>
          <w:tab w:val="clear" w:pos="1134"/>
        </w:tabs>
        <w:spacing w:after="120"/>
        <w:ind w:left="630"/>
        <w:rPr>
          <w:rFonts w:asciiTheme="majorBidi" w:hAnsiTheme="majorBidi" w:cstheme="majorBidi"/>
          <w:szCs w:val="24"/>
        </w:rPr>
      </w:pPr>
      <w:r>
        <w:rPr>
          <w:lang w:val="en-US"/>
        </w:rPr>
        <w:t>Work on this agenda item (9.1(issue 9.1.1) finished after fourteen official and several offline SWG 4A2 meetings. The output</w:t>
      </w:r>
      <w:r>
        <w:rPr>
          <w:lang w:val="en-US"/>
        </w:rPr>
        <w:t xml:space="preserve"> documents</w:t>
      </w:r>
      <w:r>
        <w:rPr>
          <w:lang w:val="en-US"/>
        </w:rPr>
        <w:t xml:space="preserve"> </w:t>
      </w:r>
      <w:hyperlink r:id="rId6" w:history="1">
        <w:r w:rsidRPr="007C1632">
          <w:rPr>
            <w:rStyle w:val="Hyperlink"/>
          </w:rPr>
          <w:t>DT/1</w:t>
        </w:r>
        <w:r w:rsidRPr="007C1632">
          <w:rPr>
            <w:rStyle w:val="Hyperlink"/>
          </w:rPr>
          <w:t>3</w:t>
        </w:r>
        <w:r w:rsidRPr="007C1632">
          <w:rPr>
            <w:rStyle w:val="Hyperlink"/>
          </w:rPr>
          <w:t>0</w:t>
        </w:r>
      </w:hyperlink>
      <w:r>
        <w:rPr>
          <w:lang w:val="en-US"/>
        </w:rPr>
        <w:t xml:space="preserve"> </w:t>
      </w:r>
      <w:r>
        <w:rPr>
          <w:lang w:val="en-US"/>
        </w:rPr>
        <w:t xml:space="preserve">and </w:t>
      </w:r>
      <w:hyperlink r:id="rId7" w:history="1">
        <w:r w:rsidRPr="00F34A0A">
          <w:rPr>
            <w:rStyle w:val="Hyperlink"/>
          </w:rPr>
          <w:t>DT/</w:t>
        </w:r>
        <w:r>
          <w:rPr>
            <w:rStyle w:val="Hyperlink"/>
          </w:rPr>
          <w:t>109</w:t>
        </w:r>
      </w:hyperlink>
      <w:r>
        <w:rPr>
          <w:lang w:val="en-US"/>
        </w:rPr>
        <w:t xml:space="preserve"> </w:t>
      </w:r>
      <w:r>
        <w:rPr>
          <w:lang w:val="en-US"/>
        </w:rPr>
        <w:t>of SWG 4A2 approved in WG 4A meeting</w:t>
      </w:r>
      <w:r w:rsidR="003F5550">
        <w:rPr>
          <w:lang w:val="en-US"/>
        </w:rPr>
        <w:t>,</w:t>
      </w:r>
      <w:r>
        <w:rPr>
          <w:lang w:val="en-US"/>
        </w:rPr>
        <w:t xml:space="preserve"> in </w:t>
      </w:r>
      <w:r w:rsidR="003F5550">
        <w:rPr>
          <w:lang w:val="en-US"/>
        </w:rPr>
        <w:t xml:space="preserve">the </w:t>
      </w:r>
      <w:r>
        <w:rPr>
          <w:lang w:val="en-US"/>
        </w:rPr>
        <w:t xml:space="preserve">second time-slot in </w:t>
      </w:r>
      <w:r w:rsidR="003F5550">
        <w:rPr>
          <w:lang w:val="en-US"/>
        </w:rPr>
        <w:t xml:space="preserve">the </w:t>
      </w:r>
      <w:r>
        <w:rPr>
          <w:lang w:val="en-US"/>
        </w:rPr>
        <w:t>room CAPITAL (CAPITAL) today (14.11.2019).</w:t>
      </w:r>
      <w:r>
        <w:rPr>
          <w:lang w:val="en-US"/>
        </w:rPr>
        <w:t xml:space="preserve"> In glance, the WRC Resolution </w:t>
      </w:r>
      <w:r w:rsidRPr="003F5550">
        <w:rPr>
          <w:b/>
          <w:bCs/>
          <w:lang w:val="en-US"/>
        </w:rPr>
        <w:t>212</w:t>
      </w:r>
      <w:r>
        <w:rPr>
          <w:lang w:val="en-US"/>
        </w:rPr>
        <w:t xml:space="preserve"> (</w:t>
      </w:r>
      <w:r w:rsidRPr="003F5550">
        <w:rPr>
          <w:b/>
          <w:bCs/>
          <w:lang w:val="en-US"/>
        </w:rPr>
        <w:t>Rev. 2015</w:t>
      </w:r>
      <w:r>
        <w:rPr>
          <w:lang w:val="en-US"/>
        </w:rPr>
        <w:t xml:space="preserve">) </w:t>
      </w:r>
      <w:r w:rsidR="003F5550">
        <w:rPr>
          <w:lang w:val="en-US"/>
        </w:rPr>
        <w:t xml:space="preserve">was </w:t>
      </w:r>
      <w:r>
        <w:rPr>
          <w:lang w:val="en-US"/>
        </w:rPr>
        <w:t xml:space="preserve">modified </w:t>
      </w:r>
      <w:r w:rsidR="003F5550">
        <w:rPr>
          <w:lang w:val="en-US"/>
        </w:rPr>
        <w:t xml:space="preserve">by document </w:t>
      </w:r>
      <w:hyperlink r:id="rId8" w:history="1">
        <w:r w:rsidR="003F5550" w:rsidRPr="007C1632">
          <w:rPr>
            <w:rStyle w:val="Hyperlink"/>
          </w:rPr>
          <w:t>DT/130</w:t>
        </w:r>
      </w:hyperlink>
      <w:r w:rsidR="003F5550">
        <w:rPr>
          <w:lang w:val="en-US"/>
        </w:rPr>
        <w:t xml:space="preserve"> and the name </w:t>
      </w:r>
      <w:r>
        <w:rPr>
          <w:lang w:val="en-US"/>
        </w:rPr>
        <w:t xml:space="preserve">of Paraguay </w:t>
      </w:r>
      <w:r w:rsidR="003F5550">
        <w:rPr>
          <w:lang w:val="en-US"/>
        </w:rPr>
        <w:t xml:space="preserve">was added </w:t>
      </w:r>
      <w:r>
        <w:rPr>
          <w:lang w:val="en-US"/>
        </w:rPr>
        <w:t xml:space="preserve">to the footnote No. </w:t>
      </w:r>
      <w:r w:rsidR="003F5550" w:rsidRPr="003F5550">
        <w:rPr>
          <w:b/>
          <w:bCs/>
          <w:lang w:val="en-US"/>
        </w:rPr>
        <w:t>5.389B</w:t>
      </w:r>
      <w:r w:rsidR="003F5550">
        <w:rPr>
          <w:lang w:val="en-US"/>
        </w:rPr>
        <w:t xml:space="preserve"> by document </w:t>
      </w:r>
      <w:hyperlink r:id="rId9" w:history="1">
        <w:r w:rsidR="003F5550" w:rsidRPr="00F34A0A">
          <w:rPr>
            <w:rStyle w:val="Hyperlink"/>
          </w:rPr>
          <w:t>DT/</w:t>
        </w:r>
        <w:r w:rsidR="003F5550">
          <w:rPr>
            <w:rStyle w:val="Hyperlink"/>
          </w:rPr>
          <w:t>109</w:t>
        </w:r>
      </w:hyperlink>
      <w:r w:rsidR="003F5550">
        <w:rPr>
          <w:rStyle w:val="Hyperlink"/>
        </w:rPr>
        <w:t>.</w:t>
      </w:r>
      <w:r w:rsidR="003F5550">
        <w:rPr>
          <w:rStyle w:val="Hyperlink"/>
        </w:rPr>
        <w:br/>
      </w:r>
      <w:r w:rsidR="003F5550">
        <w:rPr>
          <w:lang w:val="en-US"/>
        </w:rPr>
        <w:br/>
        <w:t>By this I would like to say my appreciation to all APT member administration in cooperation for concluding of this difficult issue of agenda item 9.1</w:t>
      </w:r>
    </w:p>
    <w:p w:rsidR="00B325CB" w:rsidRDefault="00B325CB" w:rsidP="003F555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F5550" w:rsidRDefault="003F5550" w:rsidP="003F5550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</w:p>
    <w:p w:rsidR="003F5550" w:rsidRDefault="003F5550" w:rsidP="003F5550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Azim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Fard</w:t>
      </w:r>
      <w:proofErr w:type="spellEnd"/>
    </w:p>
    <w:p w:rsidR="003F5550" w:rsidRDefault="003F5550" w:rsidP="003F5550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Agenda Item Coordinator,</w:t>
      </w:r>
    </w:p>
    <w:p w:rsidR="003F5550" w:rsidRDefault="003F5550" w:rsidP="003F5550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Administra</w:t>
      </w:r>
      <w:bookmarkStart w:id="1" w:name="_GoBack"/>
      <w:bookmarkEnd w:id="1"/>
      <w:r>
        <w:rPr>
          <w:rFonts w:asciiTheme="majorBidi" w:hAnsiTheme="majorBidi" w:cstheme="majorBidi"/>
          <w:sz w:val="24"/>
          <w:szCs w:val="24"/>
          <w:lang w:val="en-GB"/>
        </w:rPr>
        <w:t>tion of Iran</w:t>
      </w:r>
    </w:p>
    <w:sectPr w:rsidR="003F5550" w:rsidSect="008B092C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7701"/>
    <w:multiLevelType w:val="hybridMultilevel"/>
    <w:tmpl w:val="317A7336"/>
    <w:lvl w:ilvl="0" w:tplc="73B45E9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EC1"/>
    <w:multiLevelType w:val="hybridMultilevel"/>
    <w:tmpl w:val="08667CCE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3">
    <w:nsid w:val="664F3AC7"/>
    <w:multiLevelType w:val="hybridMultilevel"/>
    <w:tmpl w:val="0404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456C4"/>
    <w:multiLevelType w:val="hybridMultilevel"/>
    <w:tmpl w:val="43520F0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F"/>
    <w:rsid w:val="000726B2"/>
    <w:rsid w:val="000D0988"/>
    <w:rsid w:val="00116ADF"/>
    <w:rsid w:val="001205D3"/>
    <w:rsid w:val="00124C73"/>
    <w:rsid w:val="001633D8"/>
    <w:rsid w:val="002004DF"/>
    <w:rsid w:val="00204DDE"/>
    <w:rsid w:val="00205827"/>
    <w:rsid w:val="00280C18"/>
    <w:rsid w:val="00281C0A"/>
    <w:rsid w:val="002B1776"/>
    <w:rsid w:val="002D5AD6"/>
    <w:rsid w:val="00345071"/>
    <w:rsid w:val="00366474"/>
    <w:rsid w:val="003916A1"/>
    <w:rsid w:val="003F5550"/>
    <w:rsid w:val="00433C10"/>
    <w:rsid w:val="004762AE"/>
    <w:rsid w:val="00583CAF"/>
    <w:rsid w:val="005F520D"/>
    <w:rsid w:val="00616B39"/>
    <w:rsid w:val="00631917"/>
    <w:rsid w:val="00674454"/>
    <w:rsid w:val="006B64F8"/>
    <w:rsid w:val="0073565E"/>
    <w:rsid w:val="00787228"/>
    <w:rsid w:val="007F23B0"/>
    <w:rsid w:val="008623CD"/>
    <w:rsid w:val="00886F94"/>
    <w:rsid w:val="008B092C"/>
    <w:rsid w:val="00973309"/>
    <w:rsid w:val="009A0401"/>
    <w:rsid w:val="00A252B7"/>
    <w:rsid w:val="00A37156"/>
    <w:rsid w:val="00A46385"/>
    <w:rsid w:val="00A70C9F"/>
    <w:rsid w:val="00AA3EFE"/>
    <w:rsid w:val="00AD0BD9"/>
    <w:rsid w:val="00AD1515"/>
    <w:rsid w:val="00B325CB"/>
    <w:rsid w:val="00B34D90"/>
    <w:rsid w:val="00B72561"/>
    <w:rsid w:val="00C30845"/>
    <w:rsid w:val="00C56CEF"/>
    <w:rsid w:val="00CB5F67"/>
    <w:rsid w:val="00CC3FD9"/>
    <w:rsid w:val="00D6720E"/>
    <w:rsid w:val="00DF74F8"/>
    <w:rsid w:val="00E5790D"/>
    <w:rsid w:val="00E8780B"/>
    <w:rsid w:val="00EF2DEB"/>
    <w:rsid w:val="00F65ADF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9226-EC7F-40A6-BBF8-437752F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0A"/>
    <w:pPr>
      <w:ind w:left="720"/>
      <w:contextualSpacing/>
    </w:pPr>
  </w:style>
  <w:style w:type="paragraph" w:customStyle="1" w:styleId="Note">
    <w:name w:val="Note"/>
    <w:basedOn w:val="Normal"/>
    <w:next w:val="Normal"/>
    <w:link w:val="NoteChar"/>
    <w:rsid w:val="00AA3E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A3E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CB5F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191028-TD-0130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.int/md/R16-WRC19-191028-TD-0109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u.int/md/R16-WRC19-191028-TD-0130/e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zimfard@cra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191028-TD-010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A.Fard</dc:creator>
  <cp:keywords/>
  <dc:description/>
  <cp:lastModifiedBy>A.Fard</cp:lastModifiedBy>
  <cp:revision>9</cp:revision>
  <dcterms:created xsi:type="dcterms:W3CDTF">2019-11-11T07:59:00Z</dcterms:created>
  <dcterms:modified xsi:type="dcterms:W3CDTF">2019-11-14T10:30:00Z</dcterms:modified>
</cp:coreProperties>
</file>