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BC5B60">
        <w:trPr>
          <w:cantSplit/>
          <w:trHeight w:val="288"/>
        </w:trPr>
        <w:tc>
          <w:tcPr>
            <w:tcW w:w="1399" w:type="dxa"/>
            <w:vMerge w:val="restart"/>
          </w:tcPr>
          <w:p w:rsidR="00C516C7" w:rsidRPr="00891D0B" w:rsidRDefault="00C516C7" w:rsidP="00BC5B6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BC5B60">
            <w:r w:rsidRPr="00E86131">
              <w:t>ASIA-PACIFIC TELECOMMUNITY</w:t>
            </w:r>
          </w:p>
        </w:tc>
        <w:tc>
          <w:tcPr>
            <w:tcW w:w="2160" w:type="dxa"/>
          </w:tcPr>
          <w:p w:rsidR="00C516C7" w:rsidRPr="00723BE9" w:rsidRDefault="00C516C7" w:rsidP="00BC5B60">
            <w:pPr>
              <w:rPr>
                <w:b/>
                <w:sz w:val="22"/>
                <w:szCs w:val="22"/>
              </w:rPr>
            </w:pPr>
            <w:r w:rsidRPr="00723BE9">
              <w:rPr>
                <w:b/>
              </w:rPr>
              <w:t>Document No:</w:t>
            </w:r>
          </w:p>
        </w:tc>
      </w:tr>
      <w:tr w:rsidR="00C516C7" w:rsidRPr="00C15799" w:rsidTr="00BC5B60">
        <w:trPr>
          <w:cantSplit/>
          <w:trHeight w:val="504"/>
        </w:trPr>
        <w:tc>
          <w:tcPr>
            <w:tcW w:w="1399" w:type="dxa"/>
            <w:vMerge/>
          </w:tcPr>
          <w:p w:rsidR="00C516C7" w:rsidRPr="00891D0B" w:rsidRDefault="00C516C7" w:rsidP="00BC5B60"/>
        </w:tc>
        <w:tc>
          <w:tcPr>
            <w:tcW w:w="5760" w:type="dxa"/>
          </w:tcPr>
          <w:p w:rsidR="00C516C7" w:rsidRDefault="00C516C7" w:rsidP="00BC5B60">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885399">
            <w:pPr>
              <w:rPr>
                <w:b/>
              </w:rPr>
            </w:pPr>
            <w:r w:rsidRPr="00C96104">
              <w:rPr>
                <w:b/>
                <w:bCs/>
                <w:lang w:val="fr-FR"/>
              </w:rPr>
              <w:t>AP</w:t>
            </w:r>
            <w:r>
              <w:rPr>
                <w:b/>
                <w:bCs/>
                <w:lang w:val="fr-FR"/>
              </w:rPr>
              <w:t>G19-</w:t>
            </w:r>
            <w:r w:rsidR="00CD256B">
              <w:rPr>
                <w:b/>
                <w:bCs/>
                <w:lang w:val="fr-FR"/>
              </w:rPr>
              <w:t>5</w:t>
            </w:r>
            <w:r>
              <w:rPr>
                <w:b/>
                <w:bCs/>
                <w:lang w:val="fr-FR"/>
              </w:rPr>
              <w:t>/</w:t>
            </w:r>
            <w:r w:rsidR="00885399">
              <w:rPr>
                <w:b/>
                <w:bCs/>
                <w:lang w:val="fr-FR"/>
              </w:rPr>
              <w:t>OUT-11</w:t>
            </w:r>
          </w:p>
        </w:tc>
      </w:tr>
      <w:tr w:rsidR="00C516C7" w:rsidRPr="00891D0B" w:rsidTr="00BC5B60">
        <w:trPr>
          <w:cantSplit/>
          <w:trHeight w:val="288"/>
        </w:trPr>
        <w:tc>
          <w:tcPr>
            <w:tcW w:w="1399" w:type="dxa"/>
            <w:vMerge/>
          </w:tcPr>
          <w:p w:rsidR="00C516C7" w:rsidRPr="007E1FDD" w:rsidRDefault="00C516C7" w:rsidP="00BC5B60">
            <w:pPr>
              <w:rPr>
                <w:lang w:val="en-GB"/>
              </w:rPr>
            </w:pPr>
          </w:p>
        </w:tc>
        <w:tc>
          <w:tcPr>
            <w:tcW w:w="5760" w:type="dxa"/>
            <w:vAlign w:val="bottom"/>
          </w:tcPr>
          <w:p w:rsidR="00C516C7" w:rsidRPr="00712451" w:rsidRDefault="00CD256B" w:rsidP="00CD256B">
            <w:pPr>
              <w:rPr>
                <w:b/>
              </w:rPr>
            </w:pPr>
            <w:r>
              <w:t xml:space="preserve">31July </w:t>
            </w:r>
            <w:r w:rsidR="00C516C7">
              <w:t xml:space="preserve">– </w:t>
            </w:r>
            <w:r>
              <w:t>6August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885399" w:rsidP="00C95572">
            <w:r>
              <w:rPr>
                <w:bCs/>
              </w:rPr>
              <w:t>5</w:t>
            </w:r>
            <w:r w:rsidR="002921F1">
              <w:rPr>
                <w:bCs/>
              </w:rPr>
              <w:t xml:space="preserve"> </w:t>
            </w:r>
            <w:r w:rsidR="00C95572">
              <w:rPr>
                <w:bCs/>
              </w:rPr>
              <w:t>August</w:t>
            </w:r>
            <w:r w:rsidR="00C516C7" w:rsidRPr="007E1FDD">
              <w:rPr>
                <w:bCs/>
              </w:rPr>
              <w:t>201</w:t>
            </w:r>
            <w:r w:rsidR="00C516C7">
              <w:rPr>
                <w:bCs/>
              </w:rPr>
              <w:t>9</w:t>
            </w:r>
          </w:p>
        </w:tc>
      </w:tr>
    </w:tbl>
    <w:p w:rsidR="00311E8A" w:rsidRDefault="00311E8A" w:rsidP="0072518B">
      <w:pPr>
        <w:jc w:val="center"/>
        <w:rPr>
          <w:lang w:val="en-NZ"/>
        </w:rPr>
      </w:pPr>
    </w:p>
    <w:p w:rsidR="00B856B7" w:rsidRDefault="00B856B7" w:rsidP="0072518B">
      <w:pPr>
        <w:jc w:val="center"/>
        <w:rPr>
          <w:lang w:val="en-NZ"/>
        </w:rPr>
      </w:pPr>
    </w:p>
    <w:p w:rsidR="00B64A60" w:rsidRPr="002A0111" w:rsidRDefault="00885399" w:rsidP="00B64A60">
      <w:pPr>
        <w:jc w:val="center"/>
        <w:rPr>
          <w:lang w:val="en-NZ" w:eastAsia="ko-KR"/>
        </w:rPr>
      </w:pPr>
      <w:r>
        <w:rPr>
          <w:lang w:val="en-NZ" w:eastAsia="ko-KR"/>
        </w:rPr>
        <w:t>Working Party 3</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p>
    <w:p w:rsidR="00B64A60" w:rsidRDefault="002921F1" w:rsidP="00BD5816">
      <w:pPr>
        <w:tabs>
          <w:tab w:val="center" w:pos="4586"/>
          <w:tab w:val="left" w:pos="7300"/>
        </w:tabs>
        <w:jc w:val="center"/>
        <w:rPr>
          <w:b/>
          <w:bCs/>
          <w:caps/>
          <w:lang w:val="en-NZ"/>
        </w:rPr>
      </w:pPr>
      <w:r>
        <w:rPr>
          <w:b/>
          <w:bCs/>
          <w:caps/>
          <w:lang w:val="en-NZ"/>
        </w:rPr>
        <w:t>on WRC-19 agenda item 7</w:t>
      </w:r>
      <w:r w:rsidR="00885399">
        <w:rPr>
          <w:b/>
          <w:bCs/>
          <w:caps/>
          <w:lang w:val="en-NZ"/>
        </w:rPr>
        <w:t xml:space="preserve"> (issues e</w:t>
      </w:r>
      <w:r w:rsidR="00BD5816">
        <w:rPr>
          <w:b/>
          <w:bCs/>
          <w:caps/>
          <w:lang w:val="en-NZ"/>
        </w:rPr>
        <w:t>)</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 xml:space="preserve">Agenda Item </w:t>
      </w:r>
      <w:r w:rsidR="002921F1">
        <w:rPr>
          <w:b/>
          <w:lang w:val="en-NZ"/>
        </w:rPr>
        <w:t>7</w:t>
      </w:r>
      <w:r w:rsidRPr="00441526">
        <w:rPr>
          <w:b/>
          <w:lang w:val="en-NZ"/>
        </w:rPr>
        <w:t xml:space="preserve">: </w:t>
      </w:r>
    </w:p>
    <w:p w:rsidR="002A0111" w:rsidRPr="00441526" w:rsidRDefault="002921F1" w:rsidP="002A0111">
      <w:pPr>
        <w:spacing w:after="120"/>
        <w:jc w:val="both"/>
        <w:rPr>
          <w:i/>
          <w:lang w:val="en-NZ"/>
        </w:rPr>
      </w:pPr>
      <w:r w:rsidRPr="00706F65">
        <w:rPr>
          <w:i/>
          <w:lang w:val="en-NZ"/>
        </w:rPr>
        <w:t>T</w:t>
      </w:r>
      <w:r w:rsidRPr="00706F65">
        <w:rPr>
          <w:i/>
        </w:rPr>
        <w:t>o consider possible changes, and other options, in response to Resolution </w:t>
      </w:r>
      <w:r w:rsidRPr="00706F65">
        <w:rPr>
          <w:b/>
          <w:i/>
        </w:rPr>
        <w:t>86 (Rev. Marrakesh, 2002)</w:t>
      </w:r>
      <w:r w:rsidRPr="00706F65">
        <w:rPr>
          <w:i/>
        </w:rPr>
        <w:t xml:space="preserve"> of the Plenipotentiary Conference, an advance publication, coordination, notification and recording procedures for frequency assignments pertaining to satellite networks, in accordance with Resolution </w:t>
      </w:r>
      <w:r w:rsidRPr="00706F65">
        <w:rPr>
          <w:b/>
          <w:i/>
        </w:rPr>
        <w:t>86 (Rev.WRC</w:t>
      </w:r>
      <w:r w:rsidRPr="00706F65">
        <w:rPr>
          <w:b/>
          <w:i/>
        </w:rPr>
        <w:noBreakHyphen/>
        <w:t>07)</w:t>
      </w:r>
      <w:r w:rsidRPr="00706F65">
        <w:rPr>
          <w:i/>
        </w:rPr>
        <w:t>, in order to facilitate rational, efficient and economical use of radio frequencies and any associated orbits, including the geostationary</w:t>
      </w:r>
      <w:r w:rsidRPr="00706F65">
        <w:rPr>
          <w:i/>
        </w:rPr>
        <w:noBreakHyphen/>
        <w:t>satellite orbit.</w:t>
      </w:r>
    </w:p>
    <w:p w:rsidR="002A0111" w:rsidRDefault="002A0111" w:rsidP="002A0111">
      <w:pPr>
        <w:jc w:val="both"/>
        <w:rPr>
          <w:lang w:val="en-NZ"/>
        </w:rPr>
      </w:pPr>
    </w:p>
    <w:p w:rsidR="002405F7" w:rsidRDefault="002405F7" w:rsidP="002405F7">
      <w:pPr>
        <w:jc w:val="both"/>
        <w:rPr>
          <w:b/>
          <w:lang w:eastAsia="zh-CN"/>
        </w:rPr>
      </w:pPr>
      <w:r w:rsidRPr="003A30C8">
        <w:rPr>
          <w:b/>
          <w:caps/>
          <w:lang w:eastAsia="zh-CN"/>
        </w:rPr>
        <w:t>I</w:t>
      </w:r>
      <w:r w:rsidRPr="003A30C8">
        <w:rPr>
          <w:rFonts w:ascii="Times New Roman Bold" w:hAnsi="Times New Roman Bold" w:cs="Times New Roman Bold"/>
          <w:b/>
          <w:lang w:eastAsia="zh-CN"/>
        </w:rPr>
        <w:t xml:space="preserve">ssue E: </w:t>
      </w:r>
      <w:r w:rsidRPr="003A30C8">
        <w:rPr>
          <w:b/>
          <w:lang w:eastAsia="zh-CN"/>
        </w:rPr>
        <w:t>Resolution related to RR Appendix 30B</w:t>
      </w:r>
    </w:p>
    <w:p w:rsidR="00131607" w:rsidRDefault="00131607">
      <w:pPr>
        <w:rPr>
          <w:b/>
          <w:highlight w:val="yellow"/>
          <w:lang w:val="en-NZ"/>
        </w:rPr>
      </w:pPr>
    </w:p>
    <w:p w:rsidR="00131607" w:rsidRPr="00441526" w:rsidRDefault="00131607" w:rsidP="00131607">
      <w:pPr>
        <w:spacing w:after="120"/>
        <w:jc w:val="both"/>
        <w:rPr>
          <w:b/>
          <w:lang w:val="en-NZ" w:eastAsia="ko-KR"/>
        </w:rPr>
      </w:pPr>
      <w:r w:rsidRPr="00441526">
        <w:rPr>
          <w:b/>
          <w:lang w:val="en-NZ" w:eastAsia="ko-KR"/>
        </w:rPr>
        <w:t xml:space="preserve">1. </w:t>
      </w:r>
      <w:r w:rsidRPr="00441526">
        <w:rPr>
          <w:b/>
          <w:lang w:val="en-NZ" w:eastAsia="ko-KR"/>
        </w:rPr>
        <w:tab/>
        <w:t>Background</w:t>
      </w:r>
    </w:p>
    <w:p w:rsidR="002405F7" w:rsidRPr="0042498F" w:rsidRDefault="002405F7" w:rsidP="002405F7">
      <w:pPr>
        <w:rPr>
          <w:lang w:eastAsia="zh-CN"/>
        </w:rPr>
      </w:pPr>
      <w:r w:rsidRPr="0042498F">
        <w:rPr>
          <w:lang w:eastAsia="zh-CN"/>
        </w:rPr>
        <w:t>ITU-R considered studies relating to the enhancement of regulatory provisions of RR Appendix </w:t>
      </w:r>
      <w:r w:rsidRPr="0042498F">
        <w:rPr>
          <w:b/>
          <w:bCs/>
          <w:lang w:eastAsia="zh-CN"/>
        </w:rPr>
        <w:t>30B</w:t>
      </w:r>
      <w:r w:rsidRPr="0042498F">
        <w:rPr>
          <w:lang w:eastAsia="zh-CN"/>
        </w:rPr>
        <w:t xml:space="preserve"> to observe the principles based on which it was initially established. </w:t>
      </w:r>
    </w:p>
    <w:p w:rsidR="002405F7" w:rsidRPr="0042498F" w:rsidRDefault="002405F7" w:rsidP="002405F7">
      <w:pPr>
        <w:rPr>
          <w:lang w:eastAsia="zh-CN"/>
        </w:rPr>
      </w:pPr>
      <w:r w:rsidRPr="0042498F">
        <w:rPr>
          <w:lang w:eastAsia="zh-CN"/>
        </w:rPr>
        <w:t>An administration which decides to convert its national allotment into assignments in an economically viable manner very often needs to modify the initial characteristics of its national allotments, taking into account the latest available development and advancement in technology as well as the most economically viable solution.</w:t>
      </w:r>
    </w:p>
    <w:p w:rsidR="00B46469" w:rsidRDefault="00B46469" w:rsidP="002405F7">
      <w:pPr>
        <w:jc w:val="both"/>
        <w:rPr>
          <w:lang w:eastAsia="zh-CN"/>
        </w:rPr>
      </w:pPr>
    </w:p>
    <w:p w:rsidR="00131607" w:rsidRDefault="002405F7" w:rsidP="002405F7">
      <w:pPr>
        <w:jc w:val="both"/>
        <w:rPr>
          <w:lang w:val="en-NZ" w:eastAsia="ko-KR"/>
        </w:rPr>
      </w:pPr>
      <w:r w:rsidRPr="0042498F">
        <w:rPr>
          <w:lang w:eastAsia="zh-CN"/>
        </w:rPr>
        <w:t>In so doing, a) when the request for conversion is submitted, the application would be queued at the end of the last submission received before it and b) once its turn to be processed is reached, due to the nature of those additional systems/uses it would be extremely difficult, if not totally impossible, to succeed coordination within the regulatory deadline. In summary, as it could be noted from the above, the probability that an administration could successfully complete coordination for the conversion of its national allotment to assignments with characteristics beyond the initial allotment within that regulatory period is very low.</w:t>
      </w:r>
    </w:p>
    <w:p w:rsidR="00131607" w:rsidRPr="00441526" w:rsidRDefault="00131607" w:rsidP="00131607">
      <w:pPr>
        <w:jc w:val="both"/>
        <w:rPr>
          <w:lang w:val="en-NZ"/>
        </w:rPr>
      </w:pPr>
    </w:p>
    <w:p w:rsidR="00131607" w:rsidRPr="00441526" w:rsidRDefault="00131607" w:rsidP="00131607">
      <w:pPr>
        <w:spacing w:after="120"/>
        <w:jc w:val="both"/>
        <w:rPr>
          <w:b/>
          <w:lang w:val="en-NZ" w:eastAsia="ko-KR"/>
        </w:rPr>
      </w:pPr>
      <w:r w:rsidRPr="00441526">
        <w:rPr>
          <w:b/>
          <w:lang w:val="en-NZ" w:eastAsia="ko-KR"/>
        </w:rPr>
        <w:t xml:space="preserve">2. </w:t>
      </w:r>
      <w:r w:rsidRPr="00441526">
        <w:rPr>
          <w:b/>
          <w:lang w:val="en-NZ" w:eastAsia="ko-KR"/>
        </w:rPr>
        <w:tab/>
        <w:t>Documents</w:t>
      </w:r>
    </w:p>
    <w:p w:rsidR="00D365AF" w:rsidRPr="00D365AF" w:rsidRDefault="00D365AF" w:rsidP="00D365AF">
      <w:pPr>
        <w:numPr>
          <w:ilvl w:val="0"/>
          <w:numId w:val="18"/>
        </w:numPr>
        <w:ind w:leftChars="145" w:left="708"/>
        <w:jc w:val="both"/>
        <w:rPr>
          <w:lang w:val="en-NZ"/>
        </w:rPr>
      </w:pPr>
      <w:r w:rsidRPr="00D365AF">
        <w:rPr>
          <w:lang w:val="en-NZ"/>
        </w:rPr>
        <w:t>Input Documents APG19-5/INP-41</w:t>
      </w:r>
      <w:r w:rsidR="0071286A">
        <w:rPr>
          <w:lang w:val="en-NZ"/>
        </w:rPr>
        <w:t xml:space="preserve"> </w:t>
      </w:r>
      <w:r w:rsidRPr="00D365AF">
        <w:rPr>
          <w:lang w:val="en-NZ"/>
        </w:rPr>
        <w:t xml:space="preserve">(IRN), </w:t>
      </w:r>
      <w:r w:rsidRPr="00D365AF">
        <w:t>INP-44</w:t>
      </w:r>
      <w:r w:rsidR="000E3CEF">
        <w:t>R1</w:t>
      </w:r>
      <w:r w:rsidRPr="00D365AF">
        <w:t xml:space="preserve"> (AUS), INP-51 (INS), INP-67 (CHN), INP-81(J), INP-108 (MLA,THA), INP-119 (VTN), INP-129 (KOR).</w:t>
      </w:r>
    </w:p>
    <w:p w:rsidR="00131607" w:rsidRPr="00731AD6" w:rsidRDefault="00D365AF" w:rsidP="00131607">
      <w:pPr>
        <w:numPr>
          <w:ilvl w:val="0"/>
          <w:numId w:val="18"/>
        </w:numPr>
        <w:ind w:leftChars="145" w:left="708"/>
        <w:jc w:val="both"/>
        <w:rPr>
          <w:b/>
          <w:lang w:val="en-NZ" w:eastAsia="ko-KR"/>
        </w:rPr>
      </w:pPr>
      <w:r w:rsidRPr="00731AD6">
        <w:rPr>
          <w:lang w:val="en-NZ"/>
        </w:rPr>
        <w:t xml:space="preserve">Information Documents </w:t>
      </w:r>
      <w:r w:rsidR="00731AD6" w:rsidRPr="00D365AF">
        <w:rPr>
          <w:lang w:val="en-NZ"/>
        </w:rPr>
        <w:t>APG19-5/INF-</w:t>
      </w:r>
      <w:r w:rsidR="00731AD6">
        <w:rPr>
          <w:lang w:val="en-NZ"/>
        </w:rPr>
        <w:t>01 (WMO), INF-18(CEPT), INF-19(ATU), INF-20(CITEL), INF-22(RCC).</w:t>
      </w:r>
    </w:p>
    <w:p w:rsidR="00731AD6" w:rsidRPr="00731AD6" w:rsidRDefault="00731AD6" w:rsidP="00731AD6">
      <w:pPr>
        <w:ind w:left="708"/>
        <w:jc w:val="both"/>
        <w:rPr>
          <w:b/>
          <w:lang w:val="en-NZ" w:eastAsia="ko-KR"/>
        </w:rPr>
      </w:pPr>
    </w:p>
    <w:p w:rsidR="00131607" w:rsidRPr="00441526" w:rsidRDefault="00131607" w:rsidP="00131607">
      <w:pPr>
        <w:rPr>
          <w:b/>
          <w:lang w:val="en-NZ" w:eastAsia="ko-KR"/>
        </w:rPr>
      </w:pPr>
      <w:r w:rsidRPr="00441526">
        <w:rPr>
          <w:b/>
          <w:lang w:val="en-NZ" w:eastAsia="ko-KR"/>
        </w:rPr>
        <w:t xml:space="preserve">3. </w:t>
      </w:r>
      <w:r w:rsidRPr="00441526">
        <w:rPr>
          <w:b/>
          <w:lang w:val="en-NZ" w:eastAsia="ko-KR"/>
        </w:rPr>
        <w:tab/>
        <w:t>Summary of discussions</w:t>
      </w:r>
    </w:p>
    <w:p w:rsidR="00131607" w:rsidRPr="00441526" w:rsidRDefault="00131607" w:rsidP="0071286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7D448C" w:rsidRPr="00F32020" w:rsidRDefault="007D448C" w:rsidP="0071286A">
      <w:pPr>
        <w:spacing w:after="120"/>
        <w:jc w:val="both"/>
        <w:rPr>
          <w:lang w:val="en-NZ"/>
        </w:rPr>
      </w:pPr>
      <w:r w:rsidRPr="00F32020">
        <w:rPr>
          <w:b/>
          <w:lang w:val="en-NZ" w:eastAsia="ko-KR"/>
        </w:rPr>
        <w:t xml:space="preserve">3.1.1 </w:t>
      </w:r>
      <w:r w:rsidRPr="00F32020">
        <w:rPr>
          <w:b/>
          <w:lang w:val="en-NZ" w:eastAsia="ko-KR"/>
        </w:rPr>
        <w:tab/>
        <w:t>Iran - Document APG19-5/INP-41</w:t>
      </w:r>
    </w:p>
    <w:p w:rsidR="007D448C" w:rsidRPr="00F32020" w:rsidRDefault="007D448C" w:rsidP="0071286A">
      <w:pPr>
        <w:spacing w:after="120"/>
        <w:jc w:val="both"/>
        <w:rPr>
          <w:rFonts w:eastAsia="Times New Roman"/>
          <w:snapToGrid w:val="0"/>
          <w:lang w:val="en-AU" w:eastAsia="ja-JP"/>
        </w:rPr>
      </w:pPr>
      <w:r w:rsidRPr="00F32020">
        <w:rPr>
          <w:rFonts w:eastAsia="Times New Roman"/>
          <w:snapToGrid w:val="0"/>
          <w:lang w:val="en-AU" w:eastAsia="ja-JP"/>
        </w:rPr>
        <w:lastRenderedPageBreak/>
        <w:t xml:space="preserve">Islamic Republic of Iran proposes to amend the </w:t>
      </w:r>
      <w:r w:rsidRPr="00F32020">
        <w:t xml:space="preserve">WRC Resolution [A7E-AP30B] </w:t>
      </w:r>
      <w:r w:rsidRPr="00F32020">
        <w:rPr>
          <w:rFonts w:eastAsia="Times New Roman"/>
          <w:lang w:val="en-GB" w:eastAsia="ja-JP"/>
        </w:rPr>
        <w:t xml:space="preserve">(WRC-19), as follows, </w:t>
      </w:r>
      <w:r w:rsidRPr="00F32020">
        <w:rPr>
          <w:rFonts w:eastAsia="Times New Roman"/>
          <w:snapToGrid w:val="0"/>
          <w:lang w:val="en-AU" w:eastAsia="ja-JP"/>
        </w:rPr>
        <w:t xml:space="preserve">as a draft Preliminary </w:t>
      </w:r>
      <w:r w:rsidRPr="00F32020">
        <w:rPr>
          <w:rFonts w:eastAsia="Times New Roman" w:hint="eastAsia"/>
          <w:snapToGrid w:val="0"/>
          <w:lang w:val="en-AU" w:eastAsia="ja-JP"/>
        </w:rPr>
        <w:t>APT Common Proposal</w:t>
      </w:r>
      <w:r w:rsidR="008C022A" w:rsidRPr="00F32020">
        <w:rPr>
          <w:rFonts w:eastAsia="Times New Roman"/>
          <w:snapToGrid w:val="0"/>
          <w:lang w:val="en-AU" w:eastAsia="ja-JP"/>
        </w:rPr>
        <w:t xml:space="preserve"> </w:t>
      </w:r>
      <w:r w:rsidRPr="00F32020">
        <w:rPr>
          <w:rFonts w:eastAsia="Times New Roman"/>
          <w:snapToGrid w:val="0"/>
          <w:lang w:val="en-AU" w:eastAsia="ja-JP"/>
        </w:rPr>
        <w:t xml:space="preserve">(PACP) </w:t>
      </w:r>
      <w:r w:rsidRPr="00F32020">
        <w:rPr>
          <w:rFonts w:eastAsia="Times New Roman" w:hint="eastAsia"/>
          <w:snapToGrid w:val="0"/>
          <w:lang w:val="en-AU" w:eastAsia="ja-JP"/>
        </w:rPr>
        <w:t>for WRC-1</w:t>
      </w:r>
      <w:r w:rsidRPr="00F32020">
        <w:rPr>
          <w:rFonts w:eastAsia="Times New Roman"/>
          <w:snapToGrid w:val="0"/>
          <w:lang w:val="en-AU" w:eastAsia="ja-JP"/>
        </w:rPr>
        <w:t>9</w:t>
      </w:r>
      <w:r w:rsidRPr="00F32020">
        <w:rPr>
          <w:rFonts w:eastAsia="Times New Roman" w:hint="eastAsia"/>
          <w:snapToGrid w:val="0"/>
          <w:lang w:val="en-AU" w:eastAsia="ja-JP"/>
        </w:rPr>
        <w:t xml:space="preserve"> (</w:t>
      </w:r>
      <w:proofErr w:type="spellStart"/>
      <w:r w:rsidRPr="00F32020">
        <w:rPr>
          <w:rFonts w:eastAsia="Times New Roman"/>
          <w:snapToGrid w:val="0"/>
          <w:lang w:val="en-AU" w:eastAsia="ja-JP"/>
        </w:rPr>
        <w:t>Sharm</w:t>
      </w:r>
      <w:proofErr w:type="spellEnd"/>
      <w:r w:rsidRPr="00F32020">
        <w:rPr>
          <w:rFonts w:eastAsia="Times New Roman"/>
          <w:snapToGrid w:val="0"/>
          <w:lang w:val="en-AU" w:eastAsia="ja-JP"/>
        </w:rPr>
        <w:t xml:space="preserve"> El-Sheikh</w:t>
      </w:r>
      <w:r w:rsidRPr="00F32020">
        <w:rPr>
          <w:rFonts w:eastAsia="Times New Roman" w:hint="eastAsia"/>
          <w:snapToGrid w:val="0"/>
          <w:lang w:val="en-AU" w:eastAsia="ja-JP"/>
        </w:rPr>
        <w:t xml:space="preserve">, </w:t>
      </w:r>
      <w:r w:rsidRPr="00F32020">
        <w:rPr>
          <w:rFonts w:eastAsia="Times New Roman"/>
          <w:snapToGrid w:val="0"/>
          <w:lang w:val="en-AU" w:eastAsia="ja-JP"/>
        </w:rPr>
        <w:t>Oct.</w:t>
      </w:r>
      <w:r w:rsidRPr="00F32020">
        <w:rPr>
          <w:rFonts w:eastAsia="Times New Roman" w:hint="eastAsia"/>
          <w:snapToGrid w:val="0"/>
          <w:lang w:val="en-AU" w:eastAsia="ja-JP"/>
        </w:rPr>
        <w:t xml:space="preserve"> 201</w:t>
      </w:r>
      <w:r w:rsidRPr="00F32020">
        <w:rPr>
          <w:rFonts w:eastAsia="Times New Roman"/>
          <w:snapToGrid w:val="0"/>
          <w:lang w:val="en-AU" w:eastAsia="ja-JP"/>
        </w:rPr>
        <w:t>9</w:t>
      </w:r>
      <w:r w:rsidRPr="00F32020">
        <w:rPr>
          <w:rFonts w:eastAsia="Times New Roman" w:hint="eastAsia"/>
          <w:snapToGrid w:val="0"/>
          <w:lang w:val="en-AU" w:eastAsia="ja-JP"/>
        </w:rPr>
        <w:t>)</w:t>
      </w:r>
      <w:r w:rsidRPr="00F32020">
        <w:rPr>
          <w:rFonts w:eastAsia="Times New Roman"/>
          <w:snapToGrid w:val="0"/>
          <w:lang w:val="en-AU" w:eastAsia="ja-JP"/>
        </w:rPr>
        <w:t>:</w:t>
      </w:r>
    </w:p>
    <w:p w:rsidR="007D448C" w:rsidRPr="00F32020" w:rsidRDefault="007D448C" w:rsidP="0071286A">
      <w:pPr>
        <w:tabs>
          <w:tab w:val="left" w:pos="1134"/>
          <w:tab w:val="left" w:pos="1871"/>
          <w:tab w:val="left" w:pos="2608"/>
          <w:tab w:val="left" w:pos="3345"/>
        </w:tabs>
        <w:overflowPunct w:val="0"/>
        <w:autoSpaceDE w:val="0"/>
        <w:autoSpaceDN w:val="0"/>
        <w:adjustRightInd w:val="0"/>
        <w:spacing w:after="120"/>
        <w:ind w:left="1134" w:hanging="1134"/>
        <w:rPr>
          <w:rFonts w:eastAsia="Batang"/>
          <w:szCs w:val="20"/>
          <w:lang w:val="en-GB"/>
        </w:rPr>
      </w:pPr>
      <w:r w:rsidRPr="00F32020">
        <w:rPr>
          <w:rFonts w:eastAsia="Batang"/>
          <w:szCs w:val="20"/>
          <w:lang w:val="en-GB"/>
        </w:rPr>
        <w:t>a)</w:t>
      </w:r>
      <w:r w:rsidRPr="00F32020">
        <w:rPr>
          <w:rFonts w:eastAsia="Batang"/>
          <w:szCs w:val="20"/>
          <w:lang w:val="en-GB"/>
        </w:rPr>
        <w:tab/>
        <w:t xml:space="preserve">Correction to uplink </w:t>
      </w:r>
      <w:proofErr w:type="spellStart"/>
      <w:r w:rsidRPr="00F32020">
        <w:rPr>
          <w:rFonts w:eastAsia="Batang"/>
          <w:szCs w:val="20"/>
          <w:lang w:val="en-GB"/>
        </w:rPr>
        <w:t>pfd</w:t>
      </w:r>
      <w:proofErr w:type="spellEnd"/>
      <w:r w:rsidRPr="00F32020">
        <w:rPr>
          <w:rFonts w:eastAsia="Batang"/>
          <w:szCs w:val="20"/>
          <w:lang w:val="en-GB"/>
        </w:rPr>
        <w:t xml:space="preserve"> criteria to take into account the relative space station uplink receive antenna gain of the potentially affected assignment at the location of the interfering earth station; and </w:t>
      </w:r>
    </w:p>
    <w:p w:rsidR="007D448C" w:rsidRPr="00F32020" w:rsidRDefault="007D448C" w:rsidP="0071286A">
      <w:pPr>
        <w:pStyle w:val="enumlev1"/>
        <w:spacing w:before="0" w:after="120"/>
      </w:pPr>
      <w:r w:rsidRPr="00F32020">
        <w:rPr>
          <w:rFonts w:eastAsia="Batang"/>
        </w:rPr>
        <w:t>b)</w:t>
      </w:r>
      <w:r w:rsidRPr="00F32020">
        <w:rPr>
          <w:rFonts w:eastAsia="Batang"/>
        </w:rPr>
        <w:tab/>
      </w:r>
      <w:r w:rsidRPr="00F32020">
        <w:t xml:space="preserve">Addition of a further resolve to address the sensitivity of the satellite networks in the </w:t>
      </w:r>
      <w:r w:rsidRPr="00F32020">
        <w:rPr>
          <w:b/>
          <w:bCs/>
        </w:rPr>
        <w:t>AP30B</w:t>
      </w:r>
      <w:r w:rsidRPr="00F32020">
        <w:t xml:space="preserve"> List and those already processed by the Bureau having Global/Regional Coverage but with final service area limited to few numbers of contiguous or non</w:t>
      </w:r>
      <w:r w:rsidRPr="00F32020">
        <w:noBreakHyphen/>
        <w:t>contiguous countries.</w:t>
      </w:r>
    </w:p>
    <w:p w:rsidR="007D448C" w:rsidRDefault="007D448C" w:rsidP="0071286A">
      <w:pPr>
        <w:spacing w:after="120"/>
        <w:jc w:val="both"/>
        <w:rPr>
          <w:b/>
          <w:lang w:val="en-NZ" w:eastAsia="ko-KR"/>
        </w:rPr>
      </w:pPr>
      <w:r w:rsidRPr="00F32020">
        <w:t xml:space="preserve">It should be noted the remaining parts of the WRC Resolution [A7E-AP30B], </w:t>
      </w:r>
      <w:r w:rsidRPr="00F32020">
        <w:rPr>
          <w:rFonts w:eastAsia="Times New Roman"/>
          <w:lang w:val="en-GB" w:eastAsia="ja-JP"/>
        </w:rPr>
        <w:t>(WRC-19)</w:t>
      </w:r>
      <w:r w:rsidRPr="00F32020">
        <w:t xml:space="preserve"> should be kept no change.</w:t>
      </w:r>
      <w:r w:rsidRPr="009B1D05">
        <w:t xml:space="preserve">  </w:t>
      </w:r>
    </w:p>
    <w:p w:rsidR="00131607" w:rsidRPr="00441526" w:rsidRDefault="00131607" w:rsidP="0071286A">
      <w:pPr>
        <w:spacing w:after="120"/>
        <w:jc w:val="both"/>
        <w:rPr>
          <w:b/>
          <w:lang w:val="en-NZ" w:eastAsia="ko-KR"/>
        </w:rPr>
      </w:pPr>
      <w:r w:rsidRPr="00441526">
        <w:rPr>
          <w:b/>
          <w:lang w:val="en-NZ" w:eastAsia="ko-KR"/>
        </w:rPr>
        <w:t>3.1.</w:t>
      </w:r>
      <w:r w:rsidR="007D448C">
        <w:rPr>
          <w:b/>
          <w:lang w:val="en-NZ" w:eastAsia="ko-KR"/>
        </w:rPr>
        <w:t>2</w:t>
      </w:r>
      <w:r w:rsidRPr="00441526">
        <w:rPr>
          <w:b/>
          <w:lang w:val="en-NZ" w:eastAsia="ko-KR"/>
        </w:rPr>
        <w:t xml:space="preserve"> </w:t>
      </w:r>
      <w:r w:rsidRPr="00441526">
        <w:rPr>
          <w:b/>
          <w:lang w:val="en-NZ" w:eastAsia="ko-KR"/>
        </w:rPr>
        <w:tab/>
      </w:r>
      <w:r w:rsidR="00646270">
        <w:rPr>
          <w:b/>
          <w:lang w:val="en-NZ" w:eastAsia="ko-KR"/>
        </w:rPr>
        <w:t>Australia</w:t>
      </w:r>
      <w:r w:rsidR="00646270" w:rsidRPr="00441526">
        <w:rPr>
          <w:b/>
          <w:lang w:val="en-NZ" w:eastAsia="ko-KR"/>
        </w:rPr>
        <w:t xml:space="preserve"> </w:t>
      </w:r>
      <w:r w:rsidR="00646270" w:rsidRPr="00441526">
        <w:t xml:space="preserve">- </w:t>
      </w:r>
      <w:r w:rsidR="00646270" w:rsidRPr="00441526">
        <w:rPr>
          <w:b/>
          <w:lang w:val="en-NZ" w:eastAsia="ko-KR"/>
        </w:rPr>
        <w:t>Document APG19-</w:t>
      </w:r>
      <w:r w:rsidR="00646270">
        <w:rPr>
          <w:b/>
          <w:lang w:val="en-NZ" w:eastAsia="ko-KR"/>
        </w:rPr>
        <w:t>5</w:t>
      </w:r>
      <w:r w:rsidR="00646270" w:rsidRPr="00441526">
        <w:rPr>
          <w:b/>
          <w:lang w:val="en-NZ" w:eastAsia="ko-KR"/>
        </w:rPr>
        <w:t>/INP-</w:t>
      </w:r>
      <w:r w:rsidR="00646270">
        <w:rPr>
          <w:b/>
          <w:lang w:val="en-NZ" w:eastAsia="ko-KR"/>
        </w:rPr>
        <w:t>44</w:t>
      </w:r>
      <w:r w:rsidR="000E3CEF">
        <w:rPr>
          <w:b/>
          <w:lang w:val="en-NZ" w:eastAsia="ko-KR"/>
        </w:rPr>
        <w:t xml:space="preserve"> Rev.1</w:t>
      </w:r>
    </w:p>
    <w:p w:rsidR="00131607" w:rsidRPr="00441526" w:rsidRDefault="00646270" w:rsidP="0071286A">
      <w:pPr>
        <w:spacing w:after="120"/>
        <w:jc w:val="both"/>
        <w:rPr>
          <w:lang w:val="en-NZ"/>
        </w:rPr>
      </w:pPr>
      <w:r>
        <w:t>Australia supports the single Method of the CPM Report text for this Issue</w:t>
      </w:r>
      <w:r w:rsidR="00000E11">
        <w:t>.</w:t>
      </w:r>
    </w:p>
    <w:p w:rsidR="00BD1C4B" w:rsidRDefault="00BD1C4B" w:rsidP="0071286A">
      <w:pPr>
        <w:spacing w:after="120"/>
        <w:jc w:val="both"/>
        <w:rPr>
          <w:b/>
          <w:lang w:val="en-NZ" w:eastAsia="ko-KR"/>
        </w:rPr>
      </w:pPr>
      <w:r w:rsidRPr="000D092E">
        <w:rPr>
          <w:b/>
          <w:lang w:val="en-NZ" w:eastAsia="ko-KR"/>
        </w:rPr>
        <w:t>3.1.</w:t>
      </w:r>
      <w:r>
        <w:rPr>
          <w:b/>
          <w:lang w:val="en-NZ" w:eastAsia="ko-KR"/>
        </w:rPr>
        <w:t>3</w:t>
      </w:r>
      <w:r w:rsidRPr="000D092E">
        <w:rPr>
          <w:b/>
          <w:lang w:val="en-NZ" w:eastAsia="ko-KR"/>
        </w:rPr>
        <w:t xml:space="preserve"> </w:t>
      </w:r>
      <w:r w:rsidRPr="000D092E">
        <w:rPr>
          <w:b/>
          <w:lang w:val="en-NZ" w:eastAsia="ko-KR"/>
        </w:rPr>
        <w:tab/>
        <w:t xml:space="preserve">Indonesia </w:t>
      </w:r>
      <w:r w:rsidRPr="000D092E">
        <w:rPr>
          <w:lang w:val="en-NZ" w:eastAsia="ko-KR"/>
        </w:rPr>
        <w:t>-</w:t>
      </w:r>
      <w:r w:rsidRPr="000D092E">
        <w:rPr>
          <w:b/>
          <w:lang w:val="en-NZ" w:eastAsia="ko-KR"/>
        </w:rPr>
        <w:t xml:space="preserve"> Document APG19-5/INP-51</w:t>
      </w:r>
    </w:p>
    <w:p w:rsidR="00BD1C4B" w:rsidRDefault="00BD1C4B" w:rsidP="0071286A">
      <w:pPr>
        <w:spacing w:after="120"/>
        <w:jc w:val="both"/>
      </w:pPr>
      <w:r>
        <w:t>Indonesia is of the view to support the single method in CPM Report which e</w:t>
      </w:r>
      <w:r w:rsidRPr="004122D7">
        <w:rPr>
          <w:lang w:val="en-GB"/>
        </w:rPr>
        <w:t>stablish</w:t>
      </w:r>
      <w:r w:rsidR="000E3CEF">
        <w:rPr>
          <w:lang w:val="en-GB"/>
        </w:rPr>
        <w:t>s</w:t>
      </w:r>
      <w:r w:rsidRPr="004122D7">
        <w:rPr>
          <w:lang w:val="en-GB"/>
        </w:rPr>
        <w:t xml:space="preserve"> special measures to be applied once with respect to the submission received from an administration having no frequency assignments in the RR Appendix </w:t>
      </w:r>
      <w:r w:rsidRPr="004122D7">
        <w:rPr>
          <w:b/>
          <w:lang w:val="en-GB"/>
        </w:rPr>
        <w:t>30B</w:t>
      </w:r>
      <w:r w:rsidRPr="004122D7">
        <w:rPr>
          <w:lang w:val="en-GB"/>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131607" w:rsidRDefault="007D448C" w:rsidP="0071286A">
      <w:pPr>
        <w:spacing w:after="120"/>
      </w:pPr>
      <w:r w:rsidRPr="009B1D05">
        <w:t xml:space="preserve"> </w:t>
      </w:r>
      <w:r w:rsidR="008C6C3E" w:rsidRPr="00441526">
        <w:rPr>
          <w:b/>
          <w:lang w:val="en-NZ" w:eastAsia="ko-KR"/>
        </w:rPr>
        <w:t>3.1.</w:t>
      </w:r>
      <w:r w:rsidR="008C6C3E">
        <w:rPr>
          <w:b/>
          <w:lang w:val="en-NZ" w:eastAsia="ko-KR"/>
        </w:rPr>
        <w:t>4</w:t>
      </w:r>
      <w:r w:rsidR="008C6C3E" w:rsidRPr="00441526">
        <w:rPr>
          <w:b/>
          <w:lang w:val="en-NZ" w:eastAsia="ko-KR"/>
        </w:rPr>
        <w:t xml:space="preserve"> </w:t>
      </w:r>
      <w:r w:rsidR="008C6C3E" w:rsidRPr="00441526">
        <w:rPr>
          <w:b/>
          <w:lang w:val="en-NZ" w:eastAsia="ko-KR"/>
        </w:rPr>
        <w:tab/>
      </w:r>
      <w:r w:rsidR="008C6C3E">
        <w:rPr>
          <w:b/>
          <w:lang w:val="en-NZ" w:eastAsia="ko-KR"/>
        </w:rPr>
        <w:t xml:space="preserve">China </w:t>
      </w:r>
      <w:r w:rsidR="008C6C3E" w:rsidRPr="00BD1C4B">
        <w:rPr>
          <w:lang w:val="en-NZ" w:eastAsia="ko-KR"/>
        </w:rPr>
        <w:t>-</w:t>
      </w:r>
      <w:r w:rsidR="008C6C3E">
        <w:rPr>
          <w:b/>
          <w:lang w:val="en-NZ" w:eastAsia="ko-KR"/>
        </w:rPr>
        <w:t xml:space="preserve"> </w:t>
      </w:r>
      <w:r w:rsidR="008C6C3E" w:rsidRPr="00441526">
        <w:rPr>
          <w:b/>
          <w:lang w:val="en-NZ" w:eastAsia="ko-KR"/>
        </w:rPr>
        <w:t>Document APG19-</w:t>
      </w:r>
      <w:r w:rsidR="008C6C3E">
        <w:rPr>
          <w:b/>
          <w:lang w:val="en-NZ" w:eastAsia="ko-KR"/>
        </w:rPr>
        <w:t>5</w:t>
      </w:r>
      <w:r w:rsidR="008C6C3E" w:rsidRPr="00441526">
        <w:rPr>
          <w:b/>
          <w:lang w:val="en-NZ" w:eastAsia="ko-KR"/>
        </w:rPr>
        <w:t>/INP-</w:t>
      </w:r>
      <w:r w:rsidR="008C6C3E">
        <w:rPr>
          <w:b/>
          <w:lang w:val="en-NZ" w:eastAsia="ko-KR"/>
        </w:rPr>
        <w:t>67</w:t>
      </w:r>
    </w:p>
    <w:p w:rsidR="007D448C" w:rsidRDefault="008C6C3E" w:rsidP="0071286A">
      <w:pPr>
        <w:spacing w:after="120"/>
        <w:rPr>
          <w:rFonts w:eastAsia="SimSun"/>
          <w:lang w:eastAsia="zh-CN"/>
        </w:rPr>
      </w:pPr>
      <w:r>
        <w:rPr>
          <w:rFonts w:eastAsia="SimSun"/>
          <w:lang w:eastAsia="zh-CN"/>
        </w:rPr>
        <w:t xml:space="preserve">Considering that the new Resolution would facilitate access for these administrations and avoid unnecessary coordination, and </w:t>
      </w:r>
      <w:r>
        <w:t xml:space="preserve">Resolution </w:t>
      </w:r>
      <w:r>
        <w:rPr>
          <w:rStyle w:val="ECCHLbold"/>
        </w:rPr>
        <w:t>553</w:t>
      </w:r>
      <w:r>
        <w:t xml:space="preserve"> (</w:t>
      </w:r>
      <w:r>
        <w:rPr>
          <w:rStyle w:val="ECCHLbold"/>
        </w:rPr>
        <w:t>WRC-15</w:t>
      </w:r>
      <w:r>
        <w:t xml:space="preserve">) has addressed a similar issue for the 21.4-22 GHz BSS band for Regions 1 and 3, </w:t>
      </w:r>
      <w:r>
        <w:rPr>
          <w:rFonts w:eastAsia="SimSun"/>
          <w:lang w:eastAsia="zh-CN"/>
        </w:rPr>
        <w:t>China supports the WRC Resolution as contained in the CPM report.</w:t>
      </w:r>
    </w:p>
    <w:p w:rsidR="005B1675" w:rsidRDefault="005B1675" w:rsidP="0071286A">
      <w:pPr>
        <w:spacing w:after="120"/>
        <w:jc w:val="both"/>
        <w:rPr>
          <w:b/>
          <w:lang w:val="en-NZ" w:eastAsia="ko-KR"/>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Pr>
          <w:b/>
          <w:lang w:val="en-NZ" w:eastAsia="ko-KR"/>
        </w:rPr>
        <w:t xml:space="preserve">Japan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81</w:t>
      </w:r>
    </w:p>
    <w:p w:rsidR="005B1675" w:rsidRDefault="005B1675" w:rsidP="0071286A">
      <w:pPr>
        <w:spacing w:after="120"/>
        <w:rPr>
          <w:lang w:val="en-AU"/>
        </w:rPr>
      </w:pPr>
      <w:r>
        <w:rPr>
          <w:rFonts w:eastAsiaTheme="minorEastAsia"/>
          <w:lang w:eastAsia="ja-JP"/>
        </w:rPr>
        <w:t xml:space="preserve">Japan </w:t>
      </w:r>
      <w:r w:rsidRPr="00094867">
        <w:rPr>
          <w:lang w:val="en-AU"/>
        </w:rPr>
        <w:t>supports</w:t>
      </w:r>
      <w:r>
        <w:rPr>
          <w:lang w:val="en-AU"/>
        </w:rPr>
        <w:t xml:space="preserve"> the single Method of the </w:t>
      </w:r>
      <w:r w:rsidRPr="00094867">
        <w:rPr>
          <w:lang w:val="en-AU"/>
        </w:rPr>
        <w:t>CPM Report</w:t>
      </w:r>
      <w:r>
        <w:rPr>
          <w:lang w:val="en-AU"/>
        </w:rPr>
        <w:t xml:space="preserve"> for Issue E.</w:t>
      </w:r>
    </w:p>
    <w:p w:rsidR="00D72EBD" w:rsidRDefault="00D72EBD" w:rsidP="0071286A">
      <w:pPr>
        <w:spacing w:after="120"/>
        <w:jc w:val="both"/>
        <w:rPr>
          <w:b/>
          <w:lang w:val="en-NZ" w:eastAsia="ko-KR"/>
        </w:rPr>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Pr>
          <w:b/>
          <w:lang w:val="en-NZ" w:eastAsia="ko-KR"/>
        </w:rPr>
        <w:t xml:space="preserve">Malaysia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108</w:t>
      </w:r>
    </w:p>
    <w:p w:rsidR="00D72EBD" w:rsidRPr="009D3F6E" w:rsidRDefault="00D72EBD" w:rsidP="0071286A">
      <w:pPr>
        <w:spacing w:after="120"/>
        <w:jc w:val="thaiDistribute"/>
        <w:rPr>
          <w:b/>
          <w:lang w:eastAsia="zh-CN"/>
        </w:rPr>
      </w:pPr>
      <w:r>
        <w:rPr>
          <w:lang w:eastAsia="zh-CN"/>
        </w:rPr>
        <w:t xml:space="preserve">Malaysia and </w:t>
      </w:r>
      <w:r w:rsidRPr="009D3F6E">
        <w:rPr>
          <w:lang w:eastAsia="zh-CN"/>
        </w:rPr>
        <w:t xml:space="preserve">Thailand </w:t>
      </w:r>
      <w:r>
        <w:rPr>
          <w:lang w:eastAsia="zh-CN"/>
        </w:rPr>
        <w:t xml:space="preserve">support </w:t>
      </w:r>
      <w:r w:rsidRPr="009D3F6E">
        <w:rPr>
          <w:lang w:eastAsia="zh-CN"/>
        </w:rPr>
        <w:t xml:space="preserve">the establishment of special measures to be applied once with respect to the submission received from an administration having no frequency assignments in the RR Appendix </w:t>
      </w:r>
      <w:r w:rsidRPr="009D3F6E">
        <w:rPr>
          <w:b/>
          <w:lang w:eastAsia="zh-CN"/>
        </w:rPr>
        <w:t>30B</w:t>
      </w:r>
      <w:r w:rsidRPr="009D3F6E">
        <w:rPr>
          <w:lang w:eastAsia="zh-CN"/>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D72EBD" w:rsidRDefault="00D72EBD" w:rsidP="0071286A">
      <w:pPr>
        <w:spacing w:after="120"/>
        <w:rPr>
          <w:lang w:val="en-AU"/>
        </w:rPr>
      </w:pPr>
      <w:r w:rsidRPr="009D3F6E">
        <w:t xml:space="preserve">Therefore, </w:t>
      </w:r>
      <w:r>
        <w:t xml:space="preserve">Malaysia and </w:t>
      </w:r>
      <w:r w:rsidRPr="009D3F6E">
        <w:t>Thailand support the single Method of the CPM report for this Issue.</w:t>
      </w:r>
    </w:p>
    <w:p w:rsidR="00D72EBD" w:rsidRDefault="00D72EBD" w:rsidP="0071286A">
      <w:pPr>
        <w:spacing w:after="120"/>
        <w:jc w:val="both"/>
        <w:rPr>
          <w:b/>
          <w:lang w:val="en-NZ" w:eastAsia="ko-KR"/>
        </w:rPr>
      </w:pPr>
      <w:r w:rsidRPr="00441526">
        <w:rPr>
          <w:b/>
          <w:lang w:val="en-NZ" w:eastAsia="ko-KR"/>
        </w:rPr>
        <w:t>3.1.</w:t>
      </w:r>
      <w:r>
        <w:rPr>
          <w:b/>
          <w:lang w:val="en-NZ" w:eastAsia="ko-KR"/>
        </w:rPr>
        <w:t>7</w:t>
      </w:r>
      <w:r w:rsidRPr="00441526">
        <w:rPr>
          <w:b/>
          <w:lang w:val="en-NZ" w:eastAsia="ko-KR"/>
        </w:rPr>
        <w:t xml:space="preserve"> </w:t>
      </w:r>
      <w:r w:rsidRPr="00441526">
        <w:rPr>
          <w:b/>
          <w:lang w:val="en-NZ" w:eastAsia="ko-KR"/>
        </w:rPr>
        <w:tab/>
      </w:r>
      <w:r>
        <w:rPr>
          <w:b/>
          <w:lang w:val="en-NZ" w:eastAsia="ko-KR"/>
        </w:rPr>
        <w:t xml:space="preserve">Thailand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108</w:t>
      </w:r>
    </w:p>
    <w:p w:rsidR="00D72EBD" w:rsidRPr="009D3F6E" w:rsidRDefault="00D72EBD" w:rsidP="0071286A">
      <w:pPr>
        <w:spacing w:after="120"/>
        <w:jc w:val="thaiDistribute"/>
        <w:rPr>
          <w:b/>
          <w:lang w:eastAsia="zh-CN"/>
        </w:rPr>
      </w:pPr>
      <w:r>
        <w:rPr>
          <w:lang w:eastAsia="zh-CN"/>
        </w:rPr>
        <w:t xml:space="preserve">Malaysia and </w:t>
      </w:r>
      <w:r w:rsidRPr="009D3F6E">
        <w:rPr>
          <w:lang w:eastAsia="zh-CN"/>
        </w:rPr>
        <w:t xml:space="preserve">Thailand </w:t>
      </w:r>
      <w:r>
        <w:rPr>
          <w:lang w:eastAsia="zh-CN"/>
        </w:rPr>
        <w:t xml:space="preserve">support </w:t>
      </w:r>
      <w:r w:rsidRPr="009D3F6E">
        <w:rPr>
          <w:lang w:eastAsia="zh-CN"/>
        </w:rPr>
        <w:t xml:space="preserve">the establishment of special measures to be applied once with respect to the submission received from an administration having no frequency assignments in the RR Appendix </w:t>
      </w:r>
      <w:r w:rsidRPr="009D3F6E">
        <w:rPr>
          <w:b/>
          <w:lang w:eastAsia="zh-CN"/>
        </w:rPr>
        <w:t>30B</w:t>
      </w:r>
      <w:r w:rsidRPr="009D3F6E">
        <w:rPr>
          <w:lang w:eastAsia="zh-CN"/>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D72EBD" w:rsidRDefault="00D72EBD" w:rsidP="0071286A">
      <w:pPr>
        <w:spacing w:after="120"/>
        <w:rPr>
          <w:lang w:val="en-AU"/>
        </w:rPr>
      </w:pPr>
      <w:r w:rsidRPr="009D3F6E">
        <w:t xml:space="preserve">Therefore, </w:t>
      </w:r>
      <w:r>
        <w:t xml:space="preserve">Malaysia and </w:t>
      </w:r>
      <w:r w:rsidRPr="009D3F6E">
        <w:t>Thailand support the single Method of the CPM report for this Issue.</w:t>
      </w:r>
    </w:p>
    <w:p w:rsidR="00867507" w:rsidRDefault="00867507" w:rsidP="0071286A">
      <w:pPr>
        <w:spacing w:after="120"/>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Pr>
          <w:b/>
          <w:lang w:val="en-NZ" w:eastAsia="ko-KR"/>
        </w:rPr>
        <w:t xml:space="preserve">Viet Nam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119</w:t>
      </w:r>
    </w:p>
    <w:p w:rsidR="005B1675" w:rsidRDefault="00867507" w:rsidP="0071286A">
      <w:pPr>
        <w:spacing w:after="120"/>
      </w:pPr>
      <w:r w:rsidRPr="00A12CE4">
        <w:rPr>
          <w:lang w:eastAsia="ko-KR"/>
        </w:rPr>
        <w:lastRenderedPageBreak/>
        <w:t>Viet Nam supports a new resolution with regards to a</w:t>
      </w:r>
      <w:r w:rsidRPr="00A12CE4">
        <w:rPr>
          <w:lang w:eastAsia="zh-CN"/>
        </w:rPr>
        <w:t>dditional measures for satellite networks in the fixed-satellite service in frequency bands subject to Appendix 30B</w:t>
      </w:r>
      <w:r w:rsidRPr="00A12CE4">
        <w:t xml:space="preserve"> for the enhancement of equitable access to these frequency bands.</w:t>
      </w:r>
    </w:p>
    <w:p w:rsidR="00D369E5" w:rsidRDefault="00D369E5" w:rsidP="0071286A">
      <w:pPr>
        <w:spacing w:after="120"/>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Pr>
          <w:b/>
          <w:lang w:val="en-NZ" w:eastAsia="ko-KR"/>
        </w:rPr>
        <w:t xml:space="preserve">Korea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129</w:t>
      </w:r>
    </w:p>
    <w:p w:rsidR="00D369E5" w:rsidRDefault="00D369E5" w:rsidP="0071286A">
      <w:pPr>
        <w:spacing w:after="120"/>
        <w:rPr>
          <w:lang w:val="en-NZ"/>
        </w:rPr>
      </w:pPr>
      <w:r>
        <w:rPr>
          <w:lang w:val="en-GB" w:eastAsia="ko-KR"/>
        </w:rPr>
        <w:t xml:space="preserve">The Republic of Korea supports the single Method in the CPM Report to establish special measures to be applied once with respect to the submission received from an administration having no frequency assignments in the RR Appendix </w:t>
      </w:r>
      <w:r>
        <w:rPr>
          <w:b/>
          <w:lang w:val="en-GB" w:eastAsia="ko-KR"/>
        </w:rPr>
        <w:t>30B</w:t>
      </w:r>
      <w:r>
        <w:rPr>
          <w:lang w:val="en-GB" w:eastAsia="ko-KR"/>
        </w:rPr>
        <w:t xml:space="preserve"> List the details of which are to be contained in a WRC Resolution to facilitate the tasks of those administrations to provide an economically viable satellite service to its national territory </w:t>
      </w:r>
      <w:r w:rsidRPr="0042498F">
        <w:rPr>
          <w:lang w:eastAsia="zh-CN"/>
        </w:rPr>
        <w:t>as initially considered when the allotment Plan was established in 1988.</w:t>
      </w:r>
    </w:p>
    <w:p w:rsidR="00D369E5" w:rsidRPr="00441526" w:rsidRDefault="00D369E5" w:rsidP="007D448C">
      <w:pPr>
        <w:rPr>
          <w:lang w:val="en-NZ"/>
        </w:rPr>
      </w:pPr>
    </w:p>
    <w:p w:rsidR="00131607" w:rsidRPr="00441526" w:rsidRDefault="00131607" w:rsidP="00131607">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131607" w:rsidRPr="00AE2FFA" w:rsidRDefault="00AE2FFA" w:rsidP="00131607">
      <w:pPr>
        <w:rPr>
          <w:lang w:val="en-NZ" w:eastAsia="ko-KR"/>
        </w:rPr>
      </w:pPr>
      <w:r w:rsidRPr="00AE2FFA">
        <w:rPr>
          <w:lang w:val="en-NZ" w:eastAsia="ko-KR"/>
        </w:rPr>
        <w:t>- None.</w:t>
      </w:r>
    </w:p>
    <w:p w:rsidR="00AE2FFA" w:rsidRDefault="00AE2FFA" w:rsidP="00131607">
      <w:pPr>
        <w:rPr>
          <w:b/>
          <w:lang w:val="en-NZ" w:eastAsia="ko-KR"/>
        </w:rPr>
      </w:pPr>
    </w:p>
    <w:p w:rsidR="00131607" w:rsidRPr="00441526" w:rsidRDefault="00131607" w:rsidP="00131607">
      <w:pPr>
        <w:spacing w:after="120"/>
        <w:jc w:val="both"/>
        <w:rPr>
          <w:b/>
          <w:lang w:val="en-NZ" w:eastAsia="ko-KR"/>
        </w:rPr>
      </w:pPr>
      <w:r w:rsidRPr="00441526">
        <w:rPr>
          <w:b/>
          <w:lang w:val="en-NZ" w:eastAsia="ko-KR"/>
        </w:rPr>
        <w:t xml:space="preserve">4. </w:t>
      </w:r>
      <w:r w:rsidRPr="00441526">
        <w:rPr>
          <w:b/>
          <w:lang w:val="en-NZ" w:eastAsia="ko-KR"/>
        </w:rPr>
        <w:tab/>
        <w:t>APT View(s)</w:t>
      </w:r>
    </w:p>
    <w:p w:rsidR="00131607" w:rsidRDefault="000F6153" w:rsidP="00131607">
      <w:r w:rsidRPr="00CD38CE">
        <w:rPr>
          <w:lang w:val="en-GB" w:eastAsia="ko-KR"/>
        </w:rPr>
        <w:t xml:space="preserve">APT </w:t>
      </w:r>
      <w:r w:rsidR="00D10022">
        <w:rPr>
          <w:lang w:val="en-NZ"/>
        </w:rPr>
        <w:t>M</w:t>
      </w:r>
      <w:r w:rsidRPr="00CD38CE">
        <w:rPr>
          <w:lang w:val="en-NZ"/>
        </w:rPr>
        <w:t>embers</w:t>
      </w:r>
      <w:r w:rsidRPr="00CD38CE">
        <w:rPr>
          <w:lang w:val="en-GB" w:eastAsia="ko-KR"/>
        </w:rPr>
        <w:t xml:space="preserve"> support the single method in the CPM text to establish special measures to be applied once with respect to the submission received from an administration having no frequency assignments in the RR Appendix </w:t>
      </w:r>
      <w:r w:rsidRPr="00CD38CE">
        <w:rPr>
          <w:b/>
          <w:lang w:val="en-GB" w:eastAsia="ko-KR"/>
        </w:rPr>
        <w:t>30B</w:t>
      </w:r>
      <w:r w:rsidRPr="00CD38CE">
        <w:rPr>
          <w:lang w:val="en-GB" w:eastAsia="ko-KR"/>
        </w:rPr>
        <w:t xml:space="preserve"> List the details of which are to be contained in a WRC Resolution to facilitate the tasks of those administrations to provide an economically viable satellite service to its national territory </w:t>
      </w:r>
      <w:r w:rsidRPr="00CD38CE">
        <w:t>as initially considered when the allotment Plan was established in 1988.</w:t>
      </w:r>
    </w:p>
    <w:p w:rsidR="00D10022" w:rsidRPr="00CD38CE" w:rsidRDefault="00D10022" w:rsidP="00131607"/>
    <w:p w:rsidR="00C22475" w:rsidRPr="00CD38CE" w:rsidRDefault="00D10022" w:rsidP="00C22475">
      <w:pPr>
        <w:spacing w:after="120"/>
        <w:jc w:val="both"/>
        <w:rPr>
          <w:rFonts w:eastAsia="Times New Roman"/>
          <w:snapToGrid w:val="0"/>
          <w:lang w:val="en-AU" w:eastAsia="ja-JP"/>
        </w:rPr>
      </w:pPr>
      <w:r>
        <w:rPr>
          <w:rFonts w:eastAsia="Times New Roman"/>
          <w:snapToGrid w:val="0"/>
          <w:lang w:val="en-AU" w:eastAsia="ja-JP"/>
        </w:rPr>
        <w:t>APT M</w:t>
      </w:r>
      <w:r w:rsidR="00C22475" w:rsidRPr="00CD38CE">
        <w:rPr>
          <w:rFonts w:eastAsia="Times New Roman"/>
          <w:snapToGrid w:val="0"/>
          <w:lang w:val="en-AU" w:eastAsia="ja-JP"/>
        </w:rPr>
        <w:t xml:space="preserve">embers </w:t>
      </w:r>
      <w:r w:rsidR="00FB60D2" w:rsidRPr="00CD38CE">
        <w:rPr>
          <w:rFonts w:eastAsia="Times New Roman"/>
          <w:snapToGrid w:val="0"/>
          <w:lang w:val="en-AU" w:eastAsia="ja-JP"/>
        </w:rPr>
        <w:t xml:space="preserve">additionally </w:t>
      </w:r>
      <w:r w:rsidR="00C22475" w:rsidRPr="00CD38CE">
        <w:rPr>
          <w:rFonts w:eastAsia="Times New Roman"/>
          <w:snapToGrid w:val="0"/>
          <w:lang w:val="en-AU" w:eastAsia="ja-JP"/>
        </w:rPr>
        <w:t xml:space="preserve">propose to </w:t>
      </w:r>
      <w:r w:rsidR="0089045C" w:rsidRPr="00CD38CE">
        <w:rPr>
          <w:rFonts w:eastAsia="Times New Roman"/>
          <w:snapToGrid w:val="0"/>
          <w:lang w:val="en-AU" w:eastAsia="ja-JP"/>
        </w:rPr>
        <w:t xml:space="preserve">consider following matters in </w:t>
      </w:r>
      <w:r w:rsidR="00C22475" w:rsidRPr="00CD38CE">
        <w:rPr>
          <w:rFonts w:eastAsia="Times New Roman"/>
          <w:snapToGrid w:val="0"/>
          <w:lang w:val="en-AU" w:eastAsia="ja-JP"/>
        </w:rPr>
        <w:t xml:space="preserve">the </w:t>
      </w:r>
      <w:r w:rsidR="00C22475" w:rsidRPr="00CD38CE">
        <w:t xml:space="preserve">WRC Resolution [A7E-AP30B] </w:t>
      </w:r>
      <w:r w:rsidR="00C22475" w:rsidRPr="00CD38CE">
        <w:rPr>
          <w:rFonts w:eastAsia="Times New Roman"/>
          <w:lang w:val="en-GB" w:eastAsia="ja-JP"/>
        </w:rPr>
        <w:t>(WRC-19)</w:t>
      </w:r>
      <w:r w:rsidR="00C22475" w:rsidRPr="00CD38CE">
        <w:rPr>
          <w:rFonts w:eastAsia="Times New Roman"/>
          <w:snapToGrid w:val="0"/>
          <w:lang w:val="en-AU" w:eastAsia="ja-JP"/>
        </w:rPr>
        <w:t>:</w:t>
      </w:r>
    </w:p>
    <w:p w:rsidR="00C22475" w:rsidRPr="00CD38CE" w:rsidRDefault="00C22475" w:rsidP="00C22475">
      <w:pPr>
        <w:tabs>
          <w:tab w:val="left" w:pos="1134"/>
          <w:tab w:val="left" w:pos="1871"/>
          <w:tab w:val="left" w:pos="2608"/>
          <w:tab w:val="left" w:pos="3345"/>
        </w:tabs>
        <w:overflowPunct w:val="0"/>
        <w:autoSpaceDE w:val="0"/>
        <w:autoSpaceDN w:val="0"/>
        <w:adjustRightInd w:val="0"/>
        <w:spacing w:after="120"/>
        <w:ind w:left="1134" w:hanging="1134"/>
        <w:rPr>
          <w:rFonts w:eastAsia="Batang"/>
          <w:szCs w:val="20"/>
          <w:lang w:val="en-GB"/>
        </w:rPr>
      </w:pPr>
      <w:r w:rsidRPr="00CD38CE">
        <w:rPr>
          <w:rFonts w:eastAsia="Batang"/>
          <w:szCs w:val="20"/>
          <w:lang w:val="en-GB"/>
        </w:rPr>
        <w:t>a)</w:t>
      </w:r>
      <w:r w:rsidRPr="00CD38CE">
        <w:rPr>
          <w:rFonts w:eastAsia="Batang"/>
          <w:szCs w:val="20"/>
          <w:lang w:val="en-GB"/>
        </w:rPr>
        <w:tab/>
      </w:r>
      <w:r w:rsidR="0089045C" w:rsidRPr="00CD38CE">
        <w:rPr>
          <w:rFonts w:eastAsia="Batang"/>
          <w:szCs w:val="20"/>
          <w:lang w:val="en-GB"/>
        </w:rPr>
        <w:t xml:space="preserve">To take into account </w:t>
      </w:r>
      <w:r w:rsidRPr="00CD38CE">
        <w:rPr>
          <w:rFonts w:eastAsia="Batang"/>
          <w:szCs w:val="20"/>
          <w:lang w:val="en-GB"/>
        </w:rPr>
        <w:t>the relative space station uplink receive antenna gain of the potentially affected assignment at the</w:t>
      </w:r>
      <w:bookmarkStart w:id="0" w:name="_GoBack"/>
      <w:bookmarkEnd w:id="0"/>
      <w:r w:rsidRPr="00CD38CE">
        <w:rPr>
          <w:rFonts w:eastAsia="Batang"/>
          <w:szCs w:val="20"/>
          <w:lang w:val="en-GB"/>
        </w:rPr>
        <w:t xml:space="preserve"> location of the interfering earth station</w:t>
      </w:r>
      <w:r w:rsidR="0089045C" w:rsidRPr="00CD38CE">
        <w:rPr>
          <w:rFonts w:eastAsia="Batang"/>
          <w:szCs w:val="20"/>
          <w:lang w:val="en-GB"/>
        </w:rPr>
        <w:t xml:space="preserve"> for uplink PFD criteria</w:t>
      </w:r>
      <w:r w:rsidRPr="00CD38CE">
        <w:rPr>
          <w:rFonts w:eastAsia="Batang"/>
          <w:szCs w:val="20"/>
          <w:lang w:val="en-GB"/>
        </w:rPr>
        <w:t xml:space="preserve">; </w:t>
      </w:r>
    </w:p>
    <w:p w:rsidR="00533A6A" w:rsidRPr="00CD38CE" w:rsidRDefault="00C22475" w:rsidP="00C22475">
      <w:pPr>
        <w:pStyle w:val="enumlev1"/>
        <w:spacing w:before="0" w:after="120"/>
      </w:pPr>
      <w:r w:rsidRPr="00CD38CE">
        <w:rPr>
          <w:rFonts w:eastAsia="Batang"/>
        </w:rPr>
        <w:t>b)</w:t>
      </w:r>
      <w:r w:rsidRPr="00CD38CE">
        <w:rPr>
          <w:rFonts w:eastAsia="Batang"/>
        </w:rPr>
        <w:tab/>
      </w:r>
      <w:r w:rsidR="0089045C" w:rsidRPr="00CD38CE">
        <w:t>T</w:t>
      </w:r>
      <w:r w:rsidRPr="00CD38CE">
        <w:t xml:space="preserve">o </w:t>
      </w:r>
      <w:r w:rsidR="00533A6A" w:rsidRPr="00CD38CE">
        <w:t>assist administrations intending to use above men</w:t>
      </w:r>
      <w:r w:rsidR="0089045C" w:rsidRPr="00CD38CE">
        <w:t>ti</w:t>
      </w:r>
      <w:r w:rsidR="00533A6A" w:rsidRPr="00CD38CE">
        <w:t>oned special procedures to be able to implement</w:t>
      </w:r>
      <w:r w:rsidR="0089045C" w:rsidRPr="00CD38CE">
        <w:t>/</w:t>
      </w:r>
      <w:r w:rsidR="00533A6A" w:rsidRPr="00CD38CE">
        <w:t xml:space="preserve"> a</w:t>
      </w:r>
      <w:r w:rsidR="0089045C" w:rsidRPr="00CD38CE">
        <w:t>c</w:t>
      </w:r>
      <w:r w:rsidR="00533A6A" w:rsidRPr="00CD38CE">
        <w:t>commodate the</w:t>
      </w:r>
      <w:r w:rsidR="0089045C" w:rsidRPr="00CD38CE">
        <w:t>se</w:t>
      </w:r>
      <w:r w:rsidR="00533A6A" w:rsidRPr="00CD38CE">
        <w:t xml:space="preserve"> </w:t>
      </w:r>
      <w:r w:rsidR="0089045C" w:rsidRPr="00CD38CE">
        <w:t xml:space="preserve">satellite networks </w:t>
      </w:r>
      <w:r w:rsidR="00533A6A" w:rsidRPr="00CD38CE">
        <w:t xml:space="preserve"> if all measures me</w:t>
      </w:r>
      <w:r w:rsidR="0089045C" w:rsidRPr="00CD38CE">
        <w:t>n</w:t>
      </w:r>
      <w:r w:rsidR="00533A6A" w:rsidRPr="00CD38CE">
        <w:t>tioned in draft</w:t>
      </w:r>
      <w:r w:rsidR="0089045C" w:rsidRPr="00CD38CE">
        <w:t xml:space="preserve"> resolution did not help to resolve in</w:t>
      </w:r>
      <w:r w:rsidR="00533A6A" w:rsidRPr="00CD38CE">
        <w:t>compatibility with respect to satellite network in Ap</w:t>
      </w:r>
      <w:r w:rsidR="0089045C" w:rsidRPr="00CD38CE">
        <w:t>pen</w:t>
      </w:r>
      <w:r w:rsidR="00533A6A" w:rsidRPr="00CD38CE">
        <w:t>dix 30B having Global/Regional coverage</w:t>
      </w:r>
      <w:r w:rsidR="0089045C" w:rsidRPr="00CD38CE">
        <w:t xml:space="preserve"> but with final service area limited to few numbers of contiguous or non</w:t>
      </w:r>
      <w:r w:rsidR="0089045C" w:rsidRPr="00CD38CE">
        <w:noBreakHyphen/>
        <w:t>contiguous countries</w:t>
      </w:r>
      <w:r w:rsidR="00FB60D2" w:rsidRPr="00CD38CE">
        <w:t>; and</w:t>
      </w:r>
    </w:p>
    <w:p w:rsidR="000F6153" w:rsidRPr="00CD38CE" w:rsidRDefault="0089045C" w:rsidP="00CD38CE">
      <w:pPr>
        <w:pStyle w:val="enumlev1"/>
        <w:spacing w:before="0" w:after="120"/>
      </w:pPr>
      <w:r w:rsidRPr="00CD38CE">
        <w:t xml:space="preserve">c) </w:t>
      </w:r>
      <w:r w:rsidRPr="00CD38CE">
        <w:tab/>
      </w:r>
      <w:proofErr w:type="gramStart"/>
      <w:r w:rsidR="00CD38CE">
        <w:t>take</w:t>
      </w:r>
      <w:proofErr w:type="gramEnd"/>
      <w:r w:rsidR="00CD38CE">
        <w:t xml:space="preserve"> </w:t>
      </w:r>
      <w:r w:rsidR="00CA431C" w:rsidRPr="00CD38CE">
        <w:t>ne</w:t>
      </w:r>
      <w:r w:rsidR="00CD38CE" w:rsidRPr="00CD38CE">
        <w:t>c</w:t>
      </w:r>
      <w:r w:rsidR="00CA431C" w:rsidRPr="00CD38CE">
        <w:t>essary</w:t>
      </w:r>
      <w:r w:rsidRPr="00CD38CE">
        <w:t xml:space="preserve"> actions for inclusion of above a) and b) in draft Resolution, as appropriate.</w:t>
      </w:r>
    </w:p>
    <w:p w:rsidR="0089045C" w:rsidRPr="00441526" w:rsidRDefault="0089045C" w:rsidP="00131607">
      <w:pPr>
        <w:rPr>
          <w:lang w:val="en-NZ"/>
        </w:rPr>
      </w:pPr>
    </w:p>
    <w:p w:rsidR="00131607" w:rsidRPr="00441526" w:rsidRDefault="00131607" w:rsidP="00131607">
      <w:pPr>
        <w:spacing w:after="120"/>
        <w:jc w:val="both"/>
        <w:rPr>
          <w:b/>
          <w:lang w:val="en-NZ" w:eastAsia="ko-KR"/>
        </w:rPr>
      </w:pPr>
      <w:r w:rsidRPr="00441526">
        <w:rPr>
          <w:b/>
          <w:lang w:val="en-NZ" w:eastAsia="ko-KR"/>
        </w:rPr>
        <w:t xml:space="preserve">5. </w:t>
      </w:r>
      <w:r w:rsidRPr="00441526">
        <w:rPr>
          <w:b/>
          <w:lang w:val="en-NZ" w:eastAsia="ko-KR"/>
        </w:rPr>
        <w:tab/>
      </w:r>
      <w:r>
        <w:rPr>
          <w:b/>
          <w:lang w:val="en-NZ" w:eastAsia="ko-KR"/>
        </w:rPr>
        <w:t>Preliminary APT Common Proposal(s)</w:t>
      </w:r>
    </w:p>
    <w:bookmarkStart w:id="1" w:name="_MON_1626437132"/>
    <w:bookmarkEnd w:id="1"/>
    <w:p w:rsidR="00131607" w:rsidRDefault="00073ED4">
      <w:pPr>
        <w:rPr>
          <w:b/>
          <w:highlight w:val="yellow"/>
          <w:lang w:val="en-NZ"/>
        </w:rPr>
      </w:pPr>
      <w:r w:rsidRPr="00073ED4">
        <w:rPr>
          <w:b/>
          <w:lang w:val="en-NZ"/>
        </w:rPr>
        <w:object w:dxaOrig="1469" w:dyaOrig="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v:imagedata r:id="rId9" o:title=""/>
          </v:shape>
          <o:OLEObject Type="Embed" ProgID="Word.Document.12" ShapeID="_x0000_i1025" DrawAspect="Icon" ObjectID="_1626851992" r:id="rId10"/>
        </w:object>
      </w:r>
    </w:p>
    <w:p w:rsidR="00521315" w:rsidRDefault="00521315">
      <w:pPr>
        <w:rPr>
          <w:b/>
          <w:highlight w:val="yellow"/>
          <w:lang w:val="en-NZ"/>
        </w:rPr>
      </w:pPr>
    </w:p>
    <w:sectPr w:rsidR="00521315" w:rsidSect="00C516C7">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0D" w:rsidRDefault="00F6220D">
      <w:r>
        <w:separator/>
      </w:r>
    </w:p>
  </w:endnote>
  <w:endnote w:type="continuationSeparator" w:id="0">
    <w:p w:rsidR="00F6220D" w:rsidRDefault="00F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5C" w:rsidRDefault="00D44B5F" w:rsidP="002C07DA">
    <w:pPr>
      <w:pStyle w:val="Footer"/>
      <w:framePr w:wrap="around" w:vAnchor="text" w:hAnchor="margin" w:xAlign="right" w:y="1"/>
      <w:rPr>
        <w:rStyle w:val="PageNumber"/>
      </w:rPr>
    </w:pPr>
    <w:r>
      <w:rPr>
        <w:rStyle w:val="PageNumber"/>
      </w:rPr>
      <w:fldChar w:fldCharType="begin"/>
    </w:r>
    <w:r w:rsidR="0089045C">
      <w:rPr>
        <w:rStyle w:val="PageNumber"/>
      </w:rPr>
      <w:instrText xml:space="preserve">PAGE  </w:instrText>
    </w:r>
    <w:r>
      <w:rPr>
        <w:rStyle w:val="PageNumber"/>
      </w:rPr>
      <w:fldChar w:fldCharType="end"/>
    </w:r>
  </w:p>
  <w:p w:rsidR="0089045C" w:rsidRDefault="0089045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BF" w:rsidRDefault="0089045C" w:rsidP="0092727B">
    <w:pPr>
      <w:pStyle w:val="Footer"/>
      <w:tabs>
        <w:tab w:val="clear" w:pos="4320"/>
        <w:tab w:val="clear" w:pos="8640"/>
        <w:tab w:val="right" w:pos="9180"/>
      </w:tabs>
      <w:ind w:right="-7"/>
      <w:rPr>
        <w:lang w:eastAsia="ko-KR"/>
      </w:rPr>
    </w:pPr>
    <w:r>
      <w:rPr>
        <w:rFonts w:hint="eastAsia"/>
        <w:lang w:eastAsia="ko-KR"/>
      </w:rPr>
      <w:t>A</w:t>
    </w:r>
    <w:r w:rsidR="00885399">
      <w:rPr>
        <w:lang w:eastAsia="ko-KR"/>
      </w:rPr>
      <w:t>PG19-5/OUT-11</w:t>
    </w:r>
  </w:p>
  <w:p w:rsidR="0089045C" w:rsidRDefault="0089045C" w:rsidP="0092727B">
    <w:pPr>
      <w:pStyle w:val="Footer"/>
      <w:tabs>
        <w:tab w:val="clear" w:pos="4320"/>
        <w:tab w:val="clear" w:pos="8640"/>
        <w:tab w:val="right" w:pos="9180"/>
      </w:tabs>
      <w:ind w:right="-7"/>
    </w:pPr>
    <w:r>
      <w:rPr>
        <w:rStyle w:val="PageNumber"/>
      </w:rPr>
      <w:tab/>
    </w:r>
    <w:r w:rsidRPr="002C7EA9">
      <w:rPr>
        <w:rStyle w:val="PageNumber"/>
      </w:rPr>
      <w:t xml:space="preserve">Page </w:t>
    </w:r>
    <w:r w:rsidR="00D44B5F" w:rsidRPr="002C7EA9">
      <w:rPr>
        <w:rStyle w:val="PageNumber"/>
      </w:rPr>
      <w:fldChar w:fldCharType="begin"/>
    </w:r>
    <w:r w:rsidRPr="002C7EA9">
      <w:rPr>
        <w:rStyle w:val="PageNumber"/>
      </w:rPr>
      <w:instrText xml:space="preserve"> PAGE </w:instrText>
    </w:r>
    <w:r w:rsidR="00D44B5F" w:rsidRPr="002C7EA9">
      <w:rPr>
        <w:rStyle w:val="PageNumber"/>
      </w:rPr>
      <w:fldChar w:fldCharType="separate"/>
    </w:r>
    <w:r w:rsidR="00D10022">
      <w:rPr>
        <w:rStyle w:val="PageNumber"/>
        <w:noProof/>
      </w:rPr>
      <w:t>3</w:t>
    </w:r>
    <w:r w:rsidR="00D44B5F" w:rsidRPr="002C7EA9">
      <w:rPr>
        <w:rStyle w:val="PageNumber"/>
      </w:rPr>
      <w:fldChar w:fldCharType="end"/>
    </w:r>
    <w:r w:rsidRPr="002C7EA9">
      <w:rPr>
        <w:rStyle w:val="PageNumber"/>
      </w:rPr>
      <w:t xml:space="preserve"> of </w:t>
    </w:r>
    <w:r w:rsidR="00D44B5F" w:rsidRPr="002C7EA9">
      <w:rPr>
        <w:rStyle w:val="PageNumber"/>
      </w:rPr>
      <w:fldChar w:fldCharType="begin"/>
    </w:r>
    <w:r w:rsidRPr="002C7EA9">
      <w:rPr>
        <w:rStyle w:val="PageNumber"/>
      </w:rPr>
      <w:instrText xml:space="preserve"> NUMPAGES </w:instrText>
    </w:r>
    <w:r w:rsidR="00D44B5F" w:rsidRPr="002C7EA9">
      <w:rPr>
        <w:rStyle w:val="PageNumber"/>
      </w:rPr>
      <w:fldChar w:fldCharType="separate"/>
    </w:r>
    <w:r w:rsidR="00D10022">
      <w:rPr>
        <w:rStyle w:val="PageNumber"/>
        <w:noProof/>
      </w:rPr>
      <w:t>3</w:t>
    </w:r>
    <w:r w:rsidR="00D44B5F"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204"/>
      <w:gridCol w:w="4860"/>
    </w:tblGrid>
    <w:tr w:rsidR="0089045C" w:rsidTr="00B46469">
      <w:trPr>
        <w:trHeight w:val="432"/>
      </w:trPr>
      <w:tc>
        <w:tcPr>
          <w:tcW w:w="1296" w:type="dxa"/>
          <w:tcBorders>
            <w:top w:val="single" w:sz="8" w:space="0" w:color="auto"/>
            <w:bottom w:val="nil"/>
            <w:right w:val="nil"/>
          </w:tcBorders>
        </w:tcPr>
        <w:p w:rsidR="0089045C" w:rsidRDefault="0089045C" w:rsidP="0092727B">
          <w:pPr>
            <w:pStyle w:val="Footer"/>
            <w:tabs>
              <w:tab w:val="clear" w:pos="4320"/>
              <w:tab w:val="clear" w:pos="8640"/>
            </w:tabs>
            <w:rPr>
              <w:sz w:val="16"/>
              <w:szCs w:val="16"/>
            </w:rPr>
          </w:pPr>
          <w:r>
            <w:rPr>
              <w:b/>
              <w:bCs/>
            </w:rPr>
            <w:t>Contact:</w:t>
          </w:r>
        </w:p>
      </w:tc>
      <w:tc>
        <w:tcPr>
          <w:tcW w:w="3204" w:type="dxa"/>
          <w:tcBorders>
            <w:top w:val="single" w:sz="8" w:space="0" w:color="auto"/>
            <w:left w:val="nil"/>
            <w:bottom w:val="nil"/>
            <w:right w:val="nil"/>
          </w:tcBorders>
        </w:tcPr>
        <w:p w:rsidR="00B46469" w:rsidRPr="001A25A5" w:rsidRDefault="00B46469" w:rsidP="00B46469">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Muneo Abe</w:t>
          </w:r>
        </w:p>
        <w:p w:rsidR="0089045C" w:rsidRPr="002A0111" w:rsidRDefault="00B46469" w:rsidP="00B46469">
          <w:pPr>
            <w:pStyle w:val="Footer"/>
            <w:tabs>
              <w:tab w:val="clear" w:pos="4320"/>
              <w:tab w:val="clear" w:pos="8640"/>
            </w:tabs>
          </w:pPr>
          <w:r>
            <w:rPr>
              <w:rFonts w:eastAsia="Batang"/>
            </w:rPr>
            <w:t>Chairman, WP 3</w:t>
          </w:r>
        </w:p>
      </w:tc>
      <w:tc>
        <w:tcPr>
          <w:tcW w:w="4860" w:type="dxa"/>
          <w:tcBorders>
            <w:top w:val="single" w:sz="8" w:space="0" w:color="auto"/>
            <w:left w:val="nil"/>
            <w:bottom w:val="nil"/>
          </w:tcBorders>
        </w:tcPr>
        <w:p w:rsidR="0089045C" w:rsidRPr="0092727B" w:rsidRDefault="0089045C" w:rsidP="0092727B">
          <w:pPr>
            <w:pStyle w:val="Footer"/>
            <w:tabs>
              <w:tab w:val="clear" w:pos="4320"/>
              <w:tab w:val="clear" w:pos="8640"/>
            </w:tabs>
          </w:pPr>
          <w:r>
            <w:t>E-mail:</w:t>
          </w:r>
          <w:r w:rsidR="00B46469">
            <w:t xml:space="preserve"> </w:t>
          </w:r>
          <w:r w:rsidR="00B46469">
            <w:t>Abe.Muneo@cj.MitsubishiElectric.co.jp</w:t>
          </w:r>
        </w:p>
      </w:tc>
    </w:tr>
  </w:tbl>
  <w:p w:rsidR="0089045C" w:rsidRDefault="0089045C"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0D" w:rsidRDefault="00F6220D">
      <w:r>
        <w:separator/>
      </w:r>
    </w:p>
  </w:footnote>
  <w:footnote w:type="continuationSeparator" w:id="0">
    <w:p w:rsidR="00F6220D" w:rsidRDefault="00F6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5C" w:rsidRDefault="0089045C" w:rsidP="0092727B">
    <w:pPr>
      <w:pStyle w:val="Header"/>
      <w:tabs>
        <w:tab w:val="clear" w:pos="4320"/>
        <w:tab w:val="clear" w:pos="8640"/>
      </w:tabs>
      <w:rPr>
        <w:lang w:eastAsia="ko-KR"/>
      </w:rPr>
    </w:pPr>
  </w:p>
  <w:p w:rsidR="0089045C" w:rsidRDefault="0089045C"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5C" w:rsidRDefault="0089045C"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D0"/>
    <w:multiLevelType w:val="hybridMultilevel"/>
    <w:tmpl w:val="158A8C6A"/>
    <w:lvl w:ilvl="0" w:tplc="7B2A6C4E">
      <w:start w:val="21"/>
      <w:numFmt w:val="bullet"/>
      <w:lvlText w:val="−"/>
      <w:lvlJc w:val="left"/>
      <w:pPr>
        <w:ind w:left="720" w:hanging="360"/>
      </w:pPr>
      <w:rPr>
        <w:rFonts w:ascii="Times New Roman" w:eastAsia="Times New Roman" w:hAnsi="Times New Roman" w:cs="Times New Roman" w:hint="default"/>
      </w:rPr>
    </w:lvl>
    <w:lvl w:ilvl="1" w:tplc="32400D54">
      <w:start w:val="1"/>
      <w:numFmt w:val="bullet"/>
      <w:lvlText w:val="–"/>
      <w:lvlJc w:val="left"/>
      <w:pPr>
        <w:ind w:left="1800" w:hanging="720"/>
      </w:pPr>
      <w:rPr>
        <w:rFonts w:ascii="Times New Roman" w:eastAsia="BatangChe" w:hAnsi="Times New Roman" w:cs="Times New Roman" w:hint="default"/>
        <w:i w:val="0"/>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95248C"/>
    <w:multiLevelType w:val="hybridMultilevel"/>
    <w:tmpl w:val="C95A3C3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7B2A6C4E">
      <w:start w:val="21"/>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87056D"/>
    <w:multiLevelType w:val="hybridMultilevel"/>
    <w:tmpl w:val="BA80344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18"/>
  </w:num>
  <w:num w:numId="5">
    <w:abstractNumId w:val="11"/>
  </w:num>
  <w:num w:numId="6">
    <w:abstractNumId w:val="13"/>
  </w:num>
  <w:num w:numId="7">
    <w:abstractNumId w:val="5"/>
  </w:num>
  <w:num w:numId="8">
    <w:abstractNumId w:val="2"/>
  </w:num>
  <w:num w:numId="9">
    <w:abstractNumId w:val="21"/>
  </w:num>
  <w:num w:numId="10">
    <w:abstractNumId w:val="17"/>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6"/>
  </w:num>
  <w:num w:numId="18">
    <w:abstractNumId w:val="14"/>
  </w:num>
  <w:num w:numId="19">
    <w:abstractNumId w:val="20"/>
  </w:num>
  <w:num w:numId="20">
    <w:abstractNumId w:val="10"/>
  </w:num>
  <w:num w:numId="21">
    <w:abstractNumId w:val="19"/>
  </w:num>
  <w:num w:numId="22">
    <w:abstractNumId w:val="23"/>
  </w:num>
  <w:num w:numId="23">
    <w:abstractNumId w:val="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E11"/>
    <w:rsid w:val="00010C8E"/>
    <w:rsid w:val="00017FB8"/>
    <w:rsid w:val="0003595B"/>
    <w:rsid w:val="00036517"/>
    <w:rsid w:val="00036CC9"/>
    <w:rsid w:val="00040149"/>
    <w:rsid w:val="0004180F"/>
    <w:rsid w:val="00053246"/>
    <w:rsid w:val="00061EAB"/>
    <w:rsid w:val="00070642"/>
    <w:rsid w:val="000713CF"/>
    <w:rsid w:val="00073ED4"/>
    <w:rsid w:val="00075C14"/>
    <w:rsid w:val="000822B5"/>
    <w:rsid w:val="00094B87"/>
    <w:rsid w:val="000A012B"/>
    <w:rsid w:val="000A40B6"/>
    <w:rsid w:val="000A5418"/>
    <w:rsid w:val="000D47FB"/>
    <w:rsid w:val="000E3CEF"/>
    <w:rsid w:val="000E43DC"/>
    <w:rsid w:val="000F345F"/>
    <w:rsid w:val="000F517C"/>
    <w:rsid w:val="000F5540"/>
    <w:rsid w:val="000F6153"/>
    <w:rsid w:val="000F7D6C"/>
    <w:rsid w:val="00105F1A"/>
    <w:rsid w:val="00125FBD"/>
    <w:rsid w:val="00127064"/>
    <w:rsid w:val="00131607"/>
    <w:rsid w:val="001409B2"/>
    <w:rsid w:val="00152636"/>
    <w:rsid w:val="001539DD"/>
    <w:rsid w:val="00155BD9"/>
    <w:rsid w:val="00156782"/>
    <w:rsid w:val="00164620"/>
    <w:rsid w:val="00165846"/>
    <w:rsid w:val="00165F01"/>
    <w:rsid w:val="001731F4"/>
    <w:rsid w:val="001916F2"/>
    <w:rsid w:val="001930A7"/>
    <w:rsid w:val="00196568"/>
    <w:rsid w:val="00197C18"/>
    <w:rsid w:val="001A2F16"/>
    <w:rsid w:val="001A717C"/>
    <w:rsid w:val="001B1804"/>
    <w:rsid w:val="001B18C2"/>
    <w:rsid w:val="001C443F"/>
    <w:rsid w:val="001C61A5"/>
    <w:rsid w:val="001C6707"/>
    <w:rsid w:val="001D5D7E"/>
    <w:rsid w:val="001F5947"/>
    <w:rsid w:val="00202410"/>
    <w:rsid w:val="002038F9"/>
    <w:rsid w:val="00214A0C"/>
    <w:rsid w:val="0021588B"/>
    <w:rsid w:val="002161B6"/>
    <w:rsid w:val="002216AC"/>
    <w:rsid w:val="00230BE5"/>
    <w:rsid w:val="00230BFB"/>
    <w:rsid w:val="0023212E"/>
    <w:rsid w:val="0023280A"/>
    <w:rsid w:val="002405F7"/>
    <w:rsid w:val="002475E2"/>
    <w:rsid w:val="002506D2"/>
    <w:rsid w:val="00250DE2"/>
    <w:rsid w:val="00254A1B"/>
    <w:rsid w:val="00257800"/>
    <w:rsid w:val="0026064A"/>
    <w:rsid w:val="00264566"/>
    <w:rsid w:val="0028454D"/>
    <w:rsid w:val="00291C9E"/>
    <w:rsid w:val="002921F1"/>
    <w:rsid w:val="002926D4"/>
    <w:rsid w:val="0029734E"/>
    <w:rsid w:val="002A0111"/>
    <w:rsid w:val="002A3CF5"/>
    <w:rsid w:val="002A5306"/>
    <w:rsid w:val="002B06A3"/>
    <w:rsid w:val="002B435C"/>
    <w:rsid w:val="002B447F"/>
    <w:rsid w:val="002C07DA"/>
    <w:rsid w:val="002C2A49"/>
    <w:rsid w:val="002C7EA9"/>
    <w:rsid w:val="002F575D"/>
    <w:rsid w:val="003113D7"/>
    <w:rsid w:val="00311E8A"/>
    <w:rsid w:val="003135E3"/>
    <w:rsid w:val="00320C59"/>
    <w:rsid w:val="003408CB"/>
    <w:rsid w:val="00342F20"/>
    <w:rsid w:val="00354687"/>
    <w:rsid w:val="003571B4"/>
    <w:rsid w:val="00360377"/>
    <w:rsid w:val="00366548"/>
    <w:rsid w:val="0038005B"/>
    <w:rsid w:val="003809C7"/>
    <w:rsid w:val="0038236C"/>
    <w:rsid w:val="00393DCD"/>
    <w:rsid w:val="00395B40"/>
    <w:rsid w:val="003A2006"/>
    <w:rsid w:val="003A5173"/>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33E38"/>
    <w:rsid w:val="00441526"/>
    <w:rsid w:val="004465AA"/>
    <w:rsid w:val="00446A5E"/>
    <w:rsid w:val="0045458F"/>
    <w:rsid w:val="004579BE"/>
    <w:rsid w:val="00462132"/>
    <w:rsid w:val="004633B4"/>
    <w:rsid w:val="004946DD"/>
    <w:rsid w:val="00495CED"/>
    <w:rsid w:val="004A0455"/>
    <w:rsid w:val="004A29EE"/>
    <w:rsid w:val="004A2F96"/>
    <w:rsid w:val="004A4BDF"/>
    <w:rsid w:val="004B3553"/>
    <w:rsid w:val="004B3F4B"/>
    <w:rsid w:val="004B4437"/>
    <w:rsid w:val="004C23A3"/>
    <w:rsid w:val="004E1FCA"/>
    <w:rsid w:val="004E47D6"/>
    <w:rsid w:val="004F477A"/>
    <w:rsid w:val="00503189"/>
    <w:rsid w:val="00504750"/>
    <w:rsid w:val="00516BD1"/>
    <w:rsid w:val="00517316"/>
    <w:rsid w:val="005206E9"/>
    <w:rsid w:val="00521315"/>
    <w:rsid w:val="0052356A"/>
    <w:rsid w:val="00526D01"/>
    <w:rsid w:val="00530E8C"/>
    <w:rsid w:val="00532E47"/>
    <w:rsid w:val="00533A6A"/>
    <w:rsid w:val="00535D34"/>
    <w:rsid w:val="00545933"/>
    <w:rsid w:val="00552105"/>
    <w:rsid w:val="005562F2"/>
    <w:rsid w:val="00557544"/>
    <w:rsid w:val="005615F0"/>
    <w:rsid w:val="00565BBB"/>
    <w:rsid w:val="005811B6"/>
    <w:rsid w:val="00585F3C"/>
    <w:rsid w:val="00586CA0"/>
    <w:rsid w:val="00587875"/>
    <w:rsid w:val="005A55E9"/>
    <w:rsid w:val="005A63EB"/>
    <w:rsid w:val="005B0876"/>
    <w:rsid w:val="005B1675"/>
    <w:rsid w:val="005C33B6"/>
    <w:rsid w:val="005D4B2C"/>
    <w:rsid w:val="005D6202"/>
    <w:rsid w:val="005D624D"/>
    <w:rsid w:val="005D6E98"/>
    <w:rsid w:val="005E44BD"/>
    <w:rsid w:val="00607E2B"/>
    <w:rsid w:val="006139D6"/>
    <w:rsid w:val="00616D1B"/>
    <w:rsid w:val="00623CE1"/>
    <w:rsid w:val="00627880"/>
    <w:rsid w:val="0063062B"/>
    <w:rsid w:val="00634A82"/>
    <w:rsid w:val="00637351"/>
    <w:rsid w:val="00643548"/>
    <w:rsid w:val="00646166"/>
    <w:rsid w:val="00646270"/>
    <w:rsid w:val="00654896"/>
    <w:rsid w:val="006621F0"/>
    <w:rsid w:val="006647BA"/>
    <w:rsid w:val="00667229"/>
    <w:rsid w:val="006732FA"/>
    <w:rsid w:val="006800C2"/>
    <w:rsid w:val="00682BE5"/>
    <w:rsid w:val="00683846"/>
    <w:rsid w:val="00690FED"/>
    <w:rsid w:val="006939A5"/>
    <w:rsid w:val="006B0B87"/>
    <w:rsid w:val="006D0354"/>
    <w:rsid w:val="006D5223"/>
    <w:rsid w:val="006D5970"/>
    <w:rsid w:val="006E12FC"/>
    <w:rsid w:val="006F0F24"/>
    <w:rsid w:val="006F2B2E"/>
    <w:rsid w:val="006F6A5C"/>
    <w:rsid w:val="00703F6F"/>
    <w:rsid w:val="007052B3"/>
    <w:rsid w:val="00705962"/>
    <w:rsid w:val="00707C21"/>
    <w:rsid w:val="00712451"/>
    <w:rsid w:val="0071286A"/>
    <w:rsid w:val="00717DE9"/>
    <w:rsid w:val="00724659"/>
    <w:rsid w:val="0072518B"/>
    <w:rsid w:val="00731041"/>
    <w:rsid w:val="00731AD6"/>
    <w:rsid w:val="007329E4"/>
    <w:rsid w:val="00732F08"/>
    <w:rsid w:val="007342F0"/>
    <w:rsid w:val="0074190C"/>
    <w:rsid w:val="00742079"/>
    <w:rsid w:val="00745DE4"/>
    <w:rsid w:val="0075493D"/>
    <w:rsid w:val="00762576"/>
    <w:rsid w:val="007673CA"/>
    <w:rsid w:val="007736E1"/>
    <w:rsid w:val="00791060"/>
    <w:rsid w:val="007926EA"/>
    <w:rsid w:val="007B5626"/>
    <w:rsid w:val="007B6124"/>
    <w:rsid w:val="007D3C53"/>
    <w:rsid w:val="007D448C"/>
    <w:rsid w:val="007E3A0F"/>
    <w:rsid w:val="007F2628"/>
    <w:rsid w:val="007F2FBA"/>
    <w:rsid w:val="007F32F9"/>
    <w:rsid w:val="007F7D12"/>
    <w:rsid w:val="00800C3A"/>
    <w:rsid w:val="0080570B"/>
    <w:rsid w:val="008148E1"/>
    <w:rsid w:val="008319BF"/>
    <w:rsid w:val="008322BF"/>
    <w:rsid w:val="0083342A"/>
    <w:rsid w:val="00840347"/>
    <w:rsid w:val="008415F0"/>
    <w:rsid w:val="008433C2"/>
    <w:rsid w:val="00844457"/>
    <w:rsid w:val="008454C8"/>
    <w:rsid w:val="00851D78"/>
    <w:rsid w:val="00867507"/>
    <w:rsid w:val="00876040"/>
    <w:rsid w:val="00885399"/>
    <w:rsid w:val="0089045C"/>
    <w:rsid w:val="008A016F"/>
    <w:rsid w:val="008A1A0D"/>
    <w:rsid w:val="008A72E1"/>
    <w:rsid w:val="008A76ED"/>
    <w:rsid w:val="008B3C72"/>
    <w:rsid w:val="008B5ECD"/>
    <w:rsid w:val="008C022A"/>
    <w:rsid w:val="008C2D68"/>
    <w:rsid w:val="008C3EA4"/>
    <w:rsid w:val="008C5FED"/>
    <w:rsid w:val="008C6C3E"/>
    <w:rsid w:val="008D0E09"/>
    <w:rsid w:val="008E7931"/>
    <w:rsid w:val="008F617E"/>
    <w:rsid w:val="009028C8"/>
    <w:rsid w:val="00903007"/>
    <w:rsid w:val="0090457C"/>
    <w:rsid w:val="00923816"/>
    <w:rsid w:val="0092727B"/>
    <w:rsid w:val="009301DD"/>
    <w:rsid w:val="0093074B"/>
    <w:rsid w:val="00930E64"/>
    <w:rsid w:val="00941DE6"/>
    <w:rsid w:val="00943CF9"/>
    <w:rsid w:val="009465A6"/>
    <w:rsid w:val="00953846"/>
    <w:rsid w:val="00956F8C"/>
    <w:rsid w:val="00961D57"/>
    <w:rsid w:val="00976716"/>
    <w:rsid w:val="0097693B"/>
    <w:rsid w:val="00986020"/>
    <w:rsid w:val="00993355"/>
    <w:rsid w:val="009963F7"/>
    <w:rsid w:val="009A11CB"/>
    <w:rsid w:val="009A4A6D"/>
    <w:rsid w:val="009B05BD"/>
    <w:rsid w:val="009B44DD"/>
    <w:rsid w:val="009B6BD5"/>
    <w:rsid w:val="009B7E42"/>
    <w:rsid w:val="009C4387"/>
    <w:rsid w:val="009C7235"/>
    <w:rsid w:val="009D46CE"/>
    <w:rsid w:val="009D4ADA"/>
    <w:rsid w:val="009E13DD"/>
    <w:rsid w:val="009F1D71"/>
    <w:rsid w:val="009F547A"/>
    <w:rsid w:val="00A03D78"/>
    <w:rsid w:val="00A0503B"/>
    <w:rsid w:val="00A059CD"/>
    <w:rsid w:val="00A106EE"/>
    <w:rsid w:val="00A12EB7"/>
    <w:rsid w:val="00A13265"/>
    <w:rsid w:val="00A14900"/>
    <w:rsid w:val="00A2159F"/>
    <w:rsid w:val="00A324FF"/>
    <w:rsid w:val="00A32E8C"/>
    <w:rsid w:val="00A35F42"/>
    <w:rsid w:val="00A363FD"/>
    <w:rsid w:val="00A529BC"/>
    <w:rsid w:val="00A5346C"/>
    <w:rsid w:val="00A53F51"/>
    <w:rsid w:val="00A562F0"/>
    <w:rsid w:val="00A564FB"/>
    <w:rsid w:val="00A614C1"/>
    <w:rsid w:val="00A61EA6"/>
    <w:rsid w:val="00A657BF"/>
    <w:rsid w:val="00A71136"/>
    <w:rsid w:val="00A71C7A"/>
    <w:rsid w:val="00A92578"/>
    <w:rsid w:val="00A95DEB"/>
    <w:rsid w:val="00AA474C"/>
    <w:rsid w:val="00AA4DDC"/>
    <w:rsid w:val="00AA5004"/>
    <w:rsid w:val="00AB68F1"/>
    <w:rsid w:val="00AC35EF"/>
    <w:rsid w:val="00AC4D5B"/>
    <w:rsid w:val="00AD1DDB"/>
    <w:rsid w:val="00AD2697"/>
    <w:rsid w:val="00AD7E5F"/>
    <w:rsid w:val="00AE2FFA"/>
    <w:rsid w:val="00AE3066"/>
    <w:rsid w:val="00AF68E4"/>
    <w:rsid w:val="00B00A87"/>
    <w:rsid w:val="00B01AA1"/>
    <w:rsid w:val="00B023E0"/>
    <w:rsid w:val="00B06025"/>
    <w:rsid w:val="00B30C81"/>
    <w:rsid w:val="00B30DA1"/>
    <w:rsid w:val="00B32194"/>
    <w:rsid w:val="00B45101"/>
    <w:rsid w:val="00B46469"/>
    <w:rsid w:val="00B4793B"/>
    <w:rsid w:val="00B56099"/>
    <w:rsid w:val="00B57D77"/>
    <w:rsid w:val="00B61C93"/>
    <w:rsid w:val="00B64A60"/>
    <w:rsid w:val="00B661AC"/>
    <w:rsid w:val="00B8468D"/>
    <w:rsid w:val="00B856B7"/>
    <w:rsid w:val="00B937D7"/>
    <w:rsid w:val="00B96B67"/>
    <w:rsid w:val="00BB0EA4"/>
    <w:rsid w:val="00BB21C0"/>
    <w:rsid w:val="00BC1ADC"/>
    <w:rsid w:val="00BC57EF"/>
    <w:rsid w:val="00BC5B60"/>
    <w:rsid w:val="00BC69DB"/>
    <w:rsid w:val="00BD1C4B"/>
    <w:rsid w:val="00BD5816"/>
    <w:rsid w:val="00BE6B6B"/>
    <w:rsid w:val="00BF25F9"/>
    <w:rsid w:val="00C00B04"/>
    <w:rsid w:val="00C13FD5"/>
    <w:rsid w:val="00C15633"/>
    <w:rsid w:val="00C15799"/>
    <w:rsid w:val="00C22475"/>
    <w:rsid w:val="00C25105"/>
    <w:rsid w:val="00C30840"/>
    <w:rsid w:val="00C32E84"/>
    <w:rsid w:val="00C35415"/>
    <w:rsid w:val="00C357AD"/>
    <w:rsid w:val="00C516C7"/>
    <w:rsid w:val="00C51C5F"/>
    <w:rsid w:val="00C554CC"/>
    <w:rsid w:val="00C6069C"/>
    <w:rsid w:val="00C67FE0"/>
    <w:rsid w:val="00C70477"/>
    <w:rsid w:val="00C74745"/>
    <w:rsid w:val="00C85119"/>
    <w:rsid w:val="00C93FC5"/>
    <w:rsid w:val="00C95572"/>
    <w:rsid w:val="00C95C48"/>
    <w:rsid w:val="00CA05C9"/>
    <w:rsid w:val="00CA41E7"/>
    <w:rsid w:val="00CA431C"/>
    <w:rsid w:val="00CA6902"/>
    <w:rsid w:val="00CC3A00"/>
    <w:rsid w:val="00CD0A94"/>
    <w:rsid w:val="00CD170C"/>
    <w:rsid w:val="00CD256B"/>
    <w:rsid w:val="00CD320B"/>
    <w:rsid w:val="00CD38CE"/>
    <w:rsid w:val="00CD3F37"/>
    <w:rsid w:val="00CD5431"/>
    <w:rsid w:val="00CE4B93"/>
    <w:rsid w:val="00CF2491"/>
    <w:rsid w:val="00CF3963"/>
    <w:rsid w:val="00D00828"/>
    <w:rsid w:val="00D10022"/>
    <w:rsid w:val="00D1252E"/>
    <w:rsid w:val="00D13D9D"/>
    <w:rsid w:val="00D14AFE"/>
    <w:rsid w:val="00D365AF"/>
    <w:rsid w:val="00D369E5"/>
    <w:rsid w:val="00D416A3"/>
    <w:rsid w:val="00D44B5F"/>
    <w:rsid w:val="00D459A2"/>
    <w:rsid w:val="00D530FF"/>
    <w:rsid w:val="00D53688"/>
    <w:rsid w:val="00D5407A"/>
    <w:rsid w:val="00D57772"/>
    <w:rsid w:val="00D72AE3"/>
    <w:rsid w:val="00D72EBD"/>
    <w:rsid w:val="00D75A4D"/>
    <w:rsid w:val="00D80DB5"/>
    <w:rsid w:val="00D8478B"/>
    <w:rsid w:val="00D86151"/>
    <w:rsid w:val="00D9172D"/>
    <w:rsid w:val="00D97E84"/>
    <w:rsid w:val="00DA5641"/>
    <w:rsid w:val="00DA7595"/>
    <w:rsid w:val="00DB0A68"/>
    <w:rsid w:val="00DB63F1"/>
    <w:rsid w:val="00DC43A3"/>
    <w:rsid w:val="00DC4CF3"/>
    <w:rsid w:val="00DC5C01"/>
    <w:rsid w:val="00DD7C09"/>
    <w:rsid w:val="00DE1F5B"/>
    <w:rsid w:val="00DE63DE"/>
    <w:rsid w:val="00DF0EB4"/>
    <w:rsid w:val="00DF111E"/>
    <w:rsid w:val="00DF6BD8"/>
    <w:rsid w:val="00E0124F"/>
    <w:rsid w:val="00E01840"/>
    <w:rsid w:val="00E126F1"/>
    <w:rsid w:val="00E2544E"/>
    <w:rsid w:val="00E27C63"/>
    <w:rsid w:val="00E40749"/>
    <w:rsid w:val="00E5762A"/>
    <w:rsid w:val="00E674D3"/>
    <w:rsid w:val="00E70FD0"/>
    <w:rsid w:val="00E720A1"/>
    <w:rsid w:val="00E72B2C"/>
    <w:rsid w:val="00E7309D"/>
    <w:rsid w:val="00E7321D"/>
    <w:rsid w:val="00E77C4B"/>
    <w:rsid w:val="00E9301F"/>
    <w:rsid w:val="00E9690A"/>
    <w:rsid w:val="00E97DC7"/>
    <w:rsid w:val="00EC2A90"/>
    <w:rsid w:val="00EE5249"/>
    <w:rsid w:val="00EE6D69"/>
    <w:rsid w:val="00EF1C6A"/>
    <w:rsid w:val="00F000EF"/>
    <w:rsid w:val="00F2504E"/>
    <w:rsid w:val="00F2585B"/>
    <w:rsid w:val="00F32020"/>
    <w:rsid w:val="00F3494D"/>
    <w:rsid w:val="00F4053F"/>
    <w:rsid w:val="00F516E7"/>
    <w:rsid w:val="00F57BF7"/>
    <w:rsid w:val="00F60001"/>
    <w:rsid w:val="00F6220D"/>
    <w:rsid w:val="00F6263E"/>
    <w:rsid w:val="00F627C2"/>
    <w:rsid w:val="00F736FD"/>
    <w:rsid w:val="00F80EB5"/>
    <w:rsid w:val="00F84067"/>
    <w:rsid w:val="00FA024D"/>
    <w:rsid w:val="00FA50B4"/>
    <w:rsid w:val="00FB60D2"/>
    <w:rsid w:val="00FB6E83"/>
    <w:rsid w:val="00FC156A"/>
    <w:rsid w:val="00FD6235"/>
    <w:rsid w:val="00FD6BE5"/>
    <w:rsid w:val="00FE13D1"/>
    <w:rsid w:val="00FE3D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3751C6-D27A-4C24-B626-4560B898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F6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61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433E3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Appref">
    <w:name w:val="App_ref"/>
    <w:basedOn w:val="DefaultParagraphFont"/>
    <w:rsid w:val="00433E38"/>
  </w:style>
  <w:style w:type="character" w:customStyle="1" w:styleId="Artdef">
    <w:name w:val="Art_def"/>
    <w:basedOn w:val="DefaultParagraphFont"/>
    <w:qFormat/>
    <w:rsid w:val="00433E38"/>
    <w:rPr>
      <w:rFonts w:ascii="Times New Roman" w:hAnsi="Times New Roman"/>
      <w:b/>
    </w:rPr>
  </w:style>
  <w:style w:type="character" w:customStyle="1" w:styleId="Artref">
    <w:name w:val="Art_ref"/>
    <w:basedOn w:val="DefaultParagraphFont"/>
    <w:qFormat/>
    <w:rsid w:val="00433E38"/>
  </w:style>
  <w:style w:type="character" w:customStyle="1" w:styleId="Provsplit">
    <w:name w:val="Prov_split"/>
    <w:basedOn w:val="DefaultParagraphFont"/>
    <w:qFormat/>
    <w:rsid w:val="00433E38"/>
    <w:rPr>
      <w:rFonts w:ascii="Times New Roman" w:hAnsi="Times New Roman"/>
      <w:b w:val="0"/>
    </w:rPr>
  </w:style>
  <w:style w:type="character" w:customStyle="1" w:styleId="enumlev1Char">
    <w:name w:val="enumlev1 Char"/>
    <w:basedOn w:val="DefaultParagraphFont"/>
    <w:link w:val="enumlev1"/>
    <w:qFormat/>
    <w:rsid w:val="00433E38"/>
    <w:rPr>
      <w:rFonts w:eastAsia="Times New Roman"/>
      <w:sz w:val="24"/>
      <w:lang w:val="en-GB"/>
    </w:rPr>
  </w:style>
  <w:style w:type="character" w:customStyle="1" w:styleId="ApprefBold">
    <w:name w:val="App_ref + Bold"/>
    <w:basedOn w:val="Appref"/>
    <w:qFormat/>
    <w:rsid w:val="00433E38"/>
    <w:rPr>
      <w:b/>
      <w:color w:val="000000"/>
    </w:rPr>
  </w:style>
  <w:style w:type="character" w:customStyle="1" w:styleId="ApprefBold0">
    <w:name w:val="App_ref +  Bold"/>
    <w:rsid w:val="00433E38"/>
    <w:rPr>
      <w:b/>
      <w:color w:val="auto"/>
    </w:rPr>
  </w:style>
  <w:style w:type="paragraph" w:customStyle="1" w:styleId="Headingb">
    <w:name w:val="Heading_b"/>
    <w:basedOn w:val="Normal"/>
    <w:next w:val="Normal"/>
    <w:link w:val="HeadingbChar"/>
    <w:qFormat/>
    <w:rsid w:val="00433E3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433E38"/>
    <w:rPr>
      <w:rFonts w:ascii="Times New Roman Bold" w:eastAsia="Times New Roman" w:hAnsi="Times New Roman Bold" w:cs="Times New Roman Bold"/>
      <w:b/>
      <w:sz w:val="24"/>
      <w:lang w:val="fr-CH"/>
    </w:rPr>
  </w:style>
  <w:style w:type="character" w:customStyle="1" w:styleId="Heading8Char">
    <w:name w:val="Heading 8 Char"/>
    <w:basedOn w:val="DefaultParagraphFont"/>
    <w:link w:val="Heading8"/>
    <w:rsid w:val="00433E38"/>
    <w:rPr>
      <w:rFonts w:eastAsia="BatangChe"/>
      <w:b/>
      <w:bCs/>
      <w:kern w:val="2"/>
      <w:lang w:eastAsia="ko-KR"/>
    </w:rPr>
  </w:style>
  <w:style w:type="character" w:customStyle="1" w:styleId="ECCHLbold">
    <w:name w:val="ECC HL bold"/>
    <w:uiPriority w:val="1"/>
    <w:qFormat/>
    <w:rsid w:val="008C6C3E"/>
    <w:rPr>
      <w:b/>
      <w:bCs/>
    </w:rPr>
  </w:style>
  <w:style w:type="character" w:customStyle="1" w:styleId="Heading2Char">
    <w:name w:val="Heading 2 Char"/>
    <w:basedOn w:val="DefaultParagraphFont"/>
    <w:link w:val="Heading2"/>
    <w:semiHidden/>
    <w:rsid w:val="000F6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F615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9EEC-873B-4A6C-914A-3A4C9D6A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0</DocSecurity>
  <Lines>54</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2019-08-09T03:33:00Z</dcterms:created>
  <dcterms:modified xsi:type="dcterms:W3CDTF">2019-08-09T03:33:00Z</dcterms:modified>
</cp:coreProperties>
</file>