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bookmarkStart w:id="0" w:name="_GoBack"/>
            <w:bookmarkEnd w:id="0"/>
            <w:r>
              <w:rPr>
                <w:kern w:val="2"/>
                <w:sz w:val="24"/>
                <w:szCs w:val="24"/>
                <w:lang w:eastAsia="en-US"/>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712626">
              <w:rPr>
                <w:b/>
                <w:bCs/>
                <w:lang w:val="fr-FR"/>
              </w:rPr>
              <w:t>OUT</w:t>
            </w:r>
            <w:r>
              <w:rPr>
                <w:b/>
                <w:bCs/>
                <w:lang w:val="fr-FR"/>
              </w:rPr>
              <w:t>-</w:t>
            </w:r>
            <w:r w:rsidR="00712626">
              <w:rPr>
                <w:b/>
                <w:bCs/>
                <w:lang w:val="fr-FR"/>
              </w:rPr>
              <w:t>16</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742596">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Pr="001D403E" w:rsidRDefault="00712626" w:rsidP="009075E7">
      <w:pPr>
        <w:jc w:val="center"/>
        <w:rPr>
          <w:lang w:val="en-NZ"/>
        </w:rPr>
      </w:pPr>
      <w:bookmarkStart w:id="1" w:name="_Hlk534663717"/>
      <w:r>
        <w:rPr>
          <w:lang w:val="en-NZ"/>
        </w:rPr>
        <w:t>Working Party 3</w:t>
      </w:r>
    </w:p>
    <w:bookmarkEnd w:id="1"/>
    <w:p w:rsidR="009075E7" w:rsidRPr="005E4110" w:rsidRDefault="009075E7" w:rsidP="009075E7">
      <w:pPr>
        <w:jc w:val="center"/>
        <w:rPr>
          <w:b/>
          <w:bCs/>
          <w:caps/>
          <w:lang w:val="en-NZ"/>
        </w:rPr>
      </w:pPr>
    </w:p>
    <w:p w:rsidR="0029062A" w:rsidRDefault="0029062A" w:rsidP="0029062A">
      <w:pPr>
        <w:jc w:val="center"/>
        <w:rPr>
          <w:b/>
          <w:bCs/>
          <w:caps/>
          <w:lang w:val="en-NZ"/>
        </w:rPr>
      </w:pPr>
      <w:r>
        <w:rPr>
          <w:b/>
          <w:bCs/>
          <w:caps/>
          <w:lang w:val="en-NZ"/>
        </w:rPr>
        <w:t xml:space="preserve">APT VIEW AND PRELIMINARY APT COMMON PROPOSAL </w:t>
      </w:r>
    </w:p>
    <w:p w:rsidR="00ED6AE0" w:rsidRDefault="009075E7" w:rsidP="009075E7">
      <w:pPr>
        <w:jc w:val="center"/>
        <w:rPr>
          <w:b/>
          <w:bCs/>
          <w:caps/>
          <w:lang w:val="en-NZ"/>
        </w:rPr>
      </w:pPr>
      <w:r w:rsidRPr="005E4110">
        <w:rPr>
          <w:b/>
          <w:bCs/>
          <w:caps/>
          <w:lang w:val="en-NZ"/>
        </w:rPr>
        <w:t>on WRC-19 agenda item 7</w:t>
      </w:r>
      <w:r w:rsidR="00856433">
        <w:rPr>
          <w:b/>
          <w:bCs/>
          <w:caps/>
          <w:lang w:val="en-NZ"/>
        </w:rPr>
        <w:t xml:space="preserve"> (ISSUE J)</w:t>
      </w:r>
      <w:r w:rsidRPr="005E4110">
        <w:rPr>
          <w:b/>
          <w:bCs/>
          <w:caps/>
          <w:lang w:val="en-NZ"/>
        </w:rPr>
        <w:t xml:space="preserve"> </w:t>
      </w:r>
    </w:p>
    <w:p w:rsidR="003F61B8" w:rsidRDefault="003F61B8" w:rsidP="009075E7">
      <w:pPr>
        <w:jc w:val="center"/>
        <w:rPr>
          <w:b/>
          <w:bCs/>
          <w:caps/>
          <w:lang w:val="en-NZ"/>
        </w:rPr>
      </w:pPr>
    </w:p>
    <w:p w:rsidR="009075E7" w:rsidRPr="005E4110" w:rsidRDefault="009075E7" w:rsidP="009075E7">
      <w:pPr>
        <w:spacing w:after="120"/>
        <w:jc w:val="both"/>
        <w:rPr>
          <w:lang w:val="en-NZ"/>
        </w:rPr>
      </w:pPr>
      <w:r w:rsidRPr="005E4110">
        <w:rPr>
          <w:b/>
          <w:lang w:val="en-NZ"/>
        </w:rPr>
        <w:t xml:space="preserve">Agenda Item 7: </w:t>
      </w:r>
    </w:p>
    <w:p w:rsidR="009075E7" w:rsidRPr="005E4110" w:rsidRDefault="009075E7" w:rsidP="009075E7">
      <w:pPr>
        <w:spacing w:after="120"/>
        <w:jc w:val="both"/>
        <w:rPr>
          <w:i/>
        </w:rPr>
      </w:pPr>
      <w:r w:rsidRPr="005E4110">
        <w:rPr>
          <w:i/>
        </w:rPr>
        <w:t xml:space="preserve">to consider possible changes, and other options, in response to Resolution 86 (Rev. Marrakesh, 2002) of the </w:t>
      </w:r>
      <w:r w:rsidRPr="005E4110">
        <w:rPr>
          <w:i/>
          <w:lang w:val="en-NZ"/>
        </w:rPr>
        <w:t>Plenipotentiary</w:t>
      </w:r>
      <w:r w:rsidRPr="005E4110">
        <w:rPr>
          <w:i/>
        </w:rPr>
        <w:t xml:space="preserve"> Conference, an advance publication, coordination, notification and recording procedures for frequency assignments pertaining to satellite networks, in accordance with Resolution </w:t>
      </w:r>
      <w:r w:rsidRPr="005E4110">
        <w:rPr>
          <w:b/>
          <w:bCs/>
          <w:i/>
        </w:rPr>
        <w:t>86 (Rev.WRC</w:t>
      </w:r>
      <w:r w:rsidRPr="005E4110">
        <w:rPr>
          <w:b/>
          <w:bCs/>
          <w:i/>
        </w:rPr>
        <w:noBreakHyphen/>
        <w:t>07)</w:t>
      </w:r>
      <w:r w:rsidRPr="005E4110">
        <w:rPr>
          <w:i/>
        </w:rPr>
        <w:t>, in order to facilitate rational, efficient and economical use of radio frequencies and any associated orbits, including the geostationary</w:t>
      </w:r>
      <w:r w:rsidRPr="005E4110">
        <w:rPr>
          <w:i/>
        </w:rPr>
        <w:noBreakHyphen/>
        <w:t>satellite orbit</w:t>
      </w:r>
      <w:r>
        <w:rPr>
          <w:i/>
        </w:rPr>
        <w:t>.</w:t>
      </w:r>
    </w:p>
    <w:p w:rsidR="009075E7" w:rsidRDefault="009075E7" w:rsidP="009075E7">
      <w:pPr>
        <w:jc w:val="both"/>
        <w:rPr>
          <w:highlight w:val="yellow"/>
          <w:lang w:val="en-NZ"/>
        </w:rPr>
      </w:pPr>
    </w:p>
    <w:p w:rsidR="00856433" w:rsidRPr="00E258C5" w:rsidRDefault="00856433" w:rsidP="009075E7">
      <w:pPr>
        <w:jc w:val="both"/>
        <w:rPr>
          <w:highlight w:val="yellow"/>
          <w:lang w:val="en-NZ"/>
        </w:rPr>
      </w:pPr>
    </w:p>
    <w:p w:rsidR="009075E7" w:rsidRPr="00686581" w:rsidRDefault="009075E7" w:rsidP="009075E7">
      <w:pPr>
        <w:pStyle w:val="Heading1"/>
      </w:pPr>
      <w:r w:rsidRPr="00686581">
        <w:t>Issue J – Possible modification to Section 1 of Annex 1 of RR AP30 to allow a specified power flux-density to be exceeded</w:t>
      </w:r>
      <w:r w:rsidRPr="00686581">
        <w:rPr>
          <w:webHidden/>
        </w:rPr>
        <w:tab/>
      </w:r>
    </w:p>
    <w:p w:rsidR="009075E7" w:rsidRPr="00686581" w:rsidRDefault="009075E7" w:rsidP="009075E7">
      <w:pPr>
        <w:jc w:val="both"/>
        <w:rPr>
          <w:b/>
          <w:lang w:val="en-NZ"/>
        </w:rPr>
      </w:pPr>
    </w:p>
    <w:p w:rsidR="009075E7" w:rsidRPr="00686581" w:rsidRDefault="009075E7" w:rsidP="009075E7">
      <w:pPr>
        <w:pStyle w:val="Style3"/>
      </w:pPr>
      <w:r w:rsidRPr="00686581">
        <w:t xml:space="preserve">1. </w:t>
      </w:r>
      <w:r w:rsidRPr="00686581">
        <w:tab/>
        <w:t>Background</w:t>
      </w:r>
    </w:p>
    <w:p w:rsidR="009075E7" w:rsidRDefault="009075E7" w:rsidP="009075E7">
      <w:pPr>
        <w:jc w:val="both"/>
        <w:rPr>
          <w:highlight w:val="yellow"/>
          <w:lang w:eastAsia="ja-JP"/>
        </w:rPr>
      </w:pPr>
    </w:p>
    <w:p w:rsidR="009075E7" w:rsidRPr="00E1558D" w:rsidRDefault="009075E7" w:rsidP="009075E7">
      <w:pPr>
        <w:jc w:val="both"/>
      </w:pPr>
      <w:r w:rsidRPr="00E1558D">
        <w:t>In order to provide</w:t>
      </w:r>
      <w:r w:rsidRPr="00E1558D">
        <w:rPr>
          <w:lang w:eastAsia="ja-JP"/>
        </w:rPr>
        <w:t xml:space="preserve"> the advanced</w:t>
      </w:r>
      <w:r w:rsidRPr="00E1558D">
        <w:t xml:space="preserve"> broadcasting</w:t>
      </w:r>
      <w:r w:rsidRPr="00E1558D">
        <w:rPr>
          <w:lang w:eastAsia="ja-JP"/>
        </w:rPr>
        <w:t>-</w:t>
      </w:r>
      <w:r w:rsidRPr="00E1558D">
        <w:t>satellite services</w:t>
      </w:r>
      <w:r w:rsidRPr="00E1558D">
        <w:rPr>
          <w:lang w:eastAsia="ja-JP"/>
        </w:rPr>
        <w:t xml:space="preserve"> (BSS)</w:t>
      </w:r>
      <w:r w:rsidRPr="00E1558D">
        <w:t xml:space="preserve"> like UHDTV (see Rec. </w:t>
      </w:r>
      <w:hyperlink r:id="rId8" w:history="1">
        <w:r w:rsidRPr="00E1558D">
          <w:rPr>
            <w:rStyle w:val="Hyperlink"/>
          </w:rPr>
          <w:t>ITU</w:t>
        </w:r>
        <w:r w:rsidRPr="00E1558D">
          <w:rPr>
            <w:rStyle w:val="Hyperlink"/>
          </w:rPr>
          <w:noBreakHyphen/>
          <w:t>R BT.2020</w:t>
        </w:r>
      </w:hyperlink>
      <w:r w:rsidRPr="00E1558D">
        <w:t xml:space="preserve">), a modulation scheme with high spectrum efficiency (e.g. APSK) and high required </w:t>
      </w:r>
      <w:r w:rsidRPr="00E1558D">
        <w:rPr>
          <w:i/>
          <w:iCs/>
        </w:rPr>
        <w:t>C/N</w:t>
      </w:r>
      <w:r w:rsidRPr="00E1558D">
        <w:t xml:space="preserve"> (carrier-to-noise ratio) is necessary (see Rec. </w:t>
      </w:r>
      <w:hyperlink r:id="rId9" w:history="1">
        <w:r w:rsidRPr="00E1558D">
          <w:rPr>
            <w:rStyle w:val="Hyperlink"/>
          </w:rPr>
          <w:t>ITU-R BO.2098</w:t>
        </w:r>
      </w:hyperlink>
      <w:r w:rsidRPr="00E1558D">
        <w:t xml:space="preserve"> and Rep. </w:t>
      </w:r>
      <w:hyperlink r:id="rId10" w:history="1">
        <w:r w:rsidRPr="00E1558D">
          <w:rPr>
            <w:rStyle w:val="Hyperlink"/>
          </w:rPr>
          <w:t>ITU-R BO.2397</w:t>
        </w:r>
      </w:hyperlink>
      <w:r w:rsidRPr="00E1558D">
        <w:t>). In that situation, a pfd value exceeding the limit of −103.6 dB(W/(m</w:t>
      </w:r>
      <w:r w:rsidRPr="00E1558D">
        <w:rPr>
          <w:vertAlign w:val="superscript"/>
        </w:rPr>
        <w:t>2</w:t>
      </w:r>
      <w:r w:rsidRPr="00E1558D">
        <w:t xml:space="preserve"> · 27 MHz)) </w:t>
      </w:r>
      <w:r w:rsidRPr="00E1558D">
        <w:rPr>
          <w:rFonts w:eastAsia="Malgun Gothic"/>
          <w:lang w:eastAsia="ko-KR"/>
        </w:rPr>
        <w:t xml:space="preserve">within the service area </w:t>
      </w:r>
      <w:r w:rsidRPr="00E1558D">
        <w:rPr>
          <w:lang w:eastAsia="ja-JP"/>
        </w:rPr>
        <w:t>is</w:t>
      </w:r>
      <w:r w:rsidRPr="00E1558D">
        <w:t xml:space="preserve"> required</w:t>
      </w:r>
      <w:r w:rsidRPr="00E1558D">
        <w:rPr>
          <w:lang w:eastAsia="ja-JP"/>
        </w:rPr>
        <w:t xml:space="preserve"> in order to achieve the same service availability as the conventional BSS</w:t>
      </w:r>
      <w:r w:rsidRPr="00E1558D">
        <w:t>.</w:t>
      </w:r>
    </w:p>
    <w:p w:rsidR="009075E7" w:rsidRPr="00E258C5" w:rsidRDefault="009075E7" w:rsidP="009075E7">
      <w:pPr>
        <w:jc w:val="both"/>
        <w:rPr>
          <w:highlight w:val="yellow"/>
          <w:lang w:eastAsia="ja-JP"/>
        </w:rPr>
      </w:pPr>
    </w:p>
    <w:p w:rsidR="009075E7" w:rsidRPr="00E1558D" w:rsidRDefault="009075E7" w:rsidP="009075E7">
      <w:pPr>
        <w:jc w:val="both"/>
      </w:pPr>
      <w:r w:rsidRPr="00BB4CCA">
        <w:rPr>
          <w:lang w:eastAsia="ja-JP"/>
        </w:rPr>
        <w:t>T</w:t>
      </w:r>
      <w:r w:rsidRPr="00BB4CCA">
        <w:t xml:space="preserve">he Rules of Procedure addresses implementation of the pfd limit referred to in the first </w:t>
      </w:r>
      <w:r w:rsidRPr="00BB4CCA">
        <w:rPr>
          <w:rFonts w:eastAsia="Malgun Gothic"/>
          <w:lang w:eastAsia="ko-KR"/>
        </w:rPr>
        <w:t>paragraph</w:t>
      </w:r>
      <w:r w:rsidRPr="00BB4CCA">
        <w:t xml:space="preserve"> of Section 1 of Annex 1 to Appendix </w:t>
      </w:r>
      <w:r w:rsidRPr="00BB4CCA">
        <w:rPr>
          <w:b/>
        </w:rPr>
        <w:t>30</w:t>
      </w:r>
      <w:r w:rsidRPr="00BB4CCA">
        <w:t xml:space="preserve"> of the Radio Regulations as a hard limit that shall not be exceeded in order to protect BSS assignments from interference that may be caused by BSS networks located outside an arc of </w:t>
      </w:r>
      <w:r w:rsidRPr="00E1558D">
        <w:t xml:space="preserve"> </w:t>
      </w:r>
      <w:r w:rsidRPr="00BB4CCA">
        <w:t>9</w:t>
      </w:r>
      <w:r w:rsidRPr="00E1558D">
        <w:t> a</w:t>
      </w:r>
      <w:r w:rsidRPr="00BB4CCA">
        <w:t>round</w:t>
      </w:r>
      <w:r w:rsidRPr="00E1558D">
        <w:t xml:space="preserve"> </w:t>
      </w:r>
      <w:r w:rsidRPr="00BB4CCA">
        <w:t>a</w:t>
      </w:r>
      <w:r w:rsidRPr="00E1558D">
        <w:t xml:space="preserve"> </w:t>
      </w:r>
      <w:r w:rsidRPr="00BB4CCA">
        <w:t>w</w:t>
      </w:r>
      <w:r w:rsidRPr="00E1558D">
        <w:t>a</w:t>
      </w:r>
      <w:r w:rsidRPr="00BB4CCA">
        <w:t>nted</w:t>
      </w:r>
      <w:r w:rsidRPr="00E1558D">
        <w:t xml:space="preserve"> </w:t>
      </w:r>
      <w:r w:rsidRPr="00BB4CCA">
        <w:t>B</w:t>
      </w:r>
      <w:r w:rsidRPr="00E1558D">
        <w:t>S</w:t>
      </w:r>
      <w:r w:rsidRPr="00BB4CCA">
        <w:t>S</w:t>
      </w:r>
      <w:r w:rsidRPr="00E1558D">
        <w:t xml:space="preserve"> </w:t>
      </w:r>
      <w:r w:rsidRPr="00BB4CCA">
        <w:t>n</w:t>
      </w:r>
      <w:r w:rsidRPr="00E1558D">
        <w:t>e</w:t>
      </w:r>
      <w:r w:rsidRPr="00BB4CCA">
        <w:t>twor</w:t>
      </w:r>
      <w:r w:rsidRPr="00E1558D">
        <w:t>k.</w:t>
      </w:r>
    </w:p>
    <w:p w:rsidR="009075E7" w:rsidRPr="00E1558D" w:rsidRDefault="009075E7" w:rsidP="009075E7">
      <w:pPr>
        <w:jc w:val="both"/>
      </w:pPr>
    </w:p>
    <w:p w:rsidR="009075E7" w:rsidRPr="00E1558D" w:rsidRDefault="009075E7" w:rsidP="009075E7">
      <w:pPr>
        <w:jc w:val="both"/>
      </w:pPr>
      <w:r w:rsidRPr="00E1558D">
        <w:t>In the case that an administration applies the relevant provisions of RR Article 23 to request the exclusion of its territory from the service areas of BSS networks of other administrations, such BSS networks of other administrations are not entitled to be protected within the territory of the objecting administration (i.e. the notifying administration mentioned above). It should be also noted that coordination among BSS networks belonging to the same notifying administration is an internal matter of that administration.</w:t>
      </w:r>
    </w:p>
    <w:p w:rsidR="009075E7" w:rsidRDefault="009075E7" w:rsidP="009075E7">
      <w:pPr>
        <w:jc w:val="both"/>
      </w:pPr>
    </w:p>
    <w:p w:rsidR="009075E7" w:rsidRPr="00E1558D" w:rsidRDefault="009075E7" w:rsidP="009075E7">
      <w:pPr>
        <w:jc w:val="both"/>
      </w:pPr>
      <w:r w:rsidRPr="00C060DE">
        <w:t xml:space="preserve">If that limit is not exceeded outside the territory of the notifying administration, the BSS networks outside the coordination arc of other administrations are protected outside the territory of the notifying administration. </w:t>
      </w:r>
      <w:r w:rsidRPr="00E1558D">
        <w:t xml:space="preserve">For </w:t>
      </w:r>
      <w:r w:rsidRPr="00C060DE">
        <w:t>the BSS networks inside the coordination arc of other administrations, the current coordination procedure continues to be applied.</w:t>
      </w:r>
    </w:p>
    <w:p w:rsidR="009075E7" w:rsidRPr="00E1558D" w:rsidRDefault="009075E7" w:rsidP="009075E7">
      <w:pPr>
        <w:jc w:val="both"/>
      </w:pPr>
    </w:p>
    <w:p w:rsidR="009075E7" w:rsidRPr="00E1558D" w:rsidRDefault="009075E7" w:rsidP="009075E7">
      <w:pPr>
        <w:jc w:val="both"/>
      </w:pPr>
      <w:r w:rsidRPr="00C060DE">
        <w:lastRenderedPageBreak/>
        <w:t>According to the idea above,</w:t>
      </w:r>
      <w:r w:rsidRPr="00BB4CCA">
        <w:t xml:space="preserve"> </w:t>
      </w:r>
      <w:r w:rsidRPr="00E1558D">
        <w:t xml:space="preserve">the pfd limit of </w:t>
      </w:r>
      <w:r w:rsidRPr="00BB4CCA">
        <w:t>−103.6 dB(W/(m</w:t>
      </w:r>
      <w:r w:rsidRPr="00E1558D">
        <w:t>2</w:t>
      </w:r>
      <w:r w:rsidRPr="00BB4CCA">
        <w:t xml:space="preserve"> · 27 MHz)) </w:t>
      </w:r>
      <w:r w:rsidRPr="00E1558D">
        <w:t xml:space="preserve">may be exceeded only </w:t>
      </w:r>
      <w:r w:rsidRPr="00BB4CCA">
        <w:t>within the national territory of the notifying administration</w:t>
      </w:r>
      <w:r w:rsidRPr="00E1558D">
        <w:t xml:space="preserve"> provided that, on the border areas and other territory of other country, this pfd limit is not exceeded</w:t>
      </w:r>
      <w:r w:rsidRPr="00BB4CCA">
        <w:t xml:space="preserve">, under the condition that the assignment does not overlap with the Regions 1 and 3 guardbands as defined in § 3.9 of Annex 5 to RR Appendix </w:t>
      </w:r>
      <w:r w:rsidRPr="000F638A">
        <w:rPr>
          <w:b/>
        </w:rPr>
        <w:t>30</w:t>
      </w:r>
      <w:r w:rsidRPr="00BB4CCA">
        <w:t xml:space="preserve"> </w:t>
      </w:r>
      <w:r w:rsidRPr="00C060DE">
        <w:t>in order to ensure the protection of services in adjacent bands</w:t>
      </w:r>
      <w:r w:rsidRPr="00E1558D">
        <w:t>.</w:t>
      </w:r>
    </w:p>
    <w:p w:rsidR="009075E7" w:rsidRPr="00E1558D" w:rsidRDefault="009075E7" w:rsidP="009075E7">
      <w:pPr>
        <w:jc w:val="both"/>
      </w:pPr>
    </w:p>
    <w:p w:rsidR="009075E7" w:rsidRDefault="009075E7" w:rsidP="009075E7">
      <w:pPr>
        <w:jc w:val="both"/>
      </w:pPr>
      <w:r>
        <w:t>T</w:t>
      </w:r>
      <w:r w:rsidRPr="00C060DE">
        <w:t xml:space="preserve">wo methods are provided. Method J1 proposes modifications to Section 1, Annex 1 of RR Appendix </w:t>
      </w:r>
      <w:r w:rsidRPr="00E1558D">
        <w:t>30</w:t>
      </w:r>
      <w:r w:rsidRPr="00C060DE">
        <w:t xml:space="preserve"> and Method J2 proposes no changes to the Radio Regulations.</w:t>
      </w:r>
    </w:p>
    <w:p w:rsidR="009075E7" w:rsidRDefault="009075E7" w:rsidP="009075E7">
      <w:pPr>
        <w:jc w:val="both"/>
      </w:pPr>
    </w:p>
    <w:p w:rsidR="009075E7" w:rsidRPr="00C61CC7" w:rsidRDefault="009075E7" w:rsidP="009075E7">
      <w:pPr>
        <w:spacing w:after="120"/>
        <w:jc w:val="both"/>
        <w:rPr>
          <w:b/>
          <w:lang w:val="en-NZ" w:eastAsia="ko-KR"/>
        </w:rPr>
      </w:pPr>
      <w:r w:rsidRPr="00C61CC7">
        <w:rPr>
          <w:b/>
          <w:lang w:val="en-NZ" w:eastAsia="ko-KR"/>
        </w:rPr>
        <w:t xml:space="preserve">Relevant ITU-R Recommendations and Reports </w:t>
      </w:r>
    </w:p>
    <w:p w:rsidR="009075E7" w:rsidRPr="00C61CC7" w:rsidRDefault="00F365C8" w:rsidP="008A1A4F">
      <w:pPr>
        <w:numPr>
          <w:ilvl w:val="0"/>
          <w:numId w:val="2"/>
        </w:numPr>
        <w:ind w:leftChars="145" w:left="708"/>
        <w:jc w:val="both"/>
        <w:rPr>
          <w:lang w:eastAsia="ko-KR"/>
        </w:rPr>
      </w:pPr>
      <w:hyperlink r:id="rId11" w:history="1">
        <w:r w:rsidR="009075E7" w:rsidRPr="00C61CC7">
          <w:rPr>
            <w:rStyle w:val="Hyperlink"/>
            <w:lang w:eastAsia="zh-CN"/>
          </w:rPr>
          <w:t xml:space="preserve">Annex 39 </w:t>
        </w:r>
        <w:r w:rsidR="009075E7" w:rsidRPr="00C61CC7">
          <w:rPr>
            <w:rStyle w:val="Hyperlink"/>
            <w:lang w:val="en-NZ"/>
          </w:rPr>
          <w:t>to</w:t>
        </w:r>
        <w:r w:rsidR="009075E7" w:rsidRPr="00C61CC7">
          <w:rPr>
            <w:rStyle w:val="Hyperlink"/>
            <w:lang w:eastAsia="zh-CN"/>
          </w:rPr>
          <w:t xml:space="preserve"> Document 826</w:t>
        </w:r>
      </w:hyperlink>
      <w:r w:rsidR="009075E7" w:rsidRPr="00C61CC7">
        <w:rPr>
          <w:lang w:eastAsia="zh-CN"/>
        </w:rPr>
        <w:t xml:space="preserve"> of the Working Party 4A Chairman Report</w:t>
      </w:r>
      <w:r w:rsidR="009075E7" w:rsidRPr="00C61CC7">
        <w:rPr>
          <w:lang w:val="en-GB" w:eastAsia="ko-KR"/>
        </w:rPr>
        <w:t>, July 2018: Preliminary D</w:t>
      </w:r>
      <w:r w:rsidR="009075E7" w:rsidRPr="00C61CC7">
        <w:t>raft CPM text for WRC-19 agenda item 7 – Issue J</w:t>
      </w:r>
    </w:p>
    <w:p w:rsidR="00E8588D" w:rsidRPr="00C61CC7" w:rsidRDefault="005254F4" w:rsidP="008A1A4F">
      <w:pPr>
        <w:numPr>
          <w:ilvl w:val="0"/>
          <w:numId w:val="2"/>
        </w:numPr>
        <w:ind w:leftChars="145" w:left="708"/>
        <w:jc w:val="both"/>
      </w:pPr>
      <w:r>
        <w:t xml:space="preserve">Chapter 3 in the </w:t>
      </w:r>
      <w:hyperlink r:id="rId12" w:history="1">
        <w:r w:rsidR="00E8588D" w:rsidRPr="00E8588D">
          <w:rPr>
            <w:rStyle w:val="Hyperlink"/>
          </w:rPr>
          <w:t>CPM Report</w:t>
        </w:r>
      </w:hyperlink>
      <w:r w:rsidR="00E8588D" w:rsidRPr="00E8588D">
        <w:t xml:space="preserve"> </w:t>
      </w:r>
      <w:r w:rsidR="00E8588D">
        <w:t xml:space="preserve">to WRC-19, February 2019: </w:t>
      </w:r>
      <w:r w:rsidR="00E8588D" w:rsidRPr="00E8588D">
        <w:t>Report of the CPM</w:t>
      </w:r>
      <w:r w:rsidR="00E8588D">
        <w:t xml:space="preserve"> </w:t>
      </w:r>
      <w:r w:rsidR="00E8588D" w:rsidRPr="00E8588D">
        <w:t>on technical, operational and</w:t>
      </w:r>
      <w:r w:rsidR="00E8588D">
        <w:t xml:space="preserve"> </w:t>
      </w:r>
      <w:r w:rsidR="00E8588D" w:rsidRPr="00E8588D">
        <w:t>regulatory/procedural matters</w:t>
      </w:r>
      <w:r w:rsidR="00E8588D">
        <w:t xml:space="preserve"> </w:t>
      </w:r>
      <w:r w:rsidR="00E8588D" w:rsidRPr="00E8588D">
        <w:t>to be considered by the</w:t>
      </w:r>
      <w:r w:rsidR="00E8588D">
        <w:t xml:space="preserve"> </w:t>
      </w:r>
      <w:r w:rsidR="00E8588D" w:rsidRPr="00E8588D">
        <w:t>World Radiocommunication</w:t>
      </w:r>
      <w:r w:rsidR="00E8588D">
        <w:t xml:space="preserve"> </w:t>
      </w:r>
      <w:r w:rsidR="00E8588D" w:rsidRPr="00E8588D">
        <w:t>Conference 2019</w:t>
      </w:r>
    </w:p>
    <w:p w:rsidR="009075E7" w:rsidRPr="00E258C5" w:rsidRDefault="009075E7" w:rsidP="009075E7">
      <w:pPr>
        <w:jc w:val="both"/>
        <w:rPr>
          <w:highlight w:val="yellow"/>
          <w:lang w:val="en-NZ"/>
        </w:rPr>
      </w:pPr>
    </w:p>
    <w:p w:rsidR="009075E7" w:rsidRPr="00686581" w:rsidRDefault="009075E7" w:rsidP="009075E7">
      <w:pPr>
        <w:pStyle w:val="Style3"/>
      </w:pPr>
      <w:r w:rsidRPr="00686581">
        <w:t xml:space="preserve">2. </w:t>
      </w:r>
      <w:r w:rsidRPr="00686581">
        <w:tab/>
        <w:t>Documents</w:t>
      </w:r>
    </w:p>
    <w:p w:rsidR="009075E7" w:rsidRPr="00686581" w:rsidRDefault="009075E7" w:rsidP="008A1A4F">
      <w:pPr>
        <w:numPr>
          <w:ilvl w:val="0"/>
          <w:numId w:val="2"/>
        </w:numPr>
        <w:ind w:leftChars="145" w:left="708"/>
        <w:jc w:val="both"/>
        <w:rPr>
          <w:rStyle w:val="Hyperlink"/>
          <w:lang w:val="en-NZ"/>
        </w:rPr>
      </w:pPr>
      <w:r w:rsidRPr="00686581">
        <w:t>Input Documents:</w:t>
      </w:r>
      <w:r w:rsidRPr="00686581">
        <w:rPr>
          <w:lang w:val="en-NZ"/>
        </w:rPr>
        <w:t xml:space="preserve"> </w:t>
      </w:r>
      <w:r w:rsidR="00E05525">
        <w:t>APG19-5/INP-</w:t>
      </w:r>
      <w:hyperlink r:id="rId13" w:history="1">
        <w:r w:rsidR="00E05525" w:rsidRPr="00BE3376">
          <w:rPr>
            <w:rStyle w:val="Hyperlink"/>
          </w:rPr>
          <w:t xml:space="preserve">44 </w:t>
        </w:r>
        <w:r w:rsidR="00C70D89">
          <w:rPr>
            <w:rStyle w:val="Hyperlink"/>
          </w:rPr>
          <w:t xml:space="preserve">(Rev.1) </w:t>
        </w:r>
        <w:r w:rsidR="00E05525" w:rsidRPr="00BE3376">
          <w:rPr>
            <w:rStyle w:val="Hyperlink"/>
          </w:rPr>
          <w:t>(AUS)</w:t>
        </w:r>
      </w:hyperlink>
      <w:r w:rsidR="00E05525">
        <w:t xml:space="preserve">, </w:t>
      </w:r>
      <w:hyperlink r:id="rId14" w:history="1">
        <w:r w:rsidR="00E05525" w:rsidRPr="00BE3376">
          <w:rPr>
            <w:rStyle w:val="Hyperlink"/>
          </w:rPr>
          <w:t>51 (INS)</w:t>
        </w:r>
      </w:hyperlink>
      <w:r w:rsidR="00E05525">
        <w:t xml:space="preserve">, </w:t>
      </w:r>
      <w:hyperlink r:id="rId15" w:history="1">
        <w:r w:rsidR="00E05525" w:rsidRPr="00BE3376">
          <w:rPr>
            <w:rStyle w:val="Hyperlink"/>
          </w:rPr>
          <w:t>67 (CHN)</w:t>
        </w:r>
      </w:hyperlink>
      <w:r w:rsidR="00E05525">
        <w:t>,</w:t>
      </w:r>
      <w:r w:rsidR="0064076F">
        <w:t xml:space="preserve"> </w:t>
      </w:r>
      <w:hyperlink r:id="rId16" w:history="1">
        <w:r w:rsidR="0064076F" w:rsidRPr="00E15158">
          <w:rPr>
            <w:rStyle w:val="Hyperlink"/>
          </w:rPr>
          <w:t>73 (</w:t>
        </w:r>
        <w:r w:rsidR="00047725">
          <w:rPr>
            <w:rStyle w:val="Hyperlink"/>
          </w:rPr>
          <w:t>J &amp; AUS</w:t>
        </w:r>
        <w:r w:rsidR="0064076F" w:rsidRPr="00E15158">
          <w:rPr>
            <w:rStyle w:val="Hyperlink"/>
          </w:rPr>
          <w:t>)</w:t>
        </w:r>
      </w:hyperlink>
      <w:r w:rsidR="0064076F">
        <w:t>,</w:t>
      </w:r>
      <w:r w:rsidR="00E05525">
        <w:t xml:space="preserve"> </w:t>
      </w:r>
      <w:hyperlink r:id="rId17" w:history="1">
        <w:r w:rsidR="00E05525" w:rsidRPr="00BE3376">
          <w:rPr>
            <w:rStyle w:val="Hyperlink"/>
          </w:rPr>
          <w:t>81 (J)</w:t>
        </w:r>
      </w:hyperlink>
      <w:r w:rsidR="00E05525">
        <w:t xml:space="preserve">, </w:t>
      </w:r>
      <w:hyperlink r:id="rId18" w:history="1">
        <w:r w:rsidR="00E05525" w:rsidRPr="00BE3376">
          <w:rPr>
            <w:rStyle w:val="Hyperlink"/>
          </w:rPr>
          <w:t>108 (MLA &amp; THA)</w:t>
        </w:r>
      </w:hyperlink>
      <w:r w:rsidR="00E05525">
        <w:t xml:space="preserve">, </w:t>
      </w:r>
      <w:hyperlink r:id="rId19" w:history="1">
        <w:r w:rsidR="00E05525" w:rsidRPr="00704703">
          <w:rPr>
            <w:rStyle w:val="Hyperlink"/>
          </w:rPr>
          <w:t>129 (KOR)</w:t>
        </w:r>
      </w:hyperlink>
    </w:p>
    <w:p w:rsidR="009075E7" w:rsidRPr="001A49BE" w:rsidRDefault="009075E7" w:rsidP="008A1A4F">
      <w:pPr>
        <w:numPr>
          <w:ilvl w:val="0"/>
          <w:numId w:val="2"/>
        </w:numPr>
        <w:ind w:leftChars="145" w:left="708"/>
        <w:jc w:val="both"/>
        <w:rPr>
          <w:rStyle w:val="Hyperlink"/>
          <w:color w:val="auto"/>
          <w:u w:val="none"/>
        </w:rPr>
      </w:pPr>
      <w:r w:rsidRPr="00C93A83">
        <w:rPr>
          <w:lang w:val="en-NZ"/>
        </w:rPr>
        <w:tab/>
      </w:r>
      <w:r w:rsidRPr="00C93A83">
        <w:t>Information Documents:</w:t>
      </w:r>
      <w:r w:rsidRPr="00C93A83">
        <w:rPr>
          <w:lang w:eastAsia="ko-KR"/>
        </w:rPr>
        <w:t xml:space="preserve"> </w:t>
      </w:r>
      <w:r w:rsidR="00C93A83" w:rsidRPr="00C93A83">
        <w:t>APG19-5/INF-</w:t>
      </w:r>
      <w:hyperlink r:id="rId20" w:history="1">
        <w:r w:rsidR="00C93A83" w:rsidRPr="00C93A83">
          <w:rPr>
            <w:rStyle w:val="Hyperlink"/>
          </w:rPr>
          <w:t>05 (ABU)</w:t>
        </w:r>
      </w:hyperlink>
      <w:r w:rsidR="00C93A83">
        <w:t xml:space="preserve">, </w:t>
      </w:r>
      <w:hyperlink r:id="rId21" w:history="1">
        <w:r w:rsidR="00C93A83" w:rsidRPr="00C93A83">
          <w:rPr>
            <w:rStyle w:val="Hyperlink"/>
          </w:rPr>
          <w:t>18 (CEPT)</w:t>
        </w:r>
      </w:hyperlink>
      <w:r w:rsidR="00305871" w:rsidRPr="00305871">
        <w:rPr>
          <w:lang w:val="en-NZ"/>
        </w:rPr>
        <w:t>,</w:t>
      </w:r>
      <w:r w:rsidR="00305871">
        <w:t xml:space="preserve"> </w:t>
      </w:r>
      <w:hyperlink r:id="rId22" w:history="1">
        <w:r w:rsidR="00305871" w:rsidRPr="00C93A83">
          <w:rPr>
            <w:rStyle w:val="Hyperlink"/>
          </w:rPr>
          <w:t>1</w:t>
        </w:r>
        <w:r w:rsidR="00305871">
          <w:rPr>
            <w:rStyle w:val="Hyperlink"/>
          </w:rPr>
          <w:t>9</w:t>
        </w:r>
        <w:r w:rsidR="00305871" w:rsidRPr="00C93A83">
          <w:rPr>
            <w:rStyle w:val="Hyperlink"/>
          </w:rPr>
          <w:t xml:space="preserve"> (</w:t>
        </w:r>
        <w:r w:rsidR="00305871">
          <w:rPr>
            <w:rStyle w:val="Hyperlink"/>
          </w:rPr>
          <w:t>ATU</w:t>
        </w:r>
        <w:r w:rsidR="00305871" w:rsidRPr="00C93A83">
          <w:rPr>
            <w:rStyle w:val="Hyperlink"/>
          </w:rPr>
          <w:t>)</w:t>
        </w:r>
      </w:hyperlink>
      <w:r w:rsidR="00C0111B" w:rsidRPr="00C0111B">
        <w:rPr>
          <w:lang w:val="en-NZ"/>
        </w:rPr>
        <w:t xml:space="preserve">, </w:t>
      </w:r>
      <w:hyperlink r:id="rId23" w:history="1">
        <w:r w:rsidR="00C0111B" w:rsidRPr="00C0111B">
          <w:rPr>
            <w:rStyle w:val="Hyperlink"/>
            <w:lang w:val="en-NZ"/>
          </w:rPr>
          <w:t>20 (CITEL)</w:t>
        </w:r>
      </w:hyperlink>
      <w:r w:rsidR="00C20C39" w:rsidRPr="00C0111B">
        <w:rPr>
          <w:lang w:val="en-NZ"/>
        </w:rPr>
        <w:t xml:space="preserve">, </w:t>
      </w:r>
      <w:hyperlink r:id="rId24" w:history="1">
        <w:r w:rsidR="00C20C39" w:rsidRPr="00C20C39">
          <w:rPr>
            <w:rStyle w:val="Hyperlink"/>
            <w:lang w:val="en-NZ"/>
          </w:rPr>
          <w:t>22 (RCC)</w:t>
        </w:r>
      </w:hyperlink>
    </w:p>
    <w:p w:rsidR="001A49BE" w:rsidRPr="00C93A83" w:rsidRDefault="001A49BE" w:rsidP="001A49BE">
      <w:pPr>
        <w:ind w:left="348"/>
        <w:jc w:val="both"/>
      </w:pPr>
    </w:p>
    <w:p w:rsidR="009075E7" w:rsidRPr="00686581" w:rsidRDefault="009075E7" w:rsidP="009075E7">
      <w:pPr>
        <w:pStyle w:val="Style3"/>
      </w:pPr>
      <w:r w:rsidRPr="00686581">
        <w:t xml:space="preserve">3. </w:t>
      </w:r>
      <w:r w:rsidRPr="00686581">
        <w:tab/>
        <w:t>Summary of discussions</w:t>
      </w:r>
    </w:p>
    <w:p w:rsidR="009075E7" w:rsidRPr="00686581" w:rsidRDefault="009075E7" w:rsidP="009075E7"/>
    <w:p w:rsidR="00B84A47" w:rsidRPr="005C154E" w:rsidRDefault="00B84A47" w:rsidP="00B84A47">
      <w:pPr>
        <w:pStyle w:val="Style2"/>
      </w:pPr>
      <w:r w:rsidRPr="005C154E">
        <w:t>3.1</w:t>
      </w:r>
      <w:r w:rsidRPr="005C154E">
        <w:tab/>
        <w:t>Summary of APT Members’ views</w:t>
      </w:r>
    </w:p>
    <w:p w:rsidR="00B84A47" w:rsidRDefault="00B84A47" w:rsidP="007F0465"/>
    <w:p w:rsidR="00B84A47" w:rsidRPr="00250FBF" w:rsidRDefault="00B84A47" w:rsidP="00B84A47">
      <w:pPr>
        <w:pStyle w:val="Style1"/>
      </w:pPr>
      <w:r w:rsidRPr="009075E7">
        <w:t xml:space="preserve">3.1.1 </w:t>
      </w:r>
      <w:r w:rsidRPr="009075E7">
        <w:tab/>
        <w:t xml:space="preserve">Australia – Document </w:t>
      </w:r>
      <w:r>
        <w:t>APG19-5/INP-</w:t>
      </w:r>
      <w:hyperlink r:id="rId25" w:history="1">
        <w:r w:rsidRPr="00250FBF">
          <w:t xml:space="preserve">44 </w:t>
        </w:r>
      </w:hyperlink>
      <w:r w:rsidR="00C70D89">
        <w:t>(Rev.1)</w:t>
      </w:r>
    </w:p>
    <w:p w:rsidR="00B84A47" w:rsidRDefault="00A256DB" w:rsidP="008A1A4F">
      <w:pPr>
        <w:numPr>
          <w:ilvl w:val="0"/>
          <w:numId w:val="2"/>
        </w:numPr>
        <w:ind w:leftChars="145" w:left="708"/>
        <w:jc w:val="both"/>
      </w:pPr>
      <w:r w:rsidRPr="00A256DB">
        <w:rPr>
          <w:rFonts w:eastAsia="SimSun"/>
          <w:lang w:eastAsia="zh-CN"/>
        </w:rPr>
        <w:t>Australia</w:t>
      </w:r>
      <w:r>
        <w:t xml:space="preserve"> will consider support for Method J1 but requires further information on the magnitude of exceedance of the pfd limit, and technical measures to contain exceedance to particular territory.</w:t>
      </w:r>
    </w:p>
    <w:p w:rsidR="00A256DB" w:rsidRDefault="00A256DB" w:rsidP="007F0465">
      <w:pPr>
        <w:rPr>
          <w:rStyle w:val="Hyperlink"/>
        </w:rPr>
      </w:pPr>
    </w:p>
    <w:p w:rsidR="00B84A47" w:rsidRPr="00250FBF" w:rsidRDefault="00B84A47" w:rsidP="00B84A47">
      <w:pPr>
        <w:pStyle w:val="Style1"/>
      </w:pPr>
      <w:r w:rsidRPr="009075E7">
        <w:t>3.1.</w:t>
      </w:r>
      <w:r>
        <w:t>2</w:t>
      </w:r>
      <w:r w:rsidRPr="009075E7">
        <w:t xml:space="preserve"> </w:t>
      </w:r>
      <w:r w:rsidRPr="009075E7">
        <w:tab/>
      </w:r>
      <w:r>
        <w:t>Indonesia</w:t>
      </w:r>
      <w:r w:rsidRPr="009075E7">
        <w:t xml:space="preserve"> – Document </w:t>
      </w:r>
      <w:r>
        <w:t>APG19-5/INP-</w:t>
      </w:r>
      <w:hyperlink r:id="rId26" w:history="1">
        <w:r w:rsidRPr="00250FBF">
          <w:t xml:space="preserve">51 </w:t>
        </w:r>
      </w:hyperlink>
    </w:p>
    <w:p w:rsidR="00240DC8" w:rsidRDefault="00240DC8" w:rsidP="008A1A4F">
      <w:pPr>
        <w:numPr>
          <w:ilvl w:val="0"/>
          <w:numId w:val="2"/>
        </w:numPr>
        <w:ind w:leftChars="145" w:left="708"/>
        <w:jc w:val="both"/>
      </w:pPr>
      <w:r>
        <w:t xml:space="preserve">Indonesia is </w:t>
      </w:r>
      <w:r>
        <w:rPr>
          <w:lang w:eastAsia="zh-CN"/>
        </w:rPr>
        <w:t>of</w:t>
      </w:r>
      <w:r>
        <w:t xml:space="preserve"> the view to support Method J2 which propose no change to Radio Regulations.</w:t>
      </w:r>
    </w:p>
    <w:p w:rsidR="00B84A47" w:rsidRPr="009075E7" w:rsidRDefault="00B84A47" w:rsidP="007F0465">
      <w:pPr>
        <w:rPr>
          <w:rStyle w:val="Hyperlink"/>
          <w:color w:val="auto"/>
          <w:u w:val="none"/>
        </w:rPr>
      </w:pPr>
    </w:p>
    <w:p w:rsidR="00B84A47" w:rsidRPr="00250FBF" w:rsidRDefault="00B84A47" w:rsidP="00B84A47">
      <w:pPr>
        <w:pStyle w:val="Style1"/>
      </w:pPr>
      <w:r w:rsidRPr="009075E7">
        <w:t>3.1.</w:t>
      </w:r>
      <w:r>
        <w:t>4</w:t>
      </w:r>
      <w:r w:rsidRPr="009075E7">
        <w:t xml:space="preserve"> </w:t>
      </w:r>
      <w:r w:rsidRPr="009075E7">
        <w:tab/>
      </w:r>
      <w:r>
        <w:t>China</w:t>
      </w:r>
      <w:r w:rsidRPr="009075E7">
        <w:t xml:space="preserve"> – Document </w:t>
      </w:r>
      <w:r>
        <w:t>APG19-5/INP-</w:t>
      </w:r>
      <w:hyperlink r:id="rId27" w:history="1">
        <w:r w:rsidRPr="00250FBF">
          <w:t xml:space="preserve">67 </w:t>
        </w:r>
      </w:hyperlink>
    </w:p>
    <w:p w:rsidR="000C5439" w:rsidRDefault="000C5439" w:rsidP="008A1A4F">
      <w:pPr>
        <w:numPr>
          <w:ilvl w:val="0"/>
          <w:numId w:val="2"/>
        </w:numPr>
        <w:ind w:leftChars="145" w:left="708"/>
        <w:jc w:val="both"/>
        <w:rPr>
          <w:rFonts w:eastAsia="SimSun"/>
          <w:lang w:eastAsia="zh-CN"/>
        </w:rPr>
      </w:pPr>
      <w:r>
        <w:rPr>
          <w:rFonts w:eastAsia="SimSun"/>
          <w:lang w:eastAsia="zh-CN"/>
        </w:rPr>
        <w:t xml:space="preserve">China </w:t>
      </w:r>
      <w:r>
        <w:rPr>
          <w:snapToGrid w:val="0"/>
        </w:rPr>
        <w:t>does not support modification</w:t>
      </w:r>
      <w:r>
        <w:t xml:space="preserve"> of a hard pfd limit (−103.6 dB(W/(m</w:t>
      </w:r>
      <w:r>
        <w:rPr>
          <w:vertAlign w:val="superscript"/>
        </w:rPr>
        <w:t>2</w:t>
      </w:r>
      <w:r>
        <w:t xml:space="preserve">· 27 MHz) which is included in Annex </w:t>
      </w:r>
      <w:r>
        <w:rPr>
          <w:b/>
          <w:bCs/>
        </w:rPr>
        <w:t>1</w:t>
      </w:r>
      <w:r>
        <w:t xml:space="preserve"> to RR Appendix </w:t>
      </w:r>
      <w:r>
        <w:rPr>
          <w:b/>
          <w:bCs/>
        </w:rPr>
        <w:t>30</w:t>
      </w:r>
      <w:r>
        <w:rPr>
          <w:bCs/>
        </w:rPr>
        <w:t xml:space="preserve"> and is in favor of Method J2</w:t>
      </w:r>
      <w:r>
        <w:rPr>
          <w:rFonts w:eastAsia="SimSun"/>
          <w:lang w:eastAsia="zh-CN"/>
        </w:rPr>
        <w:t>.</w:t>
      </w:r>
    </w:p>
    <w:p w:rsidR="00B84A47" w:rsidRDefault="00B84A47" w:rsidP="007F0465">
      <w:pPr>
        <w:rPr>
          <w:rStyle w:val="Hyperlink"/>
          <w:color w:val="auto"/>
          <w:u w:val="none"/>
        </w:rPr>
      </w:pPr>
    </w:p>
    <w:p w:rsidR="00612BFE" w:rsidRPr="00250FBF" w:rsidRDefault="00612BFE" w:rsidP="00612BFE">
      <w:pPr>
        <w:pStyle w:val="Style1"/>
      </w:pPr>
      <w:r w:rsidRPr="009075E7">
        <w:t>3.1.</w:t>
      </w:r>
      <w:r>
        <w:t>4</w:t>
      </w:r>
      <w:r w:rsidRPr="009075E7">
        <w:t xml:space="preserve"> </w:t>
      </w:r>
      <w:r w:rsidRPr="009075E7">
        <w:tab/>
      </w:r>
      <w:r>
        <w:t>Japan and Australia</w:t>
      </w:r>
      <w:r w:rsidRPr="009075E7">
        <w:t xml:space="preserve"> – Document </w:t>
      </w:r>
      <w:r>
        <w:t>APG19-</w:t>
      </w:r>
      <w:r w:rsidRPr="00E15158">
        <w:t>5/INP-</w:t>
      </w:r>
      <w:hyperlink r:id="rId28" w:history="1">
        <w:r w:rsidR="00E15158" w:rsidRPr="00250FBF">
          <w:t xml:space="preserve">73 </w:t>
        </w:r>
      </w:hyperlink>
    </w:p>
    <w:p w:rsidR="00612BFE" w:rsidRDefault="00612BFE" w:rsidP="008A1A4F">
      <w:pPr>
        <w:numPr>
          <w:ilvl w:val="0"/>
          <w:numId w:val="2"/>
        </w:numPr>
        <w:ind w:leftChars="145" w:left="708"/>
        <w:jc w:val="both"/>
        <w:rPr>
          <w:rFonts w:eastAsia="MS Mincho"/>
          <w:lang w:val="en-NZ" w:eastAsia="ja-JP"/>
        </w:rPr>
      </w:pPr>
      <w:r>
        <w:rPr>
          <w:rFonts w:eastAsia="MS Mincho" w:hint="eastAsia"/>
          <w:lang w:val="en-NZ" w:eastAsia="ja-JP"/>
        </w:rPr>
        <w:t xml:space="preserve">Japan </w:t>
      </w:r>
      <w:r>
        <w:rPr>
          <w:rFonts w:eastAsia="MS Mincho"/>
          <w:lang w:val="en-NZ" w:eastAsia="ja-JP"/>
        </w:rPr>
        <w:t xml:space="preserve">and Australia </w:t>
      </w:r>
      <w:r>
        <w:rPr>
          <w:rFonts w:eastAsia="MS Mincho" w:hint="eastAsia"/>
          <w:lang w:val="en-NZ" w:eastAsia="ja-JP"/>
        </w:rPr>
        <w:t xml:space="preserve">support Method J1. </w:t>
      </w:r>
    </w:p>
    <w:p w:rsidR="00612BFE" w:rsidRPr="009075E7" w:rsidRDefault="00612BFE" w:rsidP="007F0465">
      <w:pPr>
        <w:rPr>
          <w:rStyle w:val="Hyperlink"/>
          <w:color w:val="auto"/>
          <w:u w:val="none"/>
        </w:rPr>
      </w:pPr>
    </w:p>
    <w:p w:rsidR="00B84A47" w:rsidRPr="00250FBF" w:rsidRDefault="00B84A47" w:rsidP="00B84A47">
      <w:pPr>
        <w:pStyle w:val="Style1"/>
      </w:pPr>
      <w:r w:rsidRPr="009075E7">
        <w:t>3.1.</w:t>
      </w:r>
      <w:r>
        <w:t>5</w:t>
      </w:r>
      <w:r w:rsidRPr="009075E7">
        <w:t xml:space="preserve"> </w:t>
      </w:r>
      <w:r w:rsidRPr="009075E7">
        <w:tab/>
      </w:r>
      <w:r>
        <w:t>Japan</w:t>
      </w:r>
      <w:r w:rsidRPr="009075E7">
        <w:t xml:space="preserve"> – Document </w:t>
      </w:r>
      <w:r>
        <w:t>APG19-5/INP-</w:t>
      </w:r>
      <w:hyperlink r:id="rId29" w:history="1">
        <w:r w:rsidRPr="00250FBF">
          <w:t>81</w:t>
        </w:r>
      </w:hyperlink>
    </w:p>
    <w:p w:rsidR="00A4509C" w:rsidRPr="00F624F2" w:rsidRDefault="00A4509C" w:rsidP="008A1A4F">
      <w:pPr>
        <w:numPr>
          <w:ilvl w:val="0"/>
          <w:numId w:val="2"/>
        </w:numPr>
        <w:ind w:leftChars="145" w:left="708"/>
        <w:jc w:val="both"/>
        <w:rPr>
          <w:rFonts w:eastAsia="MS Mincho"/>
          <w:lang w:eastAsia="ja-JP"/>
        </w:rPr>
      </w:pPr>
      <w:r w:rsidRPr="00F624F2">
        <w:rPr>
          <w:rFonts w:eastAsiaTheme="minorEastAsia" w:hint="eastAsia"/>
          <w:lang w:eastAsia="ja-JP"/>
        </w:rPr>
        <w:t>Japan supports</w:t>
      </w:r>
      <w:r w:rsidRPr="00F624F2">
        <w:rPr>
          <w:rFonts w:eastAsiaTheme="minorEastAsia"/>
          <w:lang w:eastAsia="ja-JP"/>
        </w:rPr>
        <w:t xml:space="preserve"> </w:t>
      </w:r>
      <w:r w:rsidRPr="00F624F2">
        <w:rPr>
          <w:rFonts w:eastAsiaTheme="minorEastAsia" w:hint="eastAsia"/>
          <w:lang w:eastAsia="ja-JP"/>
        </w:rPr>
        <w:t xml:space="preserve">Method J1 </w:t>
      </w:r>
      <w:r w:rsidRPr="00F624F2">
        <w:rPr>
          <w:rFonts w:eastAsiaTheme="minorEastAsia"/>
          <w:lang w:eastAsia="ja-JP"/>
        </w:rPr>
        <w:t xml:space="preserve">to modify the RR AP30 and allow exceedance the pfd limit of -103.6 </w:t>
      </w:r>
      <w:r w:rsidRPr="00F624F2">
        <w:rPr>
          <w:lang w:eastAsia="ja-JP"/>
        </w:rPr>
        <w:t>dB(W/(m</w:t>
      </w:r>
      <w:r w:rsidRPr="00F624F2">
        <w:rPr>
          <w:vertAlign w:val="superscript"/>
          <w:lang w:eastAsia="ja-JP"/>
        </w:rPr>
        <w:t>2</w:t>
      </w:r>
      <w:r w:rsidRPr="00F624F2">
        <w:rPr>
          <w:lang w:eastAsia="ja-JP"/>
        </w:rPr>
        <w:t xml:space="preserve"> · 27 MHz)) only within the territory </w:t>
      </w:r>
      <w:r w:rsidRPr="00014F77">
        <w:rPr>
          <w:rFonts w:asciiTheme="majorBidi" w:eastAsia="Malgun Gothic" w:hAnsiTheme="majorBidi" w:cstheme="majorBidi"/>
          <w:lang w:eastAsia="ko-KR"/>
        </w:rPr>
        <w:t>under the jurisdiction</w:t>
      </w:r>
      <w:r w:rsidRPr="00F624F2">
        <w:rPr>
          <w:lang w:eastAsia="ja-JP"/>
        </w:rPr>
        <w:t xml:space="preserve"> of </w:t>
      </w:r>
      <w:r>
        <w:rPr>
          <w:rFonts w:eastAsiaTheme="minorEastAsia" w:hint="eastAsia"/>
          <w:lang w:eastAsia="ja-JP"/>
        </w:rPr>
        <w:t xml:space="preserve">the </w:t>
      </w:r>
      <w:r w:rsidRPr="00F624F2">
        <w:rPr>
          <w:lang w:eastAsia="ja-JP"/>
        </w:rPr>
        <w:t xml:space="preserve">notifying Administration and in the assignment frequency not overlapping with the Regions 1 and 3 </w:t>
      </w:r>
      <w:r w:rsidRPr="00957023">
        <w:rPr>
          <w:snapToGrid w:val="0"/>
        </w:rPr>
        <w:t>guardbands</w:t>
      </w:r>
      <w:r w:rsidRPr="00F624F2">
        <w:rPr>
          <w:lang w:eastAsia="ja-JP"/>
        </w:rPr>
        <w:t>,</w:t>
      </w:r>
      <w:r w:rsidRPr="00F624F2">
        <w:rPr>
          <w:rFonts w:eastAsiaTheme="minorEastAsia"/>
          <w:lang w:eastAsia="ja-JP"/>
        </w:rPr>
        <w:t xml:space="preserve"> making a point to ensure smooth introduction of the future BSS.</w:t>
      </w:r>
    </w:p>
    <w:p w:rsidR="00B84A47" w:rsidRPr="009075E7" w:rsidRDefault="00B84A47" w:rsidP="007F0465">
      <w:pPr>
        <w:rPr>
          <w:rStyle w:val="Hyperlink"/>
          <w:color w:val="auto"/>
          <w:u w:val="none"/>
        </w:rPr>
      </w:pPr>
    </w:p>
    <w:p w:rsidR="00B84A47" w:rsidRPr="00250FBF" w:rsidRDefault="00B84A47" w:rsidP="00B84A47">
      <w:pPr>
        <w:pStyle w:val="Style1"/>
      </w:pPr>
      <w:r w:rsidRPr="009075E7">
        <w:t>3.1.</w:t>
      </w:r>
      <w:r>
        <w:t>8</w:t>
      </w:r>
      <w:r w:rsidRPr="009075E7">
        <w:t xml:space="preserve"> </w:t>
      </w:r>
      <w:r w:rsidRPr="009075E7">
        <w:tab/>
      </w:r>
      <w:r>
        <w:t>Malaysia and Thailand</w:t>
      </w:r>
      <w:r w:rsidRPr="009075E7">
        <w:t xml:space="preserve"> – Document </w:t>
      </w:r>
      <w:r>
        <w:t>APG19-5/INP-</w:t>
      </w:r>
      <w:hyperlink r:id="rId30" w:history="1">
        <w:r w:rsidRPr="00250FBF">
          <w:t xml:space="preserve">108 </w:t>
        </w:r>
      </w:hyperlink>
    </w:p>
    <w:p w:rsidR="0024690A" w:rsidRPr="005E21E8" w:rsidRDefault="0024690A" w:rsidP="008A1A4F">
      <w:pPr>
        <w:numPr>
          <w:ilvl w:val="0"/>
          <w:numId w:val="2"/>
        </w:numPr>
        <w:ind w:leftChars="145" w:left="708"/>
        <w:jc w:val="both"/>
        <w:rPr>
          <w:lang w:val="en-GB" w:eastAsia="zh-CN"/>
        </w:rPr>
      </w:pPr>
      <w:r w:rsidRPr="005E21E8">
        <w:rPr>
          <w:lang w:eastAsia="zh-CN"/>
        </w:rPr>
        <w:t xml:space="preserve">Taking into account of the flexibility of BSS services, </w:t>
      </w:r>
      <w:r>
        <w:rPr>
          <w:lang w:eastAsia="zh-CN"/>
        </w:rPr>
        <w:t xml:space="preserve">Malaysia and </w:t>
      </w:r>
      <w:r w:rsidRPr="005E21E8">
        <w:rPr>
          <w:lang w:eastAsia="zh-CN"/>
        </w:rPr>
        <w:t xml:space="preserve">Thailand support the pfd limits given in Appendix </w:t>
      </w:r>
      <w:r w:rsidRPr="00EB5A54">
        <w:rPr>
          <w:b/>
          <w:bCs/>
          <w:lang w:eastAsia="zh-CN"/>
        </w:rPr>
        <w:t>30</w:t>
      </w:r>
      <w:r w:rsidRPr="005E21E8">
        <w:rPr>
          <w:lang w:eastAsia="zh-CN"/>
        </w:rPr>
        <w:t xml:space="preserve"> List assignment to be exceeded only </w:t>
      </w:r>
      <w:r w:rsidRPr="005E21E8">
        <w:rPr>
          <w:lang w:eastAsia="ja-JP"/>
        </w:rPr>
        <w:t>within the national territory of the notifying administration provided that the assignment does not overlap with the guardbands</w:t>
      </w:r>
      <w:r w:rsidRPr="005E21E8">
        <w:rPr>
          <w:lang w:eastAsia="zh-CN"/>
        </w:rPr>
        <w:t xml:space="preserve"> as defined in Appendix </w:t>
      </w:r>
      <w:r w:rsidRPr="00EB5A54">
        <w:rPr>
          <w:b/>
          <w:bCs/>
          <w:lang w:eastAsia="zh-CN"/>
        </w:rPr>
        <w:t>30</w:t>
      </w:r>
      <w:r w:rsidRPr="005E21E8">
        <w:rPr>
          <w:lang w:eastAsia="zh-CN"/>
        </w:rPr>
        <w:t xml:space="preserve"> </w:t>
      </w:r>
      <w:r>
        <w:rPr>
          <w:lang w:eastAsia="zh-CN"/>
        </w:rPr>
        <w:t>and also under the condition that, this</w:t>
      </w:r>
      <w:r w:rsidRPr="005E21E8">
        <w:rPr>
          <w:lang w:eastAsia="zh-CN"/>
        </w:rPr>
        <w:t xml:space="preserve"> </w:t>
      </w:r>
      <w:r w:rsidRPr="005E21E8">
        <w:rPr>
          <w:spacing w:val="-2"/>
          <w:lang w:eastAsia="ja-JP"/>
        </w:rPr>
        <w:t>pfd limit is not exceeded on the border areas and other territory of another country.</w:t>
      </w:r>
    </w:p>
    <w:p w:rsidR="0024690A" w:rsidRPr="005E21E8" w:rsidRDefault="0024690A" w:rsidP="008A1A4F">
      <w:pPr>
        <w:numPr>
          <w:ilvl w:val="0"/>
          <w:numId w:val="2"/>
        </w:numPr>
        <w:ind w:leftChars="145" w:left="708"/>
        <w:jc w:val="both"/>
      </w:pPr>
      <w:r w:rsidRPr="005E21E8">
        <w:rPr>
          <w:lang w:eastAsia="zh-CN"/>
        </w:rPr>
        <w:t>Therefore</w:t>
      </w:r>
      <w:r w:rsidRPr="005E21E8">
        <w:t xml:space="preserve">, </w:t>
      </w:r>
      <w:r>
        <w:t xml:space="preserve">Malaysia and </w:t>
      </w:r>
      <w:r w:rsidRPr="005E21E8">
        <w:t>Thailand support Method J1 of the CPM report.</w:t>
      </w:r>
    </w:p>
    <w:p w:rsidR="00B84A47" w:rsidRPr="009075E7" w:rsidRDefault="00B84A47" w:rsidP="007F0465">
      <w:pPr>
        <w:rPr>
          <w:rStyle w:val="Hyperlink"/>
          <w:color w:val="auto"/>
          <w:u w:val="none"/>
        </w:rPr>
      </w:pPr>
    </w:p>
    <w:p w:rsidR="00B84A47" w:rsidRPr="00250FBF" w:rsidRDefault="00B84A47" w:rsidP="00B84A47">
      <w:pPr>
        <w:pStyle w:val="Style1"/>
      </w:pPr>
      <w:r w:rsidRPr="009075E7">
        <w:t>3.1.</w:t>
      </w:r>
      <w:r>
        <w:t>10</w:t>
      </w:r>
      <w:r w:rsidRPr="009075E7">
        <w:t xml:space="preserve"> </w:t>
      </w:r>
      <w:r w:rsidRPr="009075E7">
        <w:tab/>
      </w:r>
      <w:r>
        <w:t>Korea</w:t>
      </w:r>
      <w:r w:rsidRPr="009075E7">
        <w:t xml:space="preserve"> – Document </w:t>
      </w:r>
      <w:r>
        <w:t>APG19-5/INP-</w:t>
      </w:r>
      <w:hyperlink r:id="rId31" w:history="1"/>
      <w:hyperlink r:id="rId32" w:history="1">
        <w:r w:rsidRPr="00250FBF">
          <w:t xml:space="preserve">129 </w:t>
        </w:r>
      </w:hyperlink>
    </w:p>
    <w:p w:rsidR="007B498A" w:rsidRDefault="007B498A" w:rsidP="008A1A4F">
      <w:pPr>
        <w:numPr>
          <w:ilvl w:val="0"/>
          <w:numId w:val="2"/>
        </w:numPr>
        <w:ind w:leftChars="145" w:left="708"/>
        <w:jc w:val="both"/>
        <w:rPr>
          <w:iCs/>
        </w:rPr>
      </w:pPr>
      <w:r>
        <w:rPr>
          <w:iCs/>
        </w:rPr>
        <w:t>T</w:t>
      </w:r>
      <w:r>
        <w:rPr>
          <w:lang w:val="en-GB"/>
        </w:rPr>
        <w:t xml:space="preserve">he Republic of Korea supports the Method </w:t>
      </w:r>
      <w:r>
        <w:rPr>
          <w:lang w:val="en-GB" w:eastAsia="ko-KR"/>
        </w:rPr>
        <w:t xml:space="preserve">J2 </w:t>
      </w:r>
      <w:r>
        <w:rPr>
          <w:lang w:val="en-GB"/>
        </w:rPr>
        <w:t xml:space="preserve">in the CPM Report, which is no change to the Radio Regulations regarding this issue, because it would be impossible, technically in practice, to comply </w:t>
      </w:r>
      <w:r w:rsidRPr="00957023">
        <w:rPr>
          <w:lang w:eastAsia="zh-CN"/>
        </w:rPr>
        <w:t>with</w:t>
      </w:r>
      <w:r>
        <w:rPr>
          <w:lang w:val="en-GB"/>
        </w:rPr>
        <w:t xml:space="preserve"> </w:t>
      </w:r>
      <w:r w:rsidRPr="0042498F">
        <w:t xml:space="preserve">the pfd limit referred to in the first paragraph of Section 1 of Annex 1 to RR Appendix </w:t>
      </w:r>
      <w:r w:rsidRPr="0042498F">
        <w:rPr>
          <w:b/>
        </w:rPr>
        <w:t>30</w:t>
      </w:r>
      <w:r>
        <w:rPr>
          <w:b/>
        </w:rPr>
        <w:t xml:space="preserve"> </w:t>
      </w:r>
      <w:r w:rsidRPr="00ED3BB0">
        <w:t xml:space="preserve">on the territory of other administrations </w:t>
      </w:r>
      <w:r>
        <w:t xml:space="preserve">that is geographically close to that of the notifying administration </w:t>
      </w:r>
      <w:r>
        <w:rPr>
          <w:lang w:eastAsia="ko-KR"/>
        </w:rPr>
        <w:t>when</w:t>
      </w:r>
      <w:r>
        <w:rPr>
          <w:b/>
          <w:lang w:eastAsia="ko-KR"/>
        </w:rPr>
        <w:t xml:space="preserve"> </w:t>
      </w:r>
      <w:r>
        <w:rPr>
          <w:lang w:eastAsia="ko-KR"/>
        </w:rPr>
        <w:t xml:space="preserve">exceedance of the limit is allowed within its </w:t>
      </w:r>
      <w:r>
        <w:rPr>
          <w:lang w:eastAsia="ja-JP"/>
        </w:rPr>
        <w:t>national territory</w:t>
      </w:r>
      <w:r>
        <w:rPr>
          <w:iCs/>
        </w:rPr>
        <w:t xml:space="preserve">. </w:t>
      </w:r>
    </w:p>
    <w:p w:rsidR="007F1F29" w:rsidRDefault="007F1F29" w:rsidP="007F1F29">
      <w:pPr>
        <w:ind w:left="708"/>
        <w:jc w:val="both"/>
        <w:rPr>
          <w:iCs/>
        </w:rPr>
      </w:pPr>
    </w:p>
    <w:p w:rsidR="009075E7" w:rsidRPr="001C2427" w:rsidRDefault="009075E7" w:rsidP="009075E7">
      <w:pPr>
        <w:pStyle w:val="Style2"/>
      </w:pPr>
      <w:r w:rsidRPr="001C2427">
        <w:t xml:space="preserve">3.2 </w:t>
      </w:r>
      <w:r w:rsidRPr="001C2427">
        <w:tab/>
        <w:t>Summary of issues raised during the meeting</w:t>
      </w:r>
    </w:p>
    <w:p w:rsidR="00851BFC" w:rsidRPr="00ED112D" w:rsidRDefault="00851BFC" w:rsidP="008A1A4F">
      <w:pPr>
        <w:numPr>
          <w:ilvl w:val="0"/>
          <w:numId w:val="2"/>
        </w:numPr>
        <w:ind w:leftChars="145" w:left="708"/>
        <w:jc w:val="both"/>
      </w:pPr>
      <w:bookmarkStart w:id="2" w:name="_Hlk15640307"/>
      <w:r>
        <w:t xml:space="preserve">Some </w:t>
      </w:r>
      <w:r w:rsidRPr="009F4ED4">
        <w:t xml:space="preserve">APT Members </w:t>
      </w:r>
      <w:r w:rsidRPr="00942EAA">
        <w:rPr>
          <w:lang w:val="en-GB" w:eastAsia="ko-KR"/>
        </w:rPr>
        <w:t xml:space="preserve">supports Method J1 </w:t>
      </w:r>
      <w:r w:rsidRPr="00942EAA">
        <w:rPr>
          <w:rFonts w:eastAsiaTheme="minorEastAsia"/>
          <w:lang w:eastAsia="ja-JP"/>
        </w:rPr>
        <w:t xml:space="preserve">to modify </w:t>
      </w:r>
      <w:r w:rsidRPr="00942EAA">
        <w:rPr>
          <w:rFonts w:ascii="TimesNewRomanPSMT" w:hAnsi="TimesNewRomanPSMT"/>
          <w:color w:val="000000"/>
        </w:rPr>
        <w:t xml:space="preserve">Section 1, Annex 1 of RR Appendix </w:t>
      </w:r>
      <w:r w:rsidRPr="00942EAA">
        <w:rPr>
          <w:rFonts w:ascii="TimesNewRomanPS-BoldMT" w:hAnsi="TimesNewRomanPS-BoldMT"/>
          <w:b/>
          <w:bCs/>
          <w:color w:val="000000"/>
        </w:rPr>
        <w:t xml:space="preserve">30 </w:t>
      </w:r>
      <w:r w:rsidRPr="00942EAA">
        <w:rPr>
          <w:rFonts w:ascii="TimesNewRomanPSMT" w:hAnsi="TimesNewRomanPSMT"/>
          <w:color w:val="000000"/>
        </w:rPr>
        <w:t>in order to allow</w:t>
      </w:r>
      <w:r>
        <w:rPr>
          <w:rFonts w:ascii="TimesNewRomanPSMT" w:hAnsi="TimesNewRomanPSMT"/>
          <w:color w:val="000000"/>
        </w:rPr>
        <w:t xml:space="preserve"> </w:t>
      </w:r>
      <w:r w:rsidRPr="00942EAA">
        <w:rPr>
          <w:rFonts w:ascii="TimesNewRomanPSMT" w:hAnsi="TimesNewRomanPSMT"/>
          <w:color w:val="000000"/>
        </w:rPr>
        <w:t xml:space="preserve">List assignments to exceed the pfd limit given in Section 1 of Annex 1 to RR Appendix </w:t>
      </w:r>
      <w:r w:rsidRPr="00942EAA">
        <w:rPr>
          <w:rFonts w:ascii="TimesNewRomanPS-BoldMT" w:hAnsi="TimesNewRomanPS-BoldMT"/>
          <w:b/>
          <w:bCs/>
          <w:color w:val="000000"/>
        </w:rPr>
        <w:t xml:space="preserve">30 </w:t>
      </w:r>
      <w:r w:rsidRPr="00942EAA">
        <w:rPr>
          <w:rFonts w:ascii="TimesNewRomanPSMT" w:hAnsi="TimesNewRomanPSMT"/>
          <w:color w:val="000000"/>
        </w:rPr>
        <w:t>only</w:t>
      </w:r>
      <w:r>
        <w:rPr>
          <w:rFonts w:ascii="TimesNewRomanPSMT" w:hAnsi="TimesNewRomanPSMT"/>
          <w:color w:val="000000"/>
        </w:rPr>
        <w:t xml:space="preserve"> </w:t>
      </w:r>
      <w:r w:rsidRPr="00942EAA">
        <w:rPr>
          <w:rFonts w:ascii="TimesNewRomanPSMT" w:hAnsi="TimesNewRomanPSMT"/>
          <w:color w:val="000000"/>
        </w:rPr>
        <w:t xml:space="preserve">within the national territory of the notifying administration under the condition that the assignment does not overlap with the Regions 1 and 3 guardbands as defined in § 3.9 of Annex 5 to RR Appendix </w:t>
      </w:r>
      <w:r w:rsidRPr="00942EAA">
        <w:rPr>
          <w:rFonts w:ascii="TimesNewRomanPS-BoldMT" w:hAnsi="TimesNewRomanPS-BoldMT"/>
          <w:b/>
          <w:bCs/>
          <w:color w:val="000000"/>
        </w:rPr>
        <w:t xml:space="preserve">30 </w:t>
      </w:r>
      <w:r w:rsidRPr="00942EAA">
        <w:rPr>
          <w:rFonts w:ascii="TimesNewRomanPSMT" w:hAnsi="TimesNewRomanPSMT"/>
          <w:color w:val="000000"/>
        </w:rPr>
        <w:t>and also under the condition that, on the border areas and other territory of another country, this pfd limit is not exceeded.</w:t>
      </w:r>
    </w:p>
    <w:p w:rsidR="009075E7" w:rsidRPr="00620AA5" w:rsidRDefault="00851BFC" w:rsidP="008A1A4F">
      <w:pPr>
        <w:numPr>
          <w:ilvl w:val="0"/>
          <w:numId w:val="2"/>
        </w:numPr>
        <w:ind w:leftChars="145" w:left="708"/>
        <w:jc w:val="both"/>
      </w:pPr>
      <w:r>
        <w:t xml:space="preserve">Some </w:t>
      </w:r>
      <w:r w:rsidR="006670B5">
        <w:t xml:space="preserve">other </w:t>
      </w:r>
      <w:r w:rsidRPr="009F4ED4">
        <w:t xml:space="preserve">APT Members </w:t>
      </w:r>
      <w:r w:rsidRPr="009F4ED4">
        <w:rPr>
          <w:lang w:val="en-GB" w:eastAsia="ko-KR"/>
        </w:rPr>
        <w:t xml:space="preserve">supports Method J2 </w:t>
      </w:r>
      <w:r w:rsidRPr="00694FA8">
        <w:rPr>
          <w:lang w:val="en-GB"/>
        </w:rPr>
        <w:t xml:space="preserve">in the CPM Report </w:t>
      </w:r>
      <w:r>
        <w:rPr>
          <w:lang w:val="en-GB" w:eastAsia="ko-KR"/>
        </w:rPr>
        <w:t>that</w:t>
      </w:r>
      <w:r w:rsidRPr="009F4ED4">
        <w:rPr>
          <w:lang w:val="en-GB" w:eastAsia="ko-KR"/>
        </w:rPr>
        <w:t xml:space="preserve"> is no changes to the Radio Regulations.</w:t>
      </w:r>
    </w:p>
    <w:bookmarkEnd w:id="2"/>
    <w:p w:rsidR="009075E7" w:rsidRPr="00E258C5" w:rsidRDefault="009075E7" w:rsidP="009075E7">
      <w:pPr>
        <w:jc w:val="both"/>
        <w:rPr>
          <w:b/>
          <w:highlight w:val="yellow"/>
          <w:lang w:val="en-NZ"/>
        </w:rPr>
      </w:pPr>
    </w:p>
    <w:p w:rsidR="009075E7" w:rsidRPr="009F4ED4" w:rsidRDefault="009075E7" w:rsidP="009075E7">
      <w:pPr>
        <w:pStyle w:val="Style3"/>
      </w:pPr>
      <w:r w:rsidRPr="00942EAA">
        <w:t xml:space="preserve">4. </w:t>
      </w:r>
      <w:r w:rsidRPr="00942EAA">
        <w:tab/>
        <w:t>APT Vie</w:t>
      </w:r>
      <w:r w:rsidR="00F346D2">
        <w:t>w</w:t>
      </w:r>
      <w:r w:rsidR="00D876EB">
        <w:t>(s)</w:t>
      </w:r>
    </w:p>
    <w:p w:rsidR="004615D9" w:rsidRPr="003A1948" w:rsidRDefault="004615D9" w:rsidP="008A1A4F">
      <w:pPr>
        <w:numPr>
          <w:ilvl w:val="0"/>
          <w:numId w:val="2"/>
        </w:numPr>
        <w:ind w:leftChars="145" w:left="708"/>
        <w:jc w:val="both"/>
      </w:pPr>
      <w:r w:rsidRPr="00FD12F2">
        <w:t xml:space="preserve">APT Members could not agree on a common view and decided not to develop </w:t>
      </w:r>
      <w:r w:rsidRPr="003A1948">
        <w:t xml:space="preserve">Preliminary APT Common Proposal (PACP) for Agenda </w:t>
      </w:r>
      <w:r>
        <w:t>I</w:t>
      </w:r>
      <w:r w:rsidRPr="003A1948">
        <w:t xml:space="preserve">tem </w:t>
      </w:r>
      <w:r>
        <w:t>7 Issue J</w:t>
      </w:r>
      <w:r w:rsidRPr="003A1948">
        <w:t>.</w:t>
      </w:r>
    </w:p>
    <w:p w:rsidR="00620AA5" w:rsidRDefault="00620AA5" w:rsidP="00620AA5">
      <w:pPr>
        <w:ind w:left="708"/>
        <w:jc w:val="both"/>
      </w:pPr>
    </w:p>
    <w:p w:rsidR="00C93D26" w:rsidRPr="00C93D26" w:rsidRDefault="00C93D26" w:rsidP="00C93D26">
      <w:pPr>
        <w:pStyle w:val="Style3"/>
      </w:pPr>
      <w:r w:rsidRPr="00C93D26">
        <w:t xml:space="preserve">5. </w:t>
      </w:r>
      <w:r w:rsidRPr="00C93D26">
        <w:tab/>
        <w:t>Preliminary APT Common Proposal(s)</w:t>
      </w:r>
    </w:p>
    <w:p w:rsidR="00620AA5" w:rsidRPr="00EE36C2" w:rsidRDefault="00620AA5" w:rsidP="008A1A4F">
      <w:pPr>
        <w:numPr>
          <w:ilvl w:val="0"/>
          <w:numId w:val="2"/>
        </w:numPr>
        <w:ind w:leftChars="145" w:left="708"/>
        <w:jc w:val="both"/>
        <w:rPr>
          <w:b/>
          <w:lang w:val="en-NZ" w:eastAsia="ko-KR"/>
        </w:rPr>
      </w:pPr>
      <w:r>
        <w:t xml:space="preserve">None. </w:t>
      </w:r>
    </w:p>
    <w:p w:rsidR="009075E7" w:rsidRPr="00E258C5" w:rsidRDefault="009075E7" w:rsidP="009075E7">
      <w:pPr>
        <w:rPr>
          <w:highlight w:val="yellow"/>
        </w:rPr>
      </w:pPr>
    </w:p>
    <w:p w:rsidR="009075E7" w:rsidRPr="00E258C5" w:rsidRDefault="009075E7" w:rsidP="009075E7">
      <w:pPr>
        <w:rPr>
          <w:b/>
          <w:highlight w:val="yellow"/>
          <w:lang w:val="en-NZ"/>
        </w:rPr>
      </w:pPr>
    </w:p>
    <w:p w:rsidR="009075E7" w:rsidRPr="00B92836" w:rsidRDefault="009075E7" w:rsidP="009075E7">
      <w:pPr>
        <w:jc w:val="center"/>
        <w:rPr>
          <w:snapToGrid w:val="0"/>
          <w:lang w:val="en-NZ"/>
        </w:rPr>
      </w:pPr>
      <w:r w:rsidRPr="009F4ED4">
        <w:rPr>
          <w:lang w:val="en-NZ"/>
        </w:rPr>
        <w:t>____________</w:t>
      </w:r>
    </w:p>
    <w:p w:rsidR="009075E7" w:rsidRPr="009A4A6D" w:rsidRDefault="009075E7" w:rsidP="009075E7">
      <w:pPr>
        <w:jc w:val="center"/>
        <w:rPr>
          <w:snapToGrid w:val="0"/>
        </w:rPr>
      </w:pPr>
    </w:p>
    <w:p w:rsidR="00BA02F7" w:rsidRPr="009A4A6D" w:rsidRDefault="00BA02F7" w:rsidP="009075E7">
      <w:pPr>
        <w:rPr>
          <w:snapToGrid w:val="0"/>
        </w:rPr>
      </w:pPr>
    </w:p>
    <w:sectPr w:rsidR="00BA02F7" w:rsidRPr="009A4A6D" w:rsidSect="00815339">
      <w:headerReference w:type="default" r:id="rId33"/>
      <w:footerReference w:type="even" r:id="rId34"/>
      <w:footerReference w:type="default" r:id="rId35"/>
      <w:footerReference w:type="first" r:id="rId3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C8" w:rsidRDefault="00F365C8">
      <w:r>
        <w:separator/>
      </w:r>
    </w:p>
  </w:endnote>
  <w:endnote w:type="continuationSeparator" w:id="0">
    <w:p w:rsidR="00F365C8" w:rsidRDefault="00F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7B6" w:rsidRDefault="00A527B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sidR="00712626">
      <w:rPr>
        <w:lang w:eastAsia="ko-KR"/>
      </w:rPr>
      <w:t>OUT-16</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1300F">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1300F">
      <w:rPr>
        <w:rStyle w:val="PageNumber"/>
        <w:noProof/>
      </w:rPr>
      <w:t>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296"/>
      <w:gridCol w:w="2957"/>
      <w:gridCol w:w="4819"/>
    </w:tblGrid>
    <w:tr w:rsidR="00B9371F" w:rsidRPr="00162A98" w:rsidTr="0080025C">
      <w:trPr>
        <w:cantSplit/>
        <w:trHeight w:val="204"/>
        <w:jc w:val="center"/>
      </w:trPr>
      <w:tc>
        <w:tcPr>
          <w:tcW w:w="1296" w:type="dxa"/>
        </w:tcPr>
        <w:p w:rsidR="00B9371F" w:rsidRPr="00162A98" w:rsidRDefault="00B9371F" w:rsidP="00B9371F">
          <w:pPr>
            <w:rPr>
              <w:b/>
              <w:bCs/>
            </w:rPr>
          </w:pPr>
          <w:r w:rsidRPr="00162A98">
            <w:rPr>
              <w:b/>
              <w:bCs/>
            </w:rPr>
            <w:t>Contact:</w:t>
          </w:r>
        </w:p>
      </w:tc>
      <w:tc>
        <w:tcPr>
          <w:tcW w:w="2957" w:type="dxa"/>
        </w:tcPr>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Muneo Abe</w:t>
          </w:r>
        </w:p>
        <w:p w:rsidR="00B9371F" w:rsidRPr="00162A98" w:rsidRDefault="00B9371F" w:rsidP="00B9371F">
          <w:pPr>
            <w:overflowPunct w:val="0"/>
            <w:autoSpaceDE w:val="0"/>
            <w:autoSpaceDN w:val="0"/>
            <w:adjustRightInd w:val="0"/>
            <w:spacing w:line="240" w:lineRule="atLeast"/>
            <w:textAlignment w:val="baseline"/>
            <w:rPr>
              <w:rFonts w:eastAsia="Batang"/>
              <w:szCs w:val="22"/>
              <w:lang w:val="en-GB"/>
            </w:rPr>
          </w:pPr>
          <w:r w:rsidRPr="00162A98">
            <w:rPr>
              <w:rFonts w:eastAsia="Batang"/>
              <w:szCs w:val="22"/>
              <w:lang w:val="en-GB"/>
            </w:rPr>
            <w:t xml:space="preserve">Chairman, </w:t>
          </w:r>
          <w:r>
            <w:rPr>
              <w:rFonts w:eastAsia="Batang"/>
              <w:szCs w:val="22"/>
              <w:lang w:val="en-GB"/>
            </w:rPr>
            <w:t>Working Party 3</w:t>
          </w:r>
        </w:p>
      </w:tc>
      <w:tc>
        <w:tcPr>
          <w:tcW w:w="4819" w:type="dxa"/>
        </w:tcPr>
        <w:p w:rsidR="00B9371F" w:rsidRPr="00162A98" w:rsidRDefault="00B9371F" w:rsidP="00B9371F">
          <w:pPr>
            <w:rPr>
              <w:lang w:eastAsia="ja-JP"/>
            </w:rPr>
          </w:pPr>
          <w:r w:rsidRPr="00162A98">
            <w:t>E</w:t>
          </w:r>
          <w:r>
            <w:t>mail: Abe.Muneo@cj.MitsubishiElectric.co.jp</w:t>
          </w:r>
        </w:p>
      </w:tc>
    </w:tr>
  </w:tbl>
  <w:p w:rsidR="00A527B6" w:rsidRPr="00B9371F" w:rsidRDefault="00A527B6" w:rsidP="00B93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C8" w:rsidRDefault="00F365C8">
      <w:r>
        <w:separator/>
      </w:r>
    </w:p>
  </w:footnote>
  <w:footnote w:type="continuationSeparator" w:id="0">
    <w:p w:rsidR="00F365C8" w:rsidRDefault="00F3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B6" w:rsidRDefault="00A527B6" w:rsidP="00C15633">
    <w:pPr>
      <w:pStyle w:val="Header"/>
      <w:tabs>
        <w:tab w:val="center" w:pos="4763"/>
        <w:tab w:val="left" w:pos="5820"/>
      </w:tabs>
      <w:rPr>
        <w:lang w:eastAsia="ko-KR"/>
      </w:rPr>
    </w:pPr>
    <w:r>
      <w:rPr>
        <w:lang w:eastAsia="ko-KR"/>
      </w:rPr>
      <w:tab/>
    </w:r>
  </w:p>
  <w:p w:rsidR="00A527B6" w:rsidRDefault="00A527B6"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0CB08ED"/>
    <w:multiLevelType w:val="hybridMultilevel"/>
    <w:tmpl w:val="47920F9C"/>
    <w:lvl w:ilvl="0" w:tplc="32400D54">
      <w:start w:val="1"/>
      <w:numFmt w:val="bullet"/>
      <w:lvlText w:val="–"/>
      <w:lvlJc w:val="left"/>
      <w:pPr>
        <w:ind w:left="1068" w:hanging="360"/>
      </w:pPr>
      <w:rPr>
        <w:rFonts w:ascii="Times New Roman" w:eastAsia="BatangChe" w:hAnsi="Times New Roman" w:cs="Times New Roman" w:hint="default"/>
        <w:i w:val="0"/>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2" w15:restartNumberingAfterBreak="0">
    <w:nsid w:val="01385FD0"/>
    <w:multiLevelType w:val="hybridMultilevel"/>
    <w:tmpl w:val="158A8C6A"/>
    <w:lvl w:ilvl="0" w:tplc="7B2A6C4E">
      <w:start w:val="21"/>
      <w:numFmt w:val="bullet"/>
      <w:lvlText w:val="−"/>
      <w:lvlJc w:val="left"/>
      <w:pPr>
        <w:ind w:left="1068" w:hanging="360"/>
      </w:pPr>
      <w:rPr>
        <w:rFonts w:ascii="Times New Roman" w:eastAsia="Times New Roman" w:hAnsi="Times New Roman" w:cs="Times New Roman" w:hint="default"/>
      </w:rPr>
    </w:lvl>
    <w:lvl w:ilvl="1" w:tplc="32400D54">
      <w:start w:val="1"/>
      <w:numFmt w:val="bullet"/>
      <w:lvlText w:val="–"/>
      <w:lvlJc w:val="left"/>
      <w:pPr>
        <w:ind w:left="2148" w:hanging="720"/>
      </w:pPr>
      <w:rPr>
        <w:rFonts w:ascii="Times New Roman" w:eastAsia="BatangChe" w:hAnsi="Times New Roman" w:cs="Times New Roman" w:hint="default"/>
        <w:i w:val="0"/>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3" w15:restartNumberingAfterBreak="0">
    <w:nsid w:val="1195248C"/>
    <w:multiLevelType w:val="hybridMultilevel"/>
    <w:tmpl w:val="C95A3C3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7B2A6C4E">
      <w:start w:val="21"/>
      <w:numFmt w:val="bullet"/>
      <w:lvlText w:val="−"/>
      <w:lvlJc w:val="left"/>
      <w:pPr>
        <w:ind w:left="1600" w:hanging="400"/>
      </w:pPr>
      <w:rPr>
        <w:rFonts w:ascii="Times New Roman" w:eastAsia="Times New Roman"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D87056D"/>
    <w:multiLevelType w:val="hybridMultilevel"/>
    <w:tmpl w:val="BA803446"/>
    <w:lvl w:ilvl="0" w:tplc="38090017">
      <w:start w:val="1"/>
      <w:numFmt w:val="lowerLetter"/>
      <w:lvlText w:val="%1)"/>
      <w:lvlJc w:val="left"/>
      <w:pPr>
        <w:ind w:left="1068" w:hanging="360"/>
      </w:pPr>
    </w:lvl>
    <w:lvl w:ilvl="1" w:tplc="38090019" w:tentative="1">
      <w:start w:val="1"/>
      <w:numFmt w:val="lowerLetter"/>
      <w:lvlText w:val="%2."/>
      <w:lvlJc w:val="left"/>
      <w:pPr>
        <w:ind w:left="1788" w:hanging="360"/>
      </w:p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5" w15:restartNumberingAfterBreak="0">
    <w:nsid w:val="2B504D35"/>
    <w:multiLevelType w:val="hybridMultilevel"/>
    <w:tmpl w:val="CB62FF9A"/>
    <w:lvl w:ilvl="0" w:tplc="38090017">
      <w:start w:val="1"/>
      <w:numFmt w:val="lowerLetter"/>
      <w:lvlText w:val="%1)"/>
      <w:lvlJc w:val="left"/>
      <w:pPr>
        <w:ind w:left="1068" w:hanging="360"/>
      </w:pPr>
    </w:lvl>
    <w:lvl w:ilvl="1" w:tplc="4EB8689A">
      <w:start w:val="1"/>
      <w:numFmt w:val="decimal"/>
      <w:lvlText w:val="%2)"/>
      <w:lvlJc w:val="left"/>
      <w:pPr>
        <w:ind w:left="2148" w:hanging="720"/>
      </w:pPr>
      <w:rPr>
        <w:rFonts w:hint="default"/>
      </w:rPr>
    </w:lvl>
    <w:lvl w:ilvl="2" w:tplc="3809001B" w:tentative="1">
      <w:start w:val="1"/>
      <w:numFmt w:val="lowerRoman"/>
      <w:lvlText w:val="%3."/>
      <w:lvlJc w:val="right"/>
      <w:pPr>
        <w:ind w:left="2508" w:hanging="180"/>
      </w:pPr>
    </w:lvl>
    <w:lvl w:ilvl="3" w:tplc="3809000F" w:tentative="1">
      <w:start w:val="1"/>
      <w:numFmt w:val="decimal"/>
      <w:lvlText w:val="%4."/>
      <w:lvlJc w:val="left"/>
      <w:pPr>
        <w:ind w:left="3228" w:hanging="360"/>
      </w:pPr>
    </w:lvl>
    <w:lvl w:ilvl="4" w:tplc="38090019" w:tentative="1">
      <w:start w:val="1"/>
      <w:numFmt w:val="lowerLetter"/>
      <w:lvlText w:val="%5."/>
      <w:lvlJc w:val="left"/>
      <w:pPr>
        <w:ind w:left="3948" w:hanging="360"/>
      </w:pPr>
    </w:lvl>
    <w:lvl w:ilvl="5" w:tplc="3809001B" w:tentative="1">
      <w:start w:val="1"/>
      <w:numFmt w:val="lowerRoman"/>
      <w:lvlText w:val="%6."/>
      <w:lvlJc w:val="right"/>
      <w:pPr>
        <w:ind w:left="4668" w:hanging="180"/>
      </w:pPr>
    </w:lvl>
    <w:lvl w:ilvl="6" w:tplc="3809000F" w:tentative="1">
      <w:start w:val="1"/>
      <w:numFmt w:val="decimal"/>
      <w:lvlText w:val="%7."/>
      <w:lvlJc w:val="left"/>
      <w:pPr>
        <w:ind w:left="5388" w:hanging="360"/>
      </w:pPr>
    </w:lvl>
    <w:lvl w:ilvl="7" w:tplc="38090019" w:tentative="1">
      <w:start w:val="1"/>
      <w:numFmt w:val="lowerLetter"/>
      <w:lvlText w:val="%8."/>
      <w:lvlJc w:val="left"/>
      <w:pPr>
        <w:ind w:left="6108" w:hanging="360"/>
      </w:pPr>
    </w:lvl>
    <w:lvl w:ilvl="8" w:tplc="3809001B" w:tentative="1">
      <w:start w:val="1"/>
      <w:numFmt w:val="lowerRoman"/>
      <w:lvlText w:val="%9."/>
      <w:lvlJc w:val="right"/>
      <w:pPr>
        <w:ind w:left="6828" w:hanging="180"/>
      </w:pPr>
    </w:lvl>
  </w:abstractNum>
  <w:abstractNum w:abstractNumId="6" w15:restartNumberingAfterBreak="0">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8" w15:restartNumberingAfterBreak="0">
    <w:nsid w:val="55D4001D"/>
    <w:multiLevelType w:val="hybridMultilevel"/>
    <w:tmpl w:val="8256BB8A"/>
    <w:lvl w:ilvl="0" w:tplc="9508D50A">
      <w:start w:val="2"/>
      <w:numFmt w:val="bullet"/>
      <w:lvlText w:val="-"/>
      <w:lvlJc w:val="left"/>
      <w:pPr>
        <w:ind w:left="1068" w:hanging="360"/>
      </w:pPr>
      <w:rPr>
        <w:rFonts w:ascii="Times New Roman" w:eastAsia="BatangChe" w:hAnsi="Times New Roman" w:cs="Times New Roman" w:hint="default"/>
      </w:rPr>
    </w:lvl>
    <w:lvl w:ilvl="1" w:tplc="38090003" w:tentative="1">
      <w:start w:val="1"/>
      <w:numFmt w:val="bullet"/>
      <w:lvlText w:val="o"/>
      <w:lvlJc w:val="left"/>
      <w:pPr>
        <w:ind w:left="1788" w:hanging="360"/>
      </w:pPr>
      <w:rPr>
        <w:rFonts w:ascii="Courier New" w:hAnsi="Courier New" w:cs="Courier New" w:hint="default"/>
      </w:rPr>
    </w:lvl>
    <w:lvl w:ilvl="2" w:tplc="38090005" w:tentative="1">
      <w:start w:val="1"/>
      <w:numFmt w:val="bullet"/>
      <w:lvlText w:val=""/>
      <w:lvlJc w:val="left"/>
      <w:pPr>
        <w:ind w:left="2508" w:hanging="360"/>
      </w:pPr>
      <w:rPr>
        <w:rFonts w:ascii="Wingdings" w:hAnsi="Wingdings" w:hint="default"/>
      </w:rPr>
    </w:lvl>
    <w:lvl w:ilvl="3" w:tplc="38090001" w:tentative="1">
      <w:start w:val="1"/>
      <w:numFmt w:val="bullet"/>
      <w:lvlText w:val=""/>
      <w:lvlJc w:val="left"/>
      <w:pPr>
        <w:ind w:left="3228" w:hanging="360"/>
      </w:pPr>
      <w:rPr>
        <w:rFonts w:ascii="Symbol" w:hAnsi="Symbol" w:hint="default"/>
      </w:rPr>
    </w:lvl>
    <w:lvl w:ilvl="4" w:tplc="38090003" w:tentative="1">
      <w:start w:val="1"/>
      <w:numFmt w:val="bullet"/>
      <w:lvlText w:val="o"/>
      <w:lvlJc w:val="left"/>
      <w:pPr>
        <w:ind w:left="3948" w:hanging="360"/>
      </w:pPr>
      <w:rPr>
        <w:rFonts w:ascii="Courier New" w:hAnsi="Courier New" w:cs="Courier New" w:hint="default"/>
      </w:rPr>
    </w:lvl>
    <w:lvl w:ilvl="5" w:tplc="38090005" w:tentative="1">
      <w:start w:val="1"/>
      <w:numFmt w:val="bullet"/>
      <w:lvlText w:val=""/>
      <w:lvlJc w:val="left"/>
      <w:pPr>
        <w:ind w:left="4668" w:hanging="360"/>
      </w:pPr>
      <w:rPr>
        <w:rFonts w:ascii="Wingdings" w:hAnsi="Wingdings" w:hint="default"/>
      </w:rPr>
    </w:lvl>
    <w:lvl w:ilvl="6" w:tplc="38090001" w:tentative="1">
      <w:start w:val="1"/>
      <w:numFmt w:val="bullet"/>
      <w:lvlText w:val=""/>
      <w:lvlJc w:val="left"/>
      <w:pPr>
        <w:ind w:left="5388" w:hanging="360"/>
      </w:pPr>
      <w:rPr>
        <w:rFonts w:ascii="Symbol" w:hAnsi="Symbol" w:hint="default"/>
      </w:rPr>
    </w:lvl>
    <w:lvl w:ilvl="7" w:tplc="38090003" w:tentative="1">
      <w:start w:val="1"/>
      <w:numFmt w:val="bullet"/>
      <w:lvlText w:val="o"/>
      <w:lvlJc w:val="left"/>
      <w:pPr>
        <w:ind w:left="6108" w:hanging="360"/>
      </w:pPr>
      <w:rPr>
        <w:rFonts w:ascii="Courier New" w:hAnsi="Courier New" w:cs="Courier New" w:hint="default"/>
      </w:rPr>
    </w:lvl>
    <w:lvl w:ilvl="8" w:tplc="38090005" w:tentative="1">
      <w:start w:val="1"/>
      <w:numFmt w:val="bullet"/>
      <w:lvlText w:val=""/>
      <w:lvlJc w:val="left"/>
      <w:pPr>
        <w:ind w:left="6828" w:hanging="360"/>
      </w:pPr>
      <w:rPr>
        <w:rFonts w:ascii="Wingdings" w:hAnsi="Wingdings" w:hint="default"/>
      </w:rPr>
    </w:lvl>
  </w:abstractNum>
  <w:abstractNum w:abstractNumId="9" w15:restartNumberingAfterBreak="0">
    <w:nsid w:val="58237399"/>
    <w:multiLevelType w:val="hybridMultilevel"/>
    <w:tmpl w:val="9C447724"/>
    <w:lvl w:ilvl="0" w:tplc="7AF0D51E">
      <w:start w:val="1"/>
      <w:numFmt w:val="lowerLetter"/>
      <w:lvlText w:val="(%1)"/>
      <w:lvlJc w:val="left"/>
      <w:pPr>
        <w:ind w:left="1068" w:hanging="360"/>
      </w:pPr>
      <w:rPr>
        <w:rFonts w:hint="default"/>
      </w:rPr>
    </w:lvl>
    <w:lvl w:ilvl="1" w:tplc="48090019" w:tentative="1">
      <w:start w:val="1"/>
      <w:numFmt w:val="lowerLetter"/>
      <w:lvlText w:val="%2."/>
      <w:lvlJc w:val="left"/>
      <w:pPr>
        <w:ind w:left="1788" w:hanging="360"/>
      </w:pPr>
    </w:lvl>
    <w:lvl w:ilvl="2" w:tplc="4809001B" w:tentative="1">
      <w:start w:val="1"/>
      <w:numFmt w:val="lowerRoman"/>
      <w:lvlText w:val="%3."/>
      <w:lvlJc w:val="right"/>
      <w:pPr>
        <w:ind w:left="2508" w:hanging="180"/>
      </w:pPr>
    </w:lvl>
    <w:lvl w:ilvl="3" w:tplc="4809000F" w:tentative="1">
      <w:start w:val="1"/>
      <w:numFmt w:val="decimal"/>
      <w:lvlText w:val="%4."/>
      <w:lvlJc w:val="left"/>
      <w:pPr>
        <w:ind w:left="3228" w:hanging="360"/>
      </w:pPr>
    </w:lvl>
    <w:lvl w:ilvl="4" w:tplc="48090019" w:tentative="1">
      <w:start w:val="1"/>
      <w:numFmt w:val="lowerLetter"/>
      <w:lvlText w:val="%5."/>
      <w:lvlJc w:val="left"/>
      <w:pPr>
        <w:ind w:left="3948" w:hanging="360"/>
      </w:pPr>
    </w:lvl>
    <w:lvl w:ilvl="5" w:tplc="4809001B" w:tentative="1">
      <w:start w:val="1"/>
      <w:numFmt w:val="lowerRoman"/>
      <w:lvlText w:val="%6."/>
      <w:lvlJc w:val="right"/>
      <w:pPr>
        <w:ind w:left="4668" w:hanging="180"/>
      </w:pPr>
    </w:lvl>
    <w:lvl w:ilvl="6" w:tplc="4809000F" w:tentative="1">
      <w:start w:val="1"/>
      <w:numFmt w:val="decimal"/>
      <w:lvlText w:val="%7."/>
      <w:lvlJc w:val="left"/>
      <w:pPr>
        <w:ind w:left="5388" w:hanging="360"/>
      </w:pPr>
    </w:lvl>
    <w:lvl w:ilvl="7" w:tplc="48090019" w:tentative="1">
      <w:start w:val="1"/>
      <w:numFmt w:val="lowerLetter"/>
      <w:lvlText w:val="%8."/>
      <w:lvlJc w:val="left"/>
      <w:pPr>
        <w:ind w:left="6108" w:hanging="360"/>
      </w:pPr>
    </w:lvl>
    <w:lvl w:ilvl="8" w:tplc="4809001B" w:tentative="1">
      <w:start w:val="1"/>
      <w:numFmt w:val="lowerRoman"/>
      <w:lvlText w:val="%9."/>
      <w:lvlJc w:val="right"/>
      <w:pPr>
        <w:ind w:left="6828" w:hanging="180"/>
      </w:pPr>
    </w:lvl>
  </w:abstractNum>
  <w:abstractNum w:abstractNumId="10" w15:restartNumberingAfterBreak="0">
    <w:nsid w:val="5EF828FB"/>
    <w:multiLevelType w:val="hybridMultilevel"/>
    <w:tmpl w:val="B7C0E906"/>
    <w:lvl w:ilvl="0" w:tplc="7B2A6C4E">
      <w:start w:val="21"/>
      <w:numFmt w:val="bullet"/>
      <w:lvlText w:val="−"/>
      <w:lvlJc w:val="left"/>
      <w:pPr>
        <w:ind w:left="1108" w:hanging="400"/>
      </w:pPr>
      <w:rPr>
        <w:rFonts w:ascii="Times New Roman" w:eastAsia="Times New Roman" w:hAnsi="Times New Roman" w:cs="Times New Roman" w:hint="default"/>
      </w:rPr>
    </w:lvl>
    <w:lvl w:ilvl="1" w:tplc="04090003">
      <w:start w:val="1"/>
      <w:numFmt w:val="bullet"/>
      <w:lvlText w:val=""/>
      <w:lvlJc w:val="left"/>
      <w:pPr>
        <w:ind w:left="1508" w:hanging="400"/>
      </w:pPr>
      <w:rPr>
        <w:rFonts w:ascii="Wingdings" w:hAnsi="Wingdings" w:hint="default"/>
      </w:rPr>
    </w:lvl>
    <w:lvl w:ilvl="2" w:tplc="04090005" w:tentative="1">
      <w:start w:val="1"/>
      <w:numFmt w:val="bullet"/>
      <w:lvlText w:val=""/>
      <w:lvlJc w:val="left"/>
      <w:pPr>
        <w:ind w:left="1908" w:hanging="400"/>
      </w:pPr>
      <w:rPr>
        <w:rFonts w:ascii="Wingdings" w:hAnsi="Wingdings" w:hint="default"/>
      </w:rPr>
    </w:lvl>
    <w:lvl w:ilvl="3" w:tplc="04090001" w:tentative="1">
      <w:start w:val="1"/>
      <w:numFmt w:val="bullet"/>
      <w:lvlText w:val=""/>
      <w:lvlJc w:val="left"/>
      <w:pPr>
        <w:ind w:left="2308" w:hanging="400"/>
      </w:pPr>
      <w:rPr>
        <w:rFonts w:ascii="Wingdings" w:hAnsi="Wingdings"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5"/>
  </w:num>
  <w:num w:numId="7">
    <w:abstractNumId w:val="10"/>
  </w:num>
  <w:num w:numId="8">
    <w:abstractNumId w:val="1"/>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ID" w:vendorID="64" w:dllVersion="6" w:nlCheck="1" w:checkStyle="1"/>
  <w:activeWritingStyle w:appName="MSWord" w:lang="fr-CH" w:vendorID="64" w:dllVersion="0" w:nlCheck="1" w:checkStyle="0"/>
  <w:activeWritingStyle w:appName="MSWord" w:lang="en-US" w:vendorID="64" w:dllVersion="131078" w:nlCheck="1" w:checkStyle="1"/>
  <w:activeWritingStyle w:appName="MSWord" w:lang="en-NZ"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0511E"/>
    <w:rsid w:val="00010482"/>
    <w:rsid w:val="000157AA"/>
    <w:rsid w:val="0003595B"/>
    <w:rsid w:val="00037BC8"/>
    <w:rsid w:val="000476FF"/>
    <w:rsid w:val="00047725"/>
    <w:rsid w:val="00062584"/>
    <w:rsid w:val="000636AC"/>
    <w:rsid w:val="00065FF7"/>
    <w:rsid w:val="000713CF"/>
    <w:rsid w:val="00071D3D"/>
    <w:rsid w:val="00071EBF"/>
    <w:rsid w:val="0008682D"/>
    <w:rsid w:val="00097F0D"/>
    <w:rsid w:val="000A0356"/>
    <w:rsid w:val="000A5418"/>
    <w:rsid w:val="000A6AFF"/>
    <w:rsid w:val="000A7299"/>
    <w:rsid w:val="000B3614"/>
    <w:rsid w:val="000C5439"/>
    <w:rsid w:val="000E3F8C"/>
    <w:rsid w:val="000F368A"/>
    <w:rsid w:val="000F517C"/>
    <w:rsid w:val="000F5540"/>
    <w:rsid w:val="000F5605"/>
    <w:rsid w:val="00107306"/>
    <w:rsid w:val="00111EB1"/>
    <w:rsid w:val="001135F0"/>
    <w:rsid w:val="00122E23"/>
    <w:rsid w:val="00127876"/>
    <w:rsid w:val="001304DF"/>
    <w:rsid w:val="001519B6"/>
    <w:rsid w:val="001539DD"/>
    <w:rsid w:val="00154734"/>
    <w:rsid w:val="00156574"/>
    <w:rsid w:val="00173A24"/>
    <w:rsid w:val="00174F4E"/>
    <w:rsid w:val="00182501"/>
    <w:rsid w:val="00196568"/>
    <w:rsid w:val="001A25A5"/>
    <w:rsid w:val="001A2F16"/>
    <w:rsid w:val="001A49BE"/>
    <w:rsid w:val="001B12D2"/>
    <w:rsid w:val="001B18C2"/>
    <w:rsid w:val="001B36C3"/>
    <w:rsid w:val="001B7940"/>
    <w:rsid w:val="001D5D7E"/>
    <w:rsid w:val="001F00FC"/>
    <w:rsid w:val="002026FD"/>
    <w:rsid w:val="00222479"/>
    <w:rsid w:val="00240DC8"/>
    <w:rsid w:val="0024690A"/>
    <w:rsid w:val="00246FDE"/>
    <w:rsid w:val="00250FBF"/>
    <w:rsid w:val="002534A9"/>
    <w:rsid w:val="00254A1B"/>
    <w:rsid w:val="00255115"/>
    <w:rsid w:val="0026602D"/>
    <w:rsid w:val="002700A2"/>
    <w:rsid w:val="0028454D"/>
    <w:rsid w:val="0029062A"/>
    <w:rsid w:val="00290AE0"/>
    <w:rsid w:val="00291C9E"/>
    <w:rsid w:val="002924D3"/>
    <w:rsid w:val="002926D4"/>
    <w:rsid w:val="00293A2B"/>
    <w:rsid w:val="0029750D"/>
    <w:rsid w:val="002A4C91"/>
    <w:rsid w:val="002B71D9"/>
    <w:rsid w:val="002C07DA"/>
    <w:rsid w:val="002C2F0D"/>
    <w:rsid w:val="002C3F32"/>
    <w:rsid w:val="002C7EA9"/>
    <w:rsid w:val="002E2D3B"/>
    <w:rsid w:val="002F2171"/>
    <w:rsid w:val="002F6800"/>
    <w:rsid w:val="002F78BE"/>
    <w:rsid w:val="002F7ED7"/>
    <w:rsid w:val="00302A3A"/>
    <w:rsid w:val="00304B63"/>
    <w:rsid w:val="00305871"/>
    <w:rsid w:val="0031553A"/>
    <w:rsid w:val="00316928"/>
    <w:rsid w:val="00322061"/>
    <w:rsid w:val="00322377"/>
    <w:rsid w:val="003235AC"/>
    <w:rsid w:val="00327DCA"/>
    <w:rsid w:val="00333E36"/>
    <w:rsid w:val="00342393"/>
    <w:rsid w:val="003427AB"/>
    <w:rsid w:val="00342F20"/>
    <w:rsid w:val="0035532A"/>
    <w:rsid w:val="00362D55"/>
    <w:rsid w:val="003809C7"/>
    <w:rsid w:val="0038104C"/>
    <w:rsid w:val="00384E9B"/>
    <w:rsid w:val="0039319C"/>
    <w:rsid w:val="00397990"/>
    <w:rsid w:val="003A1948"/>
    <w:rsid w:val="003B6263"/>
    <w:rsid w:val="003B77F2"/>
    <w:rsid w:val="003C64A7"/>
    <w:rsid w:val="003C74B2"/>
    <w:rsid w:val="003D3FDA"/>
    <w:rsid w:val="003D429E"/>
    <w:rsid w:val="003E2A34"/>
    <w:rsid w:val="003F1214"/>
    <w:rsid w:val="003F61B8"/>
    <w:rsid w:val="00403574"/>
    <w:rsid w:val="0041043E"/>
    <w:rsid w:val="00410908"/>
    <w:rsid w:val="00412D60"/>
    <w:rsid w:val="00420822"/>
    <w:rsid w:val="00430FF0"/>
    <w:rsid w:val="0044575D"/>
    <w:rsid w:val="0045458F"/>
    <w:rsid w:val="004615D9"/>
    <w:rsid w:val="004633B4"/>
    <w:rsid w:val="0046499E"/>
    <w:rsid w:val="004676E9"/>
    <w:rsid w:val="00480268"/>
    <w:rsid w:val="00481C3E"/>
    <w:rsid w:val="00492703"/>
    <w:rsid w:val="00495D82"/>
    <w:rsid w:val="004A4D35"/>
    <w:rsid w:val="004A7471"/>
    <w:rsid w:val="004B3553"/>
    <w:rsid w:val="004B53D6"/>
    <w:rsid w:val="004B59BD"/>
    <w:rsid w:val="004B5B4F"/>
    <w:rsid w:val="004B679F"/>
    <w:rsid w:val="004C1654"/>
    <w:rsid w:val="004C3328"/>
    <w:rsid w:val="004D0051"/>
    <w:rsid w:val="004D79AB"/>
    <w:rsid w:val="004E1575"/>
    <w:rsid w:val="004E21B0"/>
    <w:rsid w:val="004E58AD"/>
    <w:rsid w:val="004E5C70"/>
    <w:rsid w:val="004F28F7"/>
    <w:rsid w:val="005240BB"/>
    <w:rsid w:val="005254F4"/>
    <w:rsid w:val="00526C96"/>
    <w:rsid w:val="00530E8C"/>
    <w:rsid w:val="00540781"/>
    <w:rsid w:val="0054105C"/>
    <w:rsid w:val="00543B21"/>
    <w:rsid w:val="00545933"/>
    <w:rsid w:val="00557544"/>
    <w:rsid w:val="005744E9"/>
    <w:rsid w:val="005835E4"/>
    <w:rsid w:val="005851A7"/>
    <w:rsid w:val="00587875"/>
    <w:rsid w:val="00596FE4"/>
    <w:rsid w:val="005D16F9"/>
    <w:rsid w:val="005D2F06"/>
    <w:rsid w:val="005D5586"/>
    <w:rsid w:val="005D6A37"/>
    <w:rsid w:val="005E1AE9"/>
    <w:rsid w:val="00607E2B"/>
    <w:rsid w:val="00612BFE"/>
    <w:rsid w:val="006139D6"/>
    <w:rsid w:val="00620AA5"/>
    <w:rsid w:val="00623CE1"/>
    <w:rsid w:val="0063062B"/>
    <w:rsid w:val="0064076F"/>
    <w:rsid w:val="0064733B"/>
    <w:rsid w:val="00655014"/>
    <w:rsid w:val="006670B5"/>
    <w:rsid w:val="00667229"/>
    <w:rsid w:val="00674979"/>
    <w:rsid w:val="00680B10"/>
    <w:rsid w:val="00682BE5"/>
    <w:rsid w:val="00690FED"/>
    <w:rsid w:val="006939A5"/>
    <w:rsid w:val="00694FA8"/>
    <w:rsid w:val="006A007B"/>
    <w:rsid w:val="006A439B"/>
    <w:rsid w:val="006B0882"/>
    <w:rsid w:val="006C0BF6"/>
    <w:rsid w:val="006C69DE"/>
    <w:rsid w:val="006D1C34"/>
    <w:rsid w:val="006D3DEE"/>
    <w:rsid w:val="006F3199"/>
    <w:rsid w:val="00704703"/>
    <w:rsid w:val="00707B2D"/>
    <w:rsid w:val="00712451"/>
    <w:rsid w:val="00712626"/>
    <w:rsid w:val="00721C0D"/>
    <w:rsid w:val="00722889"/>
    <w:rsid w:val="00731041"/>
    <w:rsid w:val="00731054"/>
    <w:rsid w:val="007319EE"/>
    <w:rsid w:val="00732F08"/>
    <w:rsid w:val="007357E5"/>
    <w:rsid w:val="00736D03"/>
    <w:rsid w:val="0074190C"/>
    <w:rsid w:val="00742596"/>
    <w:rsid w:val="007457DA"/>
    <w:rsid w:val="00762576"/>
    <w:rsid w:val="007764D8"/>
    <w:rsid w:val="007766C8"/>
    <w:rsid w:val="00780107"/>
    <w:rsid w:val="00787437"/>
    <w:rsid w:val="00791060"/>
    <w:rsid w:val="00795248"/>
    <w:rsid w:val="007974EA"/>
    <w:rsid w:val="0079787D"/>
    <w:rsid w:val="007A4AAA"/>
    <w:rsid w:val="007B498A"/>
    <w:rsid w:val="007B5626"/>
    <w:rsid w:val="007C6123"/>
    <w:rsid w:val="007D0B38"/>
    <w:rsid w:val="007D6431"/>
    <w:rsid w:val="007E11FD"/>
    <w:rsid w:val="007E2205"/>
    <w:rsid w:val="007E5057"/>
    <w:rsid w:val="007E622D"/>
    <w:rsid w:val="007F0465"/>
    <w:rsid w:val="007F1F29"/>
    <w:rsid w:val="0080570B"/>
    <w:rsid w:val="008103CC"/>
    <w:rsid w:val="0081061E"/>
    <w:rsid w:val="008148E1"/>
    <w:rsid w:val="00815339"/>
    <w:rsid w:val="00815AFD"/>
    <w:rsid w:val="00827F51"/>
    <w:rsid w:val="008319BF"/>
    <w:rsid w:val="00843A32"/>
    <w:rsid w:val="00845846"/>
    <w:rsid w:val="008519A8"/>
    <w:rsid w:val="00851BFC"/>
    <w:rsid w:val="00856433"/>
    <w:rsid w:val="0086130A"/>
    <w:rsid w:val="008701DB"/>
    <w:rsid w:val="00870695"/>
    <w:rsid w:val="0088556B"/>
    <w:rsid w:val="00885EA8"/>
    <w:rsid w:val="00887BD4"/>
    <w:rsid w:val="00891EA3"/>
    <w:rsid w:val="008A1A4F"/>
    <w:rsid w:val="008A6FC4"/>
    <w:rsid w:val="008B07F9"/>
    <w:rsid w:val="008B5FD8"/>
    <w:rsid w:val="008C10F8"/>
    <w:rsid w:val="008C59DF"/>
    <w:rsid w:val="008D0E09"/>
    <w:rsid w:val="008D2B78"/>
    <w:rsid w:val="008F26A8"/>
    <w:rsid w:val="009075E7"/>
    <w:rsid w:val="00910993"/>
    <w:rsid w:val="009319ED"/>
    <w:rsid w:val="00937705"/>
    <w:rsid w:val="00942EAA"/>
    <w:rsid w:val="00951B0D"/>
    <w:rsid w:val="00957023"/>
    <w:rsid w:val="00962B38"/>
    <w:rsid w:val="00963348"/>
    <w:rsid w:val="00963BB7"/>
    <w:rsid w:val="00971C6E"/>
    <w:rsid w:val="0097693B"/>
    <w:rsid w:val="00981E2D"/>
    <w:rsid w:val="00993355"/>
    <w:rsid w:val="0099338B"/>
    <w:rsid w:val="009947D8"/>
    <w:rsid w:val="009A47CC"/>
    <w:rsid w:val="009A4A6D"/>
    <w:rsid w:val="009B2355"/>
    <w:rsid w:val="009B537E"/>
    <w:rsid w:val="009B5933"/>
    <w:rsid w:val="009D52B8"/>
    <w:rsid w:val="009E071E"/>
    <w:rsid w:val="009E28F6"/>
    <w:rsid w:val="009E3975"/>
    <w:rsid w:val="009E587F"/>
    <w:rsid w:val="009E5FCC"/>
    <w:rsid w:val="009E6C9F"/>
    <w:rsid w:val="009F2F80"/>
    <w:rsid w:val="00A12AC3"/>
    <w:rsid w:val="00A13265"/>
    <w:rsid w:val="00A24418"/>
    <w:rsid w:val="00A248A6"/>
    <w:rsid w:val="00A256DB"/>
    <w:rsid w:val="00A312E4"/>
    <w:rsid w:val="00A4509C"/>
    <w:rsid w:val="00A527B6"/>
    <w:rsid w:val="00A71136"/>
    <w:rsid w:val="00A828A7"/>
    <w:rsid w:val="00A83C1A"/>
    <w:rsid w:val="00A858A4"/>
    <w:rsid w:val="00A85A92"/>
    <w:rsid w:val="00A85B3A"/>
    <w:rsid w:val="00AA474C"/>
    <w:rsid w:val="00AA77F0"/>
    <w:rsid w:val="00AB07B9"/>
    <w:rsid w:val="00AB2626"/>
    <w:rsid w:val="00AB41D6"/>
    <w:rsid w:val="00AB64A1"/>
    <w:rsid w:val="00AC589A"/>
    <w:rsid w:val="00AC7FFD"/>
    <w:rsid w:val="00AD5D1F"/>
    <w:rsid w:val="00AD7E5F"/>
    <w:rsid w:val="00AF6983"/>
    <w:rsid w:val="00B01AA1"/>
    <w:rsid w:val="00B031F0"/>
    <w:rsid w:val="00B04D5C"/>
    <w:rsid w:val="00B076F8"/>
    <w:rsid w:val="00B1300F"/>
    <w:rsid w:val="00B30427"/>
    <w:rsid w:val="00B30C81"/>
    <w:rsid w:val="00B36BB0"/>
    <w:rsid w:val="00B41256"/>
    <w:rsid w:val="00B4793B"/>
    <w:rsid w:val="00B508F0"/>
    <w:rsid w:val="00B54E80"/>
    <w:rsid w:val="00B67E3A"/>
    <w:rsid w:val="00B67ECF"/>
    <w:rsid w:val="00B723F6"/>
    <w:rsid w:val="00B75240"/>
    <w:rsid w:val="00B77106"/>
    <w:rsid w:val="00B84A47"/>
    <w:rsid w:val="00B9371F"/>
    <w:rsid w:val="00BA02F7"/>
    <w:rsid w:val="00BE3376"/>
    <w:rsid w:val="00BF0645"/>
    <w:rsid w:val="00BF6290"/>
    <w:rsid w:val="00C0111B"/>
    <w:rsid w:val="00C01C52"/>
    <w:rsid w:val="00C12A70"/>
    <w:rsid w:val="00C15633"/>
    <w:rsid w:val="00C15799"/>
    <w:rsid w:val="00C20C39"/>
    <w:rsid w:val="00C357AD"/>
    <w:rsid w:val="00C45673"/>
    <w:rsid w:val="00C50B4F"/>
    <w:rsid w:val="00C6069C"/>
    <w:rsid w:val="00C70D89"/>
    <w:rsid w:val="00C8371F"/>
    <w:rsid w:val="00C85119"/>
    <w:rsid w:val="00C8753D"/>
    <w:rsid w:val="00C91EFF"/>
    <w:rsid w:val="00C93A83"/>
    <w:rsid w:val="00C93D26"/>
    <w:rsid w:val="00C976A0"/>
    <w:rsid w:val="00CA497C"/>
    <w:rsid w:val="00CA7034"/>
    <w:rsid w:val="00CB56A4"/>
    <w:rsid w:val="00CD5431"/>
    <w:rsid w:val="00CE5930"/>
    <w:rsid w:val="00CF2491"/>
    <w:rsid w:val="00CF5EE6"/>
    <w:rsid w:val="00CF7FFB"/>
    <w:rsid w:val="00D053B4"/>
    <w:rsid w:val="00D1252E"/>
    <w:rsid w:val="00D209C2"/>
    <w:rsid w:val="00D2465A"/>
    <w:rsid w:val="00D4144D"/>
    <w:rsid w:val="00D4174A"/>
    <w:rsid w:val="00D42A5C"/>
    <w:rsid w:val="00D512D0"/>
    <w:rsid w:val="00D55CA6"/>
    <w:rsid w:val="00D57772"/>
    <w:rsid w:val="00D623C9"/>
    <w:rsid w:val="00D72AE3"/>
    <w:rsid w:val="00D75A4D"/>
    <w:rsid w:val="00D80553"/>
    <w:rsid w:val="00D8478B"/>
    <w:rsid w:val="00D86151"/>
    <w:rsid w:val="00D86ED8"/>
    <w:rsid w:val="00D876EB"/>
    <w:rsid w:val="00D94171"/>
    <w:rsid w:val="00D954C5"/>
    <w:rsid w:val="00DA7595"/>
    <w:rsid w:val="00DB0A68"/>
    <w:rsid w:val="00DB17DC"/>
    <w:rsid w:val="00DB36A9"/>
    <w:rsid w:val="00DB508C"/>
    <w:rsid w:val="00DB7541"/>
    <w:rsid w:val="00DB76E0"/>
    <w:rsid w:val="00DC43A3"/>
    <w:rsid w:val="00DC4F9A"/>
    <w:rsid w:val="00DC7988"/>
    <w:rsid w:val="00DD7C09"/>
    <w:rsid w:val="00DE38F6"/>
    <w:rsid w:val="00DE3EBA"/>
    <w:rsid w:val="00DE6023"/>
    <w:rsid w:val="00DE6857"/>
    <w:rsid w:val="00DF12FA"/>
    <w:rsid w:val="00DF590E"/>
    <w:rsid w:val="00E0124F"/>
    <w:rsid w:val="00E05525"/>
    <w:rsid w:val="00E15158"/>
    <w:rsid w:val="00E24F5E"/>
    <w:rsid w:val="00E26D4A"/>
    <w:rsid w:val="00E431D6"/>
    <w:rsid w:val="00E44A1D"/>
    <w:rsid w:val="00E57353"/>
    <w:rsid w:val="00E674D3"/>
    <w:rsid w:val="00E70FD0"/>
    <w:rsid w:val="00E74251"/>
    <w:rsid w:val="00E8588D"/>
    <w:rsid w:val="00E86FB3"/>
    <w:rsid w:val="00E910C4"/>
    <w:rsid w:val="00E95146"/>
    <w:rsid w:val="00EA7C92"/>
    <w:rsid w:val="00EA7EE4"/>
    <w:rsid w:val="00EB17A9"/>
    <w:rsid w:val="00EC1478"/>
    <w:rsid w:val="00EC38A0"/>
    <w:rsid w:val="00ED02ED"/>
    <w:rsid w:val="00ED112D"/>
    <w:rsid w:val="00ED6AE0"/>
    <w:rsid w:val="00ED7A85"/>
    <w:rsid w:val="00EF1268"/>
    <w:rsid w:val="00EF4269"/>
    <w:rsid w:val="00EF5877"/>
    <w:rsid w:val="00EF782C"/>
    <w:rsid w:val="00F01DE0"/>
    <w:rsid w:val="00F02C47"/>
    <w:rsid w:val="00F26696"/>
    <w:rsid w:val="00F346D2"/>
    <w:rsid w:val="00F365C8"/>
    <w:rsid w:val="00F50077"/>
    <w:rsid w:val="00F5050A"/>
    <w:rsid w:val="00F6482C"/>
    <w:rsid w:val="00F84067"/>
    <w:rsid w:val="00F87C5B"/>
    <w:rsid w:val="00F90BAB"/>
    <w:rsid w:val="00F91FDC"/>
    <w:rsid w:val="00FA0DB5"/>
    <w:rsid w:val="00FB0B98"/>
    <w:rsid w:val="00FB3FC0"/>
    <w:rsid w:val="00FB57B1"/>
    <w:rsid w:val="00FC146E"/>
    <w:rsid w:val="00FD12F2"/>
    <w:rsid w:val="00FD6708"/>
    <w:rsid w:val="00FE01E1"/>
    <w:rsid w:val="00FE3DE5"/>
    <w:rsid w:val="00FF26F8"/>
    <w:rsid w:val="00FF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38B"/>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qForma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1">
    <w:name w:val="Unresolved Mention1"/>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qFormat/>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R"/>
    <w:basedOn w:val="DefaultParagraphFont"/>
    <w:unhideWhenUsed/>
    <w:qFormat/>
    <w:rsid w:val="009075E7"/>
    <w:rPr>
      <w:vertAlign w:val="superscript"/>
    </w:rPr>
  </w:style>
  <w:style w:type="paragraph" w:styleId="ListBullet">
    <w:name w:val="List Bullet"/>
    <w:basedOn w:val="Normal"/>
    <w:qFormat/>
    <w:rsid w:val="009075E7"/>
    <w:pPr>
      <w:numPr>
        <w:numId w:val="1"/>
      </w:numPr>
      <w:spacing w:after="80"/>
    </w:pPr>
    <w:rPr>
      <w:rFonts w:ascii="Arial" w:eastAsia="Times New Roman" w:hAnsi="Arial"/>
      <w:sz w:val="20"/>
      <w:lang w:val="en-AU" w:eastAsia="en-AU"/>
    </w:rPr>
  </w:style>
  <w:style w:type="character" w:styleId="Strong">
    <w:name w:val="Strong"/>
    <w:basedOn w:val="DefaultParagraphFont"/>
    <w:uiPriority w:val="22"/>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table" w:customStyle="1" w:styleId="ECCTable-redheader">
    <w:name w:val="ECC Table - red header"/>
    <w:basedOn w:val="TableNormal"/>
    <w:uiPriority w:val="99"/>
    <w:rsid w:val="00742596"/>
    <w:pPr>
      <w:spacing w:before="60" w:after="60"/>
      <w:jc w:val="both"/>
    </w:pPr>
    <w:rPr>
      <w:rFonts w:ascii="Arial" w:eastAsia="Calibri" w:hAnsi="Arial"/>
      <w:lang w:val="de-DE" w:eastAsia="de-DE" w:bidi="fa-IR"/>
    </w:rPr>
    <w:tblPr>
      <w:tblStyleRowBandSize w:val="1"/>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Tabletext">
    <w:name w:val="ECC Table text"/>
    <w:basedOn w:val="Normal"/>
    <w:qFormat/>
    <w:rsid w:val="00742596"/>
    <w:pPr>
      <w:spacing w:after="60"/>
      <w:jc w:val="both"/>
    </w:pPr>
    <w:rPr>
      <w:rFonts w:ascii="Arial" w:eastAsia="Calibri" w:hAnsi="Arial"/>
      <w:sz w:val="20"/>
      <w:szCs w:val="22"/>
      <w:lang w:val="en-GB"/>
    </w:rPr>
  </w:style>
  <w:style w:type="paragraph" w:customStyle="1" w:styleId="ECCTableHeaderwhitefont">
    <w:name w:val="ECC Table Header white font"/>
    <w:qFormat/>
    <w:rsid w:val="00742596"/>
    <w:pPr>
      <w:spacing w:before="240" w:after="60"/>
      <w:jc w:val="center"/>
    </w:pPr>
    <w:rPr>
      <w:rFonts w:ascii="Arial" w:eastAsia="Calibri" w:hAnsi="Arial"/>
      <w:bCs/>
      <w:color w:val="FFFFFF" w:themeColor="background1"/>
      <w:lang w:val="en-GB" w:eastAsia="de-DE"/>
    </w:rPr>
  </w:style>
  <w:style w:type="paragraph" w:customStyle="1" w:styleId="ListParagraph1">
    <w:name w:val="List Paragraph1"/>
    <w:basedOn w:val="Normal"/>
    <w:uiPriority w:val="34"/>
    <w:qFormat/>
    <w:rsid w:val="00742596"/>
    <w:pPr>
      <w:ind w:left="720"/>
    </w:pPr>
  </w:style>
  <w:style w:type="paragraph" w:customStyle="1" w:styleId="yiv9090099731msonormal">
    <w:name w:val="yiv9090099731msonormal"/>
    <w:basedOn w:val="Normal"/>
    <w:rsid w:val="00742596"/>
    <w:pPr>
      <w:spacing w:before="100" w:beforeAutospacing="1" w:after="100" w:afterAutospacing="1"/>
    </w:pPr>
    <w:rPr>
      <w:rFonts w:eastAsia="Times New Roman"/>
      <w:lang w:bidi="fa-IR"/>
    </w:rPr>
  </w:style>
  <w:style w:type="character" w:customStyle="1" w:styleId="UnresolvedMention">
    <w:name w:val="Unresolved Mention"/>
    <w:basedOn w:val="DefaultParagraphFont"/>
    <w:uiPriority w:val="99"/>
    <w:semiHidden/>
    <w:unhideWhenUsed/>
    <w:rsid w:val="005851A7"/>
    <w:rPr>
      <w:color w:val="605E5C"/>
      <w:shd w:val="clear" w:color="auto" w:fill="E1DFDD"/>
    </w:rPr>
  </w:style>
  <w:style w:type="character" w:customStyle="1" w:styleId="Provsplit">
    <w:name w:val="Prov_split"/>
    <w:basedOn w:val="DefaultParagraphFont"/>
    <w:qFormat/>
    <w:rsid w:val="00AC7FFD"/>
    <w:rPr>
      <w:rFonts w:ascii="Times New Roman" w:hAnsi="Times New Roman"/>
      <w:b w:val="0"/>
    </w:rPr>
  </w:style>
  <w:style w:type="character" w:customStyle="1" w:styleId="ApprefBold">
    <w:name w:val="App_ref + Bold"/>
    <w:basedOn w:val="Appref"/>
    <w:qFormat/>
    <w:rsid w:val="00AC7FFD"/>
    <w:rPr>
      <w:b/>
      <w:color w:val="000000"/>
    </w:rPr>
  </w:style>
  <w:style w:type="character" w:customStyle="1" w:styleId="ApprefBold0">
    <w:name w:val="App_ref +  Bold"/>
    <w:rsid w:val="00AC7FFD"/>
    <w:rPr>
      <w:b/>
      <w:color w:val="auto"/>
    </w:rPr>
  </w:style>
  <w:style w:type="character" w:customStyle="1" w:styleId="FooterChar">
    <w:name w:val="Footer Char"/>
    <w:basedOn w:val="DefaultParagraphFont"/>
    <w:link w:val="Footer"/>
    <w:rsid w:val="00B9371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25966902">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9/07/APG19-5-INP-44-R1-AUS_Contribution_to_APG19-5_Chapter_3.docx" TargetMode="External"/><Relationship Id="rId18" Type="http://schemas.openxmlformats.org/officeDocument/2006/relationships/hyperlink" Target="https://www.apt.int/sites/default/files/2019/07/APG19-5-INP-108-MLA_THA_WP3_AI_7_A-C_E_H-K_9.1.2_and_9.1.3.docx" TargetMode="External"/><Relationship Id="rId26" Type="http://schemas.openxmlformats.org/officeDocument/2006/relationships/hyperlink" Target="https://www.apt.int/sites/default/files/2019/07/APG19-5-INP-51-INS_Views-WP3.docx" TargetMode="External"/><Relationship Id="rId21" Type="http://schemas.openxmlformats.org/officeDocument/2006/relationships/hyperlink" Target="https://www.apt.int/sites/default/files/2019/07/APG19-5_INF-18-CEPT.docx"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itu.int/md/R15-CPM19.02-R-0001/en" TargetMode="External"/><Relationship Id="rId17" Type="http://schemas.openxmlformats.org/officeDocument/2006/relationships/hyperlink" Target="https://www.apt.int/sites/default/files/2019/07/APG19-5-INP-81-J-10_WP3_PACP_and_Viewsui1.41.679.1.29.1.3uj.docx" TargetMode="External"/><Relationship Id="rId25" Type="http://schemas.openxmlformats.org/officeDocument/2006/relationships/hyperlink" Target="https://www.apt.int/sites/default/files/2019/07/APG19-5-INP-44-R1-AUS_Contribution_to_APG19-5_Chapter_3.docx"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t.int/sites/default/files/2019/07/APG19-5-INP-73-J-2_AI7_Issue_JB-SAT.docx" TargetMode="External"/><Relationship Id="rId20" Type="http://schemas.openxmlformats.org/officeDocument/2006/relationships/hyperlink" Target="https://www.apt.int/sites/default/files/2019/07/APG19-5-INF-05-ABU-Contribution-on-Agenda-7-Issue-J.docx" TargetMode="External"/><Relationship Id="rId29" Type="http://schemas.openxmlformats.org/officeDocument/2006/relationships/hyperlink" Target="https://www.apt.int/sites/default/files/2019/07/APG19-5-INP-81-J-10_WP3_PACP_and_Viewsui1.41.679.1.29.1.3uj.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dms_ties/itu-r/md/15/wp4a/c/R15-WP4A-C-0826!N39!MSW-E.docx" TargetMode="External"/><Relationship Id="rId24" Type="http://schemas.openxmlformats.org/officeDocument/2006/relationships/hyperlink" Target="https://www.apt.int/sites/default/files/2019/07/APG19-5-INF-22-RCC.docx" TargetMode="External"/><Relationship Id="rId32" Type="http://schemas.openxmlformats.org/officeDocument/2006/relationships/hyperlink" Target="https://www.apt.int/sites/default/files/2019/07/APG19-5-INP-129-WP3_kor.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t.int/sites/default/files/2019/07/APG19-5-INP-67-CHN-WG3_PACP_1.4_1.5_1.6_7_9.1_ISSUE_9.1.2_9.1.3_9.1.9_rev3.doc" TargetMode="External"/><Relationship Id="rId23" Type="http://schemas.openxmlformats.org/officeDocument/2006/relationships/hyperlink" Target="https://www.apt.int/sites/default/files/2019/07/APG19-5-INF-20-CITEL.docx" TargetMode="External"/><Relationship Id="rId28" Type="http://schemas.openxmlformats.org/officeDocument/2006/relationships/hyperlink" Target="https://www.apt.int/sites/default/files/2019/07/APG19-5-INP-73-J-2_AI7_Issue_JB-SAT.docx" TargetMode="External"/><Relationship Id="rId36" Type="http://schemas.openxmlformats.org/officeDocument/2006/relationships/footer" Target="footer3.xml"/><Relationship Id="rId10" Type="http://schemas.openxmlformats.org/officeDocument/2006/relationships/hyperlink" Target="http://www.itu.int/pub/R-REP-BO.2397" TargetMode="External"/><Relationship Id="rId19" Type="http://schemas.openxmlformats.org/officeDocument/2006/relationships/hyperlink" Target="https://www.apt.int/sites/default/files/2019/07/APG19-5-INP-129-WP3_kor.doc" TargetMode="External"/><Relationship Id="rId31" Type="http://schemas.openxmlformats.org/officeDocument/2006/relationships/hyperlink" Target="https://www.apt.int/sites/default/files/2019/07/APG19-5-INP-119-WP3_AI_1.6_7_9.1.2_9.1.3_0.docx" TargetMode="External"/><Relationship Id="rId4" Type="http://schemas.openxmlformats.org/officeDocument/2006/relationships/webSettings" Target="webSettings.xml"/><Relationship Id="rId9" Type="http://schemas.openxmlformats.org/officeDocument/2006/relationships/hyperlink" Target="http://www.itu.int/rec/R-REC-BO.2098/en" TargetMode="External"/><Relationship Id="rId14" Type="http://schemas.openxmlformats.org/officeDocument/2006/relationships/hyperlink" Target="https://www.apt.int/sites/default/files/2019/07/APG19-5-INP-51-INS_Views-WP3.docx" TargetMode="External"/><Relationship Id="rId22" Type="http://schemas.openxmlformats.org/officeDocument/2006/relationships/hyperlink" Target="https://www.apt.int/sites/default/files/2019/07/APG19-5_INF-19-ATU.docx" TargetMode="External"/><Relationship Id="rId27" Type="http://schemas.openxmlformats.org/officeDocument/2006/relationships/hyperlink" Target="https://www.apt.int/sites/default/files/2019/07/APG19-5-INP-67-CHN-WG3_PACP_1.4_1.5_1.6_7_9.1_ISSUE_9.1.2_9.1.3_9.1.9_rev3.doc" TargetMode="External"/><Relationship Id="rId30" Type="http://schemas.openxmlformats.org/officeDocument/2006/relationships/hyperlink" Target="https://www.apt.int/sites/default/files/2019/07/APG19-5-INP-108-MLA_THA_WP3_AI_7_A-C_E_H-K_9.1.2_and_9.1.3.docx" TargetMode="External"/><Relationship Id="rId35" Type="http://schemas.openxmlformats.org/officeDocument/2006/relationships/footer" Target="footer2.xml"/><Relationship Id="rId8" Type="http://schemas.openxmlformats.org/officeDocument/2006/relationships/hyperlink" Target="http://www.itu.int/rec/R-REC-BT.2020/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8111</Characters>
  <Application>Microsoft Office Word</Application>
  <DocSecurity>0</DocSecurity>
  <Lines>67</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2004-07-28T02:14:00Z</cp:lastPrinted>
  <dcterms:created xsi:type="dcterms:W3CDTF">2019-08-09T03:57:00Z</dcterms:created>
  <dcterms:modified xsi:type="dcterms:W3CDTF">2019-08-09T03:57:00Z</dcterms:modified>
</cp:coreProperties>
</file>