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FF2F2C">
            <w:pPr>
              <w:rPr>
                <w:b/>
              </w:rPr>
            </w:pPr>
            <w:r w:rsidRPr="00C96104">
              <w:rPr>
                <w:b/>
                <w:bCs/>
                <w:lang w:val="fr-FR"/>
              </w:rPr>
              <w:t>AP</w:t>
            </w:r>
            <w:r>
              <w:rPr>
                <w:b/>
                <w:bCs/>
                <w:lang w:val="fr-FR"/>
              </w:rPr>
              <w:t>G19-</w:t>
            </w:r>
            <w:r w:rsidR="00CD256B">
              <w:rPr>
                <w:b/>
                <w:bCs/>
                <w:lang w:val="fr-FR"/>
              </w:rPr>
              <w:t>5</w:t>
            </w:r>
            <w:r>
              <w:rPr>
                <w:b/>
                <w:bCs/>
                <w:lang w:val="fr-FR"/>
              </w:rPr>
              <w:t>/</w:t>
            </w:r>
            <w:r w:rsidR="00FF2F2C">
              <w:rPr>
                <w:b/>
                <w:bCs/>
                <w:lang w:val="fr-FR"/>
              </w:rPr>
              <w:t>OUT-28</w:t>
            </w:r>
            <w:r w:rsidR="00D86FED">
              <w:rPr>
                <w:b/>
                <w:bCs/>
                <w:lang w:val="fr-FR"/>
              </w:rPr>
              <w:t xml:space="preserve"> </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FF2F2C"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5473AB" w:rsidRDefault="005473AB" w:rsidP="00B64A60">
      <w:pPr>
        <w:jc w:val="center"/>
        <w:rPr>
          <w:b/>
          <w:lang w:val="en-NZ" w:eastAsia="ko-KR"/>
        </w:rPr>
      </w:pPr>
    </w:p>
    <w:p w:rsidR="001274F5" w:rsidRPr="001274F5" w:rsidRDefault="0027081A" w:rsidP="00B64A60">
      <w:pPr>
        <w:jc w:val="center"/>
        <w:rPr>
          <w:lang w:val="en-NZ" w:eastAsia="ko-KR"/>
        </w:rPr>
      </w:pPr>
      <w:r>
        <w:rPr>
          <w:lang w:val="en-NZ" w:eastAsia="ko-KR"/>
        </w:rPr>
        <w:t>Working Party 1</w:t>
      </w:r>
    </w:p>
    <w:p w:rsidR="00B64A60" w:rsidRPr="002A0111" w:rsidRDefault="001274F5" w:rsidP="00B64A60">
      <w:pPr>
        <w:jc w:val="center"/>
        <w:rPr>
          <w:bCs/>
          <w:caps/>
          <w:lang w:val="en-NZ"/>
        </w:rPr>
      </w:pPr>
      <w:r w:rsidRPr="002A0111">
        <w:rPr>
          <w:bCs/>
          <w:caps/>
          <w:lang w:val="en-NZ"/>
        </w:rPr>
        <w:t xml:space="preserve"> </w:t>
      </w:r>
    </w:p>
    <w:p w:rsidR="009465A6" w:rsidRDefault="00A82D7C" w:rsidP="00B64A60">
      <w:pPr>
        <w:jc w:val="center"/>
        <w:rPr>
          <w:b/>
          <w:bCs/>
          <w:caps/>
          <w:lang w:val="en-NZ"/>
        </w:rPr>
      </w:pPr>
      <w:r>
        <w:rPr>
          <w:b/>
          <w:bCs/>
          <w:caps/>
          <w:lang w:val="en-NZ"/>
        </w:rPr>
        <w:t xml:space="preserve"> </w:t>
      </w:r>
      <w:r w:rsidR="009465A6">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B64A60">
      <w:pPr>
        <w:jc w:val="center"/>
        <w:rPr>
          <w:b/>
          <w:bCs/>
          <w:caps/>
          <w:lang w:val="en-NZ"/>
        </w:rPr>
      </w:pPr>
      <w:r w:rsidRPr="00441526">
        <w:rPr>
          <w:b/>
          <w:bCs/>
          <w:caps/>
          <w:lang w:val="en-NZ"/>
        </w:rPr>
        <w:t>on WRC-19 agenda item 1.</w:t>
      </w:r>
      <w:r w:rsidR="00A82D7C">
        <w:rPr>
          <w:b/>
          <w:bCs/>
          <w:caps/>
          <w:lang w:val="en-NZ"/>
        </w:rPr>
        <w:t>14</w:t>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Agenda Item 1.</w:t>
      </w:r>
      <w:r w:rsidR="00A82D7C">
        <w:rPr>
          <w:b/>
          <w:lang w:val="en-NZ"/>
        </w:rPr>
        <w:t>14</w:t>
      </w:r>
      <w:r w:rsidRPr="00441526">
        <w:rPr>
          <w:b/>
          <w:lang w:val="en-NZ"/>
        </w:rPr>
        <w:t xml:space="preserve">: </w:t>
      </w:r>
    </w:p>
    <w:p w:rsidR="002A731D" w:rsidRDefault="002A731D" w:rsidP="002A731D">
      <w:pPr>
        <w:spacing w:after="120"/>
        <w:jc w:val="both"/>
        <w:rPr>
          <w:i/>
          <w:iCs/>
        </w:rPr>
      </w:pPr>
      <w:proofErr w:type="gramStart"/>
      <w:r w:rsidRPr="008A4083">
        <w:rPr>
          <w:i/>
          <w:iCs/>
        </w:rPr>
        <w:t>to</w:t>
      </w:r>
      <w:proofErr w:type="gramEnd"/>
      <w:r w:rsidRPr="008A4083">
        <w:rPr>
          <w:i/>
          <w:iCs/>
        </w:rPr>
        <w:t xml:space="preserve"> consider, on the basis of ITU-R studies in accordance with Resolution </w:t>
      </w:r>
      <w:r w:rsidRPr="008A4083">
        <w:rPr>
          <w:b/>
          <w:i/>
          <w:iCs/>
        </w:rPr>
        <w:t>160 (WRC</w:t>
      </w:r>
      <w:r w:rsidRPr="008A4083">
        <w:rPr>
          <w:b/>
          <w:i/>
          <w:iCs/>
        </w:rPr>
        <w:noBreakHyphen/>
        <w:t>15),</w:t>
      </w:r>
      <w:r w:rsidRPr="008A4083">
        <w:rPr>
          <w:i/>
          <w:iCs/>
        </w:rPr>
        <w:t xml:space="preserve"> appropriate regulatory actions for high-altitude platform stations (HAPS), within existing fixed-service allocations;</w:t>
      </w:r>
    </w:p>
    <w:p w:rsidR="002A731D" w:rsidRPr="006152DE" w:rsidRDefault="002A731D" w:rsidP="002A731D">
      <w:pPr>
        <w:spacing w:after="120"/>
        <w:jc w:val="both"/>
        <w:rPr>
          <w:i/>
          <w:lang w:eastAsia="ko-KR"/>
        </w:rPr>
      </w:pPr>
      <w:r w:rsidRPr="008A4083">
        <w:t xml:space="preserve">Resolution </w:t>
      </w:r>
      <w:r w:rsidRPr="008A4083">
        <w:rPr>
          <w:b/>
          <w:bCs/>
        </w:rPr>
        <w:t>160 (WRC</w:t>
      </w:r>
      <w:r w:rsidRPr="008A4083">
        <w:rPr>
          <w:b/>
          <w:bCs/>
        </w:rPr>
        <w:noBreakHyphen/>
        <w:t>15)</w:t>
      </w:r>
      <w:r w:rsidRPr="008A4083">
        <w:t xml:space="preserve"> – </w:t>
      </w:r>
      <w:r w:rsidRPr="008A4083">
        <w:rPr>
          <w:rFonts w:eastAsia="SimSun"/>
          <w:i/>
          <w:iCs/>
        </w:rPr>
        <w:t>Facilitating access to broadband applications delivered by high</w:t>
      </w:r>
      <w:r w:rsidRPr="008A4083">
        <w:rPr>
          <w:rFonts w:eastAsia="SimSun"/>
          <w:i/>
          <w:iCs/>
        </w:rPr>
        <w:noBreakHyphen/>
        <w:t>altitude platform stations</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5473AB" w:rsidRPr="00A95F45" w:rsidRDefault="005473AB" w:rsidP="005473AB">
      <w:pPr>
        <w:spacing w:afterLines="50" w:after="120"/>
        <w:jc w:val="both"/>
        <w:rPr>
          <w:rFonts w:eastAsiaTheme="minorEastAsia"/>
          <w:b/>
          <w:lang w:eastAsia="zh-CN"/>
        </w:rPr>
      </w:pPr>
      <w:r w:rsidRPr="00A95F45">
        <w:rPr>
          <w:rFonts w:eastAsiaTheme="minorEastAsia"/>
          <w:b/>
          <w:lang w:eastAsia="zh-CN"/>
        </w:rPr>
        <w:t>1.</w:t>
      </w:r>
      <w:r w:rsidR="00B85851">
        <w:rPr>
          <w:rFonts w:eastAsiaTheme="minorEastAsia"/>
          <w:b/>
          <w:lang w:eastAsia="zh-CN"/>
        </w:rPr>
        <w:t>1</w:t>
      </w:r>
      <w:r w:rsidR="00B85851">
        <w:rPr>
          <w:rFonts w:eastAsiaTheme="minorEastAsia"/>
          <w:b/>
          <w:lang w:eastAsia="zh-CN"/>
        </w:rPr>
        <w:tab/>
      </w:r>
      <w:r w:rsidRPr="00A95F45">
        <w:rPr>
          <w:rFonts w:eastAsiaTheme="minorEastAsia"/>
          <w:b/>
          <w:lang w:eastAsia="zh-CN"/>
        </w:rPr>
        <w:t>Relevant ITU-R studies</w:t>
      </w:r>
    </w:p>
    <w:p w:rsidR="00722E3F" w:rsidRPr="00A95F45" w:rsidRDefault="0083577F" w:rsidP="00722E3F">
      <w:pPr>
        <w:numPr>
          <w:ilvl w:val="0"/>
          <w:numId w:val="23"/>
        </w:numPr>
        <w:spacing w:after="50"/>
        <w:jc w:val="both"/>
        <w:rPr>
          <w:lang w:val="en-NZ"/>
        </w:rPr>
      </w:pPr>
      <w:r>
        <w:rPr>
          <w:lang w:val="en-NZ"/>
        </w:rPr>
        <w:t>D</w:t>
      </w:r>
      <w:r w:rsidR="00722E3F" w:rsidRPr="00A95F45">
        <w:rPr>
          <w:lang w:val="en-NZ"/>
        </w:rPr>
        <w:t xml:space="preserve">raft new Report F.[HAPS-39GHz] on sharing and compatibility studies of HAPS systems in the 38-39.5 GHz frequency range,  as contained in Document </w:t>
      </w:r>
      <w:hyperlink r:id="rId10" w:history="1">
        <w:r w:rsidR="00722E3F" w:rsidRPr="00A95F45">
          <w:rPr>
            <w:rStyle w:val="Hyperlink"/>
            <w:lang w:val="en-NZ"/>
          </w:rPr>
          <w:t>5/</w:t>
        </w:r>
        <w:r>
          <w:rPr>
            <w:rStyle w:val="Hyperlink"/>
            <w:lang w:val="en-NZ"/>
          </w:rPr>
          <w:t>160</w:t>
        </w:r>
      </w:hyperlink>
      <w:r w:rsidR="00722E3F" w:rsidRPr="00A95F45">
        <w:rPr>
          <w:lang w:val="en-NZ"/>
        </w:rPr>
        <w:t>;</w:t>
      </w:r>
    </w:p>
    <w:p w:rsidR="00722E3F" w:rsidRPr="00A95F45" w:rsidRDefault="0083577F" w:rsidP="00722E3F">
      <w:pPr>
        <w:numPr>
          <w:ilvl w:val="0"/>
          <w:numId w:val="23"/>
        </w:numPr>
        <w:spacing w:after="50"/>
        <w:jc w:val="both"/>
        <w:rPr>
          <w:lang w:val="en-NZ"/>
        </w:rPr>
      </w:pPr>
      <w:r>
        <w:rPr>
          <w:lang w:val="en-NZ"/>
        </w:rPr>
        <w:t>D</w:t>
      </w:r>
      <w:r w:rsidR="00722E3F" w:rsidRPr="00A95F45">
        <w:rPr>
          <w:lang w:val="en-NZ"/>
        </w:rPr>
        <w:t xml:space="preserve">raft new Report ITU-R F.[HAPS-25GHz] on sharing and compatibility studies of HAPS systems </w:t>
      </w:r>
      <w:r>
        <w:rPr>
          <w:lang w:val="en-NZ"/>
        </w:rPr>
        <w:t xml:space="preserve">in the fixed service </w:t>
      </w:r>
      <w:r w:rsidR="00722E3F" w:rsidRPr="00A95F45">
        <w:rPr>
          <w:lang w:val="en-NZ"/>
        </w:rPr>
        <w:t xml:space="preserve">in the 24.25-27.5 GHz frequency range,  as contained in Document </w:t>
      </w:r>
      <w:hyperlink r:id="rId11" w:history="1">
        <w:r w:rsidR="00722E3F" w:rsidRPr="00A95F45">
          <w:rPr>
            <w:rStyle w:val="Hyperlink"/>
            <w:lang w:val="en-NZ"/>
          </w:rPr>
          <w:t>5/</w:t>
        </w:r>
        <w:r>
          <w:rPr>
            <w:rStyle w:val="Hyperlink"/>
            <w:lang w:val="en-NZ"/>
          </w:rPr>
          <w:t>161</w:t>
        </w:r>
      </w:hyperlink>
      <w:r w:rsidR="00722E3F" w:rsidRPr="00A95F45">
        <w:rPr>
          <w:lang w:val="en-NZ"/>
        </w:rPr>
        <w:t>;</w:t>
      </w:r>
    </w:p>
    <w:p w:rsidR="00722E3F" w:rsidRPr="00A95F45" w:rsidRDefault="0083577F" w:rsidP="00722E3F">
      <w:pPr>
        <w:numPr>
          <w:ilvl w:val="0"/>
          <w:numId w:val="23"/>
        </w:numPr>
        <w:spacing w:after="50"/>
        <w:jc w:val="both"/>
        <w:rPr>
          <w:lang w:val="en-NZ"/>
        </w:rPr>
      </w:pPr>
      <w:r>
        <w:rPr>
          <w:lang w:val="en-NZ"/>
        </w:rPr>
        <w:t>D</w:t>
      </w:r>
      <w:r w:rsidR="00722E3F" w:rsidRPr="00A95F45">
        <w:rPr>
          <w:lang w:val="en-NZ"/>
        </w:rPr>
        <w:t xml:space="preserve">raft new Report F.[HAPS-47GHz] on sharing and compatibility studies of HAPS systems </w:t>
      </w:r>
      <w:r>
        <w:rPr>
          <w:lang w:val="en-NZ"/>
        </w:rPr>
        <w:t xml:space="preserve">in the fixed service </w:t>
      </w:r>
      <w:r w:rsidR="00722E3F" w:rsidRPr="00A95F45">
        <w:rPr>
          <w:lang w:val="en-NZ"/>
        </w:rPr>
        <w:t xml:space="preserve">in the 47.2-47.5 GHz and 47.9-48.2 GHz frequency ranges, as contained in Document </w:t>
      </w:r>
      <w:hyperlink r:id="rId12" w:history="1">
        <w:r w:rsidR="00722E3F" w:rsidRPr="00A95F45">
          <w:rPr>
            <w:rStyle w:val="Hyperlink"/>
            <w:lang w:val="en-NZ"/>
          </w:rPr>
          <w:t>5/</w:t>
        </w:r>
        <w:r>
          <w:rPr>
            <w:rStyle w:val="Hyperlink"/>
            <w:lang w:val="en-NZ"/>
          </w:rPr>
          <w:t>162</w:t>
        </w:r>
      </w:hyperlink>
      <w:r w:rsidRPr="00A95F45">
        <w:rPr>
          <w:lang w:val="en-NZ"/>
        </w:rPr>
        <w:t>;</w:t>
      </w:r>
    </w:p>
    <w:p w:rsidR="0083577F" w:rsidRPr="00A95F45" w:rsidRDefault="0083577F" w:rsidP="0083577F">
      <w:pPr>
        <w:numPr>
          <w:ilvl w:val="0"/>
          <w:numId w:val="23"/>
        </w:numPr>
        <w:spacing w:after="50"/>
        <w:jc w:val="both"/>
        <w:rPr>
          <w:lang w:val="en-NZ"/>
        </w:rPr>
      </w:pPr>
      <w:r>
        <w:rPr>
          <w:lang w:val="en-NZ"/>
        </w:rPr>
        <w:t>D</w:t>
      </w:r>
      <w:r w:rsidRPr="00A95F45">
        <w:rPr>
          <w:lang w:val="en-NZ"/>
        </w:rPr>
        <w:t xml:space="preserve">raft new Report ITU-R F.[HAPS-21GHz] on </w:t>
      </w:r>
      <w:r>
        <w:rPr>
          <w:lang w:val="en-NZ"/>
        </w:rPr>
        <w:t>s</w:t>
      </w:r>
      <w:r w:rsidRPr="00722E3F">
        <w:rPr>
          <w:lang w:val="en-NZ"/>
        </w:rPr>
        <w:t>haring and compatibility studies of HAPS systems in the fixed service in the 21.4-22 GHz frequency range for Region 2</w:t>
      </w:r>
      <w:r w:rsidRPr="00A95F45">
        <w:rPr>
          <w:lang w:val="en-NZ"/>
        </w:rPr>
        <w:t xml:space="preserve">,  as contained in Document </w:t>
      </w:r>
      <w:hyperlink r:id="rId13" w:history="1">
        <w:r w:rsidRPr="00A95F45">
          <w:rPr>
            <w:rStyle w:val="Hyperlink"/>
            <w:lang w:val="en-NZ"/>
          </w:rPr>
          <w:t>5/</w:t>
        </w:r>
        <w:r>
          <w:rPr>
            <w:rStyle w:val="Hyperlink"/>
            <w:lang w:val="en-NZ"/>
          </w:rPr>
          <w:t>163</w:t>
        </w:r>
      </w:hyperlink>
      <w:r w:rsidRPr="00A95F45">
        <w:rPr>
          <w:lang w:val="en-NZ"/>
        </w:rPr>
        <w:t>;</w:t>
      </w:r>
    </w:p>
    <w:p w:rsidR="00722E3F" w:rsidRPr="00A95F45" w:rsidRDefault="00722E3F" w:rsidP="00722E3F">
      <w:pPr>
        <w:numPr>
          <w:ilvl w:val="0"/>
          <w:numId w:val="23"/>
        </w:numPr>
        <w:spacing w:after="50"/>
        <w:jc w:val="both"/>
        <w:rPr>
          <w:lang w:val="en-NZ"/>
        </w:rPr>
      </w:pPr>
      <w:r>
        <w:rPr>
          <w:lang w:val="en-NZ"/>
        </w:rPr>
        <w:t>D</w:t>
      </w:r>
      <w:r w:rsidRPr="00A95F45">
        <w:rPr>
          <w:lang w:val="en-NZ"/>
        </w:rPr>
        <w:t>raft new Report ITU-R F.[HAPS-31GHz] on</w:t>
      </w:r>
      <w:r>
        <w:rPr>
          <w:lang w:val="en-NZ"/>
        </w:rPr>
        <w:t xml:space="preserve"> s</w:t>
      </w:r>
      <w:r w:rsidRPr="00722E3F">
        <w:rPr>
          <w:lang w:val="en-NZ"/>
        </w:rPr>
        <w:t>haring and compatibility studies of HAPS systems in the fixed service in the 27.9-28.2 GHz and 31.0-31.3 GHz frequency ranges</w:t>
      </w:r>
      <w:r w:rsidRPr="00A95F45">
        <w:rPr>
          <w:lang w:val="en-NZ"/>
        </w:rPr>
        <w:t xml:space="preserve">,  as contained in Document </w:t>
      </w:r>
      <w:hyperlink r:id="rId14" w:history="1">
        <w:r w:rsidRPr="00A95F45">
          <w:rPr>
            <w:rStyle w:val="Hyperlink"/>
            <w:lang w:val="en-NZ"/>
          </w:rPr>
          <w:t>5/</w:t>
        </w:r>
        <w:r>
          <w:rPr>
            <w:rStyle w:val="Hyperlink"/>
            <w:lang w:val="en-NZ"/>
          </w:rPr>
          <w:t>164</w:t>
        </w:r>
      </w:hyperlink>
      <w:r w:rsidRPr="00A95F45">
        <w:rPr>
          <w:lang w:val="en-NZ"/>
        </w:rPr>
        <w:t>;</w:t>
      </w:r>
    </w:p>
    <w:p w:rsidR="005473AB" w:rsidRPr="00A95F45" w:rsidRDefault="005473AB" w:rsidP="005473AB">
      <w:pPr>
        <w:spacing w:after="50"/>
        <w:jc w:val="both"/>
      </w:pPr>
      <w:r w:rsidRPr="00A95F45">
        <w:t>The ITU has published the following Recommendations on HAPS usage in 47.2–47.5 GHz and 47.9</w:t>
      </w:r>
      <w:r w:rsidRPr="00A95F45">
        <w:noBreakHyphen/>
        <w:t xml:space="preserve">48.2 GHz bands: </w:t>
      </w:r>
      <w:hyperlink r:id="rId15">
        <w:r w:rsidRPr="00A95F45">
          <w:rPr>
            <w:rStyle w:val="InternetLink"/>
            <w:bCs/>
          </w:rPr>
          <w:t>F.1500</w:t>
        </w:r>
      </w:hyperlink>
      <w:r w:rsidRPr="00A95F45">
        <w:rPr>
          <w:rStyle w:val="InternetLink"/>
          <w:bCs/>
        </w:rPr>
        <w:t xml:space="preserve">, </w:t>
      </w:r>
      <w:hyperlink r:id="rId16">
        <w:r w:rsidRPr="00A95F45">
          <w:rPr>
            <w:rStyle w:val="InternetLink"/>
            <w:bCs/>
          </w:rPr>
          <w:t>F.1501</w:t>
        </w:r>
      </w:hyperlink>
      <w:r w:rsidRPr="00A95F45">
        <w:rPr>
          <w:rStyle w:val="InternetLink"/>
          <w:bCs/>
        </w:rPr>
        <w:t xml:space="preserve">, </w:t>
      </w:r>
      <w:hyperlink r:id="rId17">
        <w:r w:rsidRPr="00A95F45">
          <w:rPr>
            <w:rStyle w:val="InternetLink"/>
          </w:rPr>
          <w:t>F.1608</w:t>
        </w:r>
      </w:hyperlink>
      <w:r w:rsidRPr="00A95F45">
        <w:rPr>
          <w:rStyle w:val="InternetLink"/>
        </w:rPr>
        <w:t xml:space="preserve">, </w:t>
      </w:r>
      <w:hyperlink r:id="rId18">
        <w:r w:rsidRPr="00A95F45">
          <w:rPr>
            <w:rStyle w:val="InternetLink"/>
          </w:rPr>
          <w:t>F.1764</w:t>
        </w:r>
      </w:hyperlink>
      <w:r w:rsidRPr="00A95F45">
        <w:rPr>
          <w:rStyle w:val="InternetLink"/>
        </w:rPr>
        <w:t xml:space="preserve">, </w:t>
      </w:r>
      <w:hyperlink r:id="rId19">
        <w:r w:rsidRPr="00A95F45">
          <w:rPr>
            <w:rStyle w:val="InternetLink"/>
          </w:rPr>
          <w:t>F.1819</w:t>
        </w:r>
      </w:hyperlink>
      <w:r w:rsidRPr="00A95F45">
        <w:rPr>
          <w:rStyle w:val="InternetLink"/>
        </w:rPr>
        <w:t xml:space="preserve">, </w:t>
      </w:r>
      <w:hyperlink r:id="rId20">
        <w:r w:rsidRPr="00A95F45">
          <w:rPr>
            <w:rStyle w:val="InternetLink"/>
          </w:rPr>
          <w:t>F.1820</w:t>
        </w:r>
      </w:hyperlink>
      <w:r w:rsidRPr="00A95F45">
        <w:rPr>
          <w:rStyle w:val="InternetLink"/>
        </w:rPr>
        <w:t xml:space="preserve">, </w:t>
      </w:r>
      <w:hyperlink r:id="rId21">
        <w:r w:rsidRPr="00A95F45">
          <w:rPr>
            <w:rStyle w:val="InternetLink"/>
          </w:rPr>
          <w:t>P.1409</w:t>
        </w:r>
      </w:hyperlink>
      <w:r w:rsidRPr="00A95F45">
        <w:rPr>
          <w:rStyle w:val="InternetLink"/>
        </w:rPr>
        <w:t xml:space="preserve">, </w:t>
      </w:r>
      <w:hyperlink r:id="rId22">
        <w:r w:rsidRPr="00A95F45">
          <w:rPr>
            <w:rStyle w:val="InternetLink"/>
          </w:rPr>
          <w:t>SF.1481</w:t>
        </w:r>
      </w:hyperlink>
      <w:r w:rsidRPr="00A95F45">
        <w:rPr>
          <w:rStyle w:val="InternetLink"/>
        </w:rPr>
        <w:t xml:space="preserve">, </w:t>
      </w:r>
      <w:hyperlink r:id="rId23">
        <w:r w:rsidRPr="00A95F45">
          <w:rPr>
            <w:rStyle w:val="InternetLink"/>
          </w:rPr>
          <w:t>SF.1843</w:t>
        </w:r>
      </w:hyperlink>
      <w:r w:rsidRPr="00A95F45">
        <w:rPr>
          <w:rStyle w:val="InternetLink"/>
        </w:rPr>
        <w:t>.</w:t>
      </w:r>
    </w:p>
    <w:p w:rsidR="005473AB" w:rsidRPr="00A95F45" w:rsidRDefault="005473AB" w:rsidP="005473AB">
      <w:pPr>
        <w:spacing w:after="50"/>
        <w:jc w:val="both"/>
      </w:pPr>
      <w:r w:rsidRPr="00A95F45">
        <w:t xml:space="preserve">The ITU has published the following Recommendations on HAPS usage in the 27.9-28.2 GHz and 31.0-31.3 GHz band: </w:t>
      </w:r>
      <w:hyperlink r:id="rId24">
        <w:r w:rsidRPr="00A95F45">
          <w:rPr>
            <w:rStyle w:val="InternetLink"/>
            <w:bCs/>
          </w:rPr>
          <w:t>F.1569</w:t>
        </w:r>
      </w:hyperlink>
      <w:r w:rsidRPr="00A95F45">
        <w:rPr>
          <w:rStyle w:val="InternetLink"/>
          <w:bCs/>
        </w:rPr>
        <w:t xml:space="preserve">, </w:t>
      </w:r>
      <w:hyperlink r:id="rId25">
        <w:r w:rsidRPr="00A95F45">
          <w:rPr>
            <w:rStyle w:val="InternetLink"/>
          </w:rPr>
          <w:t>F.1570</w:t>
        </w:r>
      </w:hyperlink>
      <w:r w:rsidRPr="00A95F45">
        <w:rPr>
          <w:rStyle w:val="InternetLink"/>
        </w:rPr>
        <w:t xml:space="preserve">, </w:t>
      </w:r>
      <w:hyperlink r:id="rId26">
        <w:r w:rsidRPr="00A95F45">
          <w:rPr>
            <w:rStyle w:val="InternetLink"/>
          </w:rPr>
          <w:t>F.1607</w:t>
        </w:r>
      </w:hyperlink>
      <w:r w:rsidRPr="00A95F45">
        <w:rPr>
          <w:rStyle w:val="InternetLink"/>
        </w:rPr>
        <w:t xml:space="preserve">, </w:t>
      </w:r>
      <w:hyperlink r:id="rId27">
        <w:r w:rsidRPr="00A95F45">
          <w:rPr>
            <w:rStyle w:val="InternetLink"/>
          </w:rPr>
          <w:t>F.1609</w:t>
        </w:r>
      </w:hyperlink>
      <w:r w:rsidRPr="00A95F45">
        <w:rPr>
          <w:rStyle w:val="InternetLink"/>
        </w:rPr>
        <w:t xml:space="preserve">, </w:t>
      </w:r>
      <w:hyperlink r:id="rId28">
        <w:r w:rsidRPr="00A95F45">
          <w:rPr>
            <w:rStyle w:val="InternetLink"/>
          </w:rPr>
          <w:t>F.1612</w:t>
        </w:r>
      </w:hyperlink>
      <w:r w:rsidRPr="00A95F45">
        <w:rPr>
          <w:rStyle w:val="InternetLink"/>
        </w:rPr>
        <w:t xml:space="preserve">, </w:t>
      </w:r>
      <w:hyperlink r:id="rId29">
        <w:r w:rsidRPr="00A95F45">
          <w:rPr>
            <w:rStyle w:val="InternetLink"/>
          </w:rPr>
          <w:t>F.1764</w:t>
        </w:r>
      </w:hyperlink>
      <w:r w:rsidRPr="00A95F45">
        <w:rPr>
          <w:rStyle w:val="InternetLink"/>
        </w:rPr>
        <w:t xml:space="preserve">, </w:t>
      </w:r>
      <w:hyperlink r:id="rId30">
        <w:r w:rsidRPr="00A95F45">
          <w:rPr>
            <w:rStyle w:val="InternetLink"/>
          </w:rPr>
          <w:t>P.1409</w:t>
        </w:r>
      </w:hyperlink>
      <w:r w:rsidRPr="00A95F45">
        <w:rPr>
          <w:rStyle w:val="InternetLink"/>
        </w:rPr>
        <w:t xml:space="preserve">, </w:t>
      </w:r>
      <w:hyperlink r:id="rId31">
        <w:r w:rsidRPr="00A95F45">
          <w:rPr>
            <w:rStyle w:val="InternetLink"/>
          </w:rPr>
          <w:t>SF.1601</w:t>
        </w:r>
      </w:hyperlink>
      <w:r w:rsidRPr="00A95F45">
        <w:rPr>
          <w:rStyle w:val="InternetLink"/>
        </w:rPr>
        <w:t>.</w:t>
      </w:r>
    </w:p>
    <w:p w:rsidR="005473AB" w:rsidRDefault="005473AB" w:rsidP="005473AB">
      <w:pPr>
        <w:spacing w:after="50"/>
        <w:jc w:val="both"/>
        <w:rPr>
          <w:rStyle w:val="Hyperlink"/>
          <w:color w:val="auto"/>
        </w:rPr>
      </w:pPr>
      <w:r w:rsidRPr="00A95F45">
        <w:t>The ITU has published the following Reports and Recommendations on HAPS usage in the 6 440</w:t>
      </w:r>
      <w:r w:rsidRPr="00A95F45">
        <w:noBreakHyphen/>
        <w:t xml:space="preserve">6 520 MHz (HAPS-ground) and 6 560-6 640 MHz (ground-HAPS) band: </w:t>
      </w:r>
      <w:hyperlink r:id="rId32">
        <w:r w:rsidRPr="001A793B">
          <w:rPr>
            <w:rStyle w:val="InternetLink"/>
            <w:bCs/>
          </w:rPr>
          <w:t>F.2240</w:t>
        </w:r>
      </w:hyperlink>
      <w:r w:rsidRPr="001A793B">
        <w:rPr>
          <w:rStyle w:val="InternetLink"/>
          <w:bCs/>
        </w:rPr>
        <w:t xml:space="preserve">, </w:t>
      </w:r>
      <w:hyperlink r:id="rId33">
        <w:r w:rsidRPr="001A793B">
          <w:rPr>
            <w:rStyle w:val="InternetLink"/>
            <w:bCs/>
          </w:rPr>
          <w:t>F.1764</w:t>
        </w:r>
      </w:hyperlink>
      <w:r w:rsidRPr="001A793B">
        <w:rPr>
          <w:rStyle w:val="InternetLink"/>
          <w:bCs/>
        </w:rPr>
        <w:t xml:space="preserve">, </w:t>
      </w:r>
      <w:hyperlink r:id="rId34">
        <w:r w:rsidRPr="001A793B">
          <w:rPr>
            <w:rStyle w:val="InternetLink"/>
            <w:bCs/>
          </w:rPr>
          <w:t>F.1891</w:t>
        </w:r>
      </w:hyperlink>
      <w:r w:rsidRPr="001A793B">
        <w:rPr>
          <w:rStyle w:val="InternetLink"/>
          <w:bCs/>
        </w:rPr>
        <w:t xml:space="preserve">, </w:t>
      </w:r>
      <w:hyperlink r:id="rId35">
        <w:r w:rsidRPr="001A793B">
          <w:rPr>
            <w:rStyle w:val="InternetLink"/>
            <w:bCs/>
          </w:rPr>
          <w:t>F.2011</w:t>
        </w:r>
      </w:hyperlink>
      <w:r w:rsidRPr="001A793B">
        <w:rPr>
          <w:rStyle w:val="InternetLink"/>
          <w:bCs/>
        </w:rPr>
        <w:t xml:space="preserve">, </w:t>
      </w:r>
      <w:hyperlink r:id="rId36">
        <w:r w:rsidRPr="001A793B">
          <w:rPr>
            <w:rStyle w:val="InternetLink"/>
            <w:bCs/>
          </w:rPr>
          <w:t>P.1409</w:t>
        </w:r>
      </w:hyperlink>
      <w:r w:rsidRPr="001A793B">
        <w:rPr>
          <w:rStyle w:val="InternetLink"/>
          <w:bCs/>
        </w:rPr>
        <w:t>, F.2437</w:t>
      </w:r>
      <w:r>
        <w:rPr>
          <w:rStyle w:val="InternetLink"/>
          <w:rFonts w:asciiTheme="minorEastAsia" w:eastAsiaTheme="minorEastAsia" w:hAnsiTheme="minorEastAsia" w:hint="eastAsia"/>
          <w:bCs/>
          <w:lang w:eastAsia="zh-CN"/>
        </w:rPr>
        <w:t>.</w:t>
      </w:r>
    </w:p>
    <w:p w:rsidR="005473AB" w:rsidRDefault="005473AB" w:rsidP="005473AB">
      <w:pPr>
        <w:spacing w:after="50"/>
        <w:jc w:val="both"/>
      </w:pPr>
      <w:r w:rsidRPr="001A793B">
        <w:rPr>
          <w:rStyle w:val="Hyperlink"/>
          <w:color w:val="auto"/>
          <w:u w:val="none"/>
        </w:rPr>
        <w:t xml:space="preserve">The ITU has </w:t>
      </w:r>
      <w:proofErr w:type="gramStart"/>
      <w:r w:rsidRPr="001A793B">
        <w:rPr>
          <w:rStyle w:val="Hyperlink"/>
          <w:color w:val="auto"/>
          <w:u w:val="none"/>
        </w:rPr>
        <w:t>publish</w:t>
      </w:r>
      <w:proofErr w:type="gramEnd"/>
      <w:r w:rsidRPr="001A793B">
        <w:rPr>
          <w:rStyle w:val="Hyperlink"/>
          <w:color w:val="auto"/>
          <w:u w:val="none"/>
        </w:rPr>
        <w:t xml:space="preserve"> the following Reports on HAPS usage </w:t>
      </w:r>
      <w:r w:rsidRPr="00A95F45">
        <w:t>in sharing and compatibility studies:</w:t>
      </w:r>
      <w:r>
        <w:t xml:space="preserve"> </w:t>
      </w:r>
      <w:r w:rsidRPr="001A793B">
        <w:rPr>
          <w:rStyle w:val="InternetLink"/>
          <w:bCs/>
        </w:rPr>
        <w:t>F.2438, F.2439</w:t>
      </w:r>
      <w:r w:rsidRPr="00A95F45">
        <w:t>.</w:t>
      </w:r>
    </w:p>
    <w:p w:rsidR="005473AB" w:rsidRDefault="005473AB" w:rsidP="005473AB">
      <w:pPr>
        <w:jc w:val="both"/>
        <w:rPr>
          <w:rStyle w:val="Hyperlink"/>
          <w:color w:val="auto"/>
          <w:u w:val="none"/>
        </w:rPr>
      </w:pPr>
    </w:p>
    <w:p w:rsidR="00AE05A4" w:rsidRPr="00A95F45" w:rsidRDefault="00AE05A4" w:rsidP="005473AB">
      <w:pPr>
        <w:jc w:val="both"/>
        <w:rPr>
          <w:rStyle w:val="Hyperlink"/>
          <w:color w:val="auto"/>
          <w:u w:val="none"/>
        </w:rPr>
      </w:pPr>
    </w:p>
    <w:p w:rsidR="005473AB" w:rsidRPr="00A95F45" w:rsidRDefault="005473AB" w:rsidP="005473AB">
      <w:pPr>
        <w:spacing w:after="120"/>
        <w:jc w:val="both"/>
        <w:rPr>
          <w:b/>
          <w:lang w:val="en-NZ" w:eastAsia="ko-KR"/>
        </w:rPr>
      </w:pPr>
      <w:r w:rsidRPr="00A95F45">
        <w:rPr>
          <w:b/>
          <w:lang w:val="en-NZ" w:eastAsia="ko-KR"/>
        </w:rPr>
        <w:lastRenderedPageBreak/>
        <w:t>1.</w:t>
      </w:r>
      <w:r w:rsidR="00B85851">
        <w:rPr>
          <w:b/>
          <w:lang w:val="en-NZ" w:eastAsia="ko-KR"/>
        </w:rPr>
        <w:t>2</w:t>
      </w:r>
      <w:r w:rsidR="00B85851">
        <w:rPr>
          <w:b/>
          <w:lang w:val="en-NZ" w:eastAsia="ko-KR"/>
        </w:rPr>
        <w:tab/>
      </w:r>
      <w:r w:rsidRPr="00A95F45">
        <w:rPr>
          <w:b/>
          <w:lang w:val="en-NZ" w:eastAsia="ko-KR"/>
        </w:rPr>
        <w:t>Methods to satisfy the Agenda Item</w:t>
      </w:r>
    </w:p>
    <w:p w:rsidR="005473AB" w:rsidRPr="00A95F45" w:rsidRDefault="005473AB" w:rsidP="005473AB">
      <w:pPr>
        <w:spacing w:afterLines="50" w:after="120"/>
        <w:jc w:val="both"/>
        <w:rPr>
          <w:lang w:val="en-NZ"/>
        </w:rPr>
      </w:pPr>
      <w:r w:rsidRPr="00A95F45">
        <w:rPr>
          <w:lang w:val="en-NZ"/>
        </w:rPr>
        <w:t xml:space="preserve">The following methods are outlined in the draft CPM Report to satisfy WRC-19 </w:t>
      </w:r>
      <w:r>
        <w:rPr>
          <w:lang w:val="en-NZ"/>
        </w:rPr>
        <w:t>a</w:t>
      </w:r>
      <w:r w:rsidRPr="00A95F45">
        <w:rPr>
          <w:lang w:val="en-NZ"/>
        </w:rPr>
        <w:t>genda item 1.14</w:t>
      </w:r>
      <w:r w:rsidRPr="00A95F45">
        <w:t xml:space="preserve"> </w:t>
      </w:r>
      <w:r w:rsidRPr="00A95F45">
        <w:rPr>
          <w:lang w:val="en-NZ"/>
        </w:rPr>
        <w:t>for the nine corresponding frequency bands under study:</w:t>
      </w:r>
    </w:p>
    <w:p w:rsidR="005473AB" w:rsidRPr="00A95F45" w:rsidRDefault="005473AB" w:rsidP="005473AB">
      <w:pPr>
        <w:spacing w:afterLines="50" w:after="120"/>
        <w:ind w:left="1440" w:hanging="1440"/>
        <w:jc w:val="both"/>
        <w:rPr>
          <w:lang w:val="en-NZ"/>
        </w:rPr>
      </w:pPr>
      <w:r w:rsidRPr="00A95F45">
        <w:rPr>
          <w:b/>
          <w:lang w:val="en-NZ"/>
        </w:rPr>
        <w:t>Method A</w:t>
      </w:r>
      <w:r w:rsidRPr="00A95F45">
        <w:rPr>
          <w:b/>
          <w:lang w:val="en-NZ"/>
        </w:rPr>
        <w:tab/>
      </w:r>
      <w:r w:rsidR="0083577F">
        <w:rPr>
          <w:lang w:val="en-NZ"/>
        </w:rPr>
        <w:t xml:space="preserve">The </w:t>
      </w:r>
      <w:r w:rsidRPr="00A95F45">
        <w:rPr>
          <w:lang w:val="en-NZ"/>
        </w:rPr>
        <w:t>existing provisions in the Radio Regulation</w:t>
      </w:r>
      <w:r w:rsidR="0083577F">
        <w:rPr>
          <w:lang w:val="en-NZ"/>
        </w:rPr>
        <w:t>s</w:t>
      </w:r>
      <w:r w:rsidRPr="00A95F45">
        <w:rPr>
          <w:lang w:val="en-NZ"/>
        </w:rPr>
        <w:t xml:space="preserve"> remain unchanged in the corresponding frequency band</w:t>
      </w:r>
      <w:r w:rsidR="0083577F">
        <w:rPr>
          <w:lang w:val="en-NZ"/>
        </w:rPr>
        <w:t>.</w:t>
      </w:r>
    </w:p>
    <w:p w:rsidR="005473AB" w:rsidRPr="00A95F45" w:rsidRDefault="005473AB" w:rsidP="005473AB">
      <w:pPr>
        <w:spacing w:afterLines="50" w:after="120"/>
        <w:ind w:left="1440" w:hanging="1440"/>
        <w:jc w:val="both"/>
        <w:rPr>
          <w:lang w:val="en-NZ"/>
        </w:rPr>
      </w:pPr>
      <w:r w:rsidRPr="00A95F45">
        <w:rPr>
          <w:b/>
          <w:lang w:val="en-NZ"/>
        </w:rPr>
        <w:t>Method B</w:t>
      </w:r>
      <w:r w:rsidRPr="00A95F45">
        <w:rPr>
          <w:b/>
          <w:lang w:val="en-NZ"/>
        </w:rPr>
        <w:tab/>
      </w:r>
      <w:r w:rsidR="0083577F">
        <w:rPr>
          <w:lang w:val="en-NZ"/>
        </w:rPr>
        <w:t xml:space="preserve">Identification of bands or parts thereof in accordance with </w:t>
      </w:r>
      <w:r w:rsidRPr="00A95F45">
        <w:rPr>
          <w:lang w:val="en-NZ"/>
        </w:rPr>
        <w:t xml:space="preserve">Resolution </w:t>
      </w:r>
      <w:r w:rsidRPr="00A95F45">
        <w:rPr>
          <w:b/>
          <w:lang w:val="en-NZ"/>
        </w:rPr>
        <w:t>160 (WRC-15)</w:t>
      </w:r>
      <w:r w:rsidRPr="00A95F45">
        <w:rPr>
          <w:lang w:val="en-NZ"/>
        </w:rPr>
        <w:t xml:space="preserve"> with options: </w:t>
      </w:r>
    </w:p>
    <w:p w:rsidR="005473AB" w:rsidRPr="00A95F45" w:rsidRDefault="005473AB" w:rsidP="005473AB">
      <w:pPr>
        <w:spacing w:afterLines="50" w:after="120"/>
        <w:ind w:left="2880" w:hanging="1440"/>
        <w:jc w:val="both"/>
        <w:rPr>
          <w:lang w:val="en-NZ"/>
        </w:rPr>
      </w:pPr>
      <w:r w:rsidRPr="00A95F45">
        <w:rPr>
          <w:b/>
          <w:lang w:val="en-NZ"/>
        </w:rPr>
        <w:t>Method B1</w:t>
      </w:r>
      <w:r w:rsidRPr="00A95F45">
        <w:rPr>
          <w:lang w:val="en-NZ"/>
        </w:rPr>
        <w:tab/>
        <w:t xml:space="preserve">Revision of the regulatory provisions for HAPS in the fixed service with a primary status in bands already designated for HAPS </w:t>
      </w:r>
    </w:p>
    <w:p w:rsidR="005473AB" w:rsidRPr="00A95F45" w:rsidRDefault="005473AB" w:rsidP="005473AB">
      <w:pPr>
        <w:spacing w:afterLines="50" w:after="120"/>
        <w:ind w:left="2880" w:hanging="1440"/>
        <w:jc w:val="both"/>
        <w:rPr>
          <w:lang w:val="en-NZ"/>
        </w:rPr>
      </w:pPr>
      <w:r w:rsidRPr="00A95F45">
        <w:rPr>
          <w:b/>
          <w:lang w:val="en-NZ"/>
        </w:rPr>
        <w:t>Method B2</w:t>
      </w:r>
      <w:r w:rsidRPr="00A95F45">
        <w:rPr>
          <w:lang w:val="en-NZ"/>
        </w:rPr>
        <w:tab/>
        <w:t xml:space="preserve">Add new </w:t>
      </w:r>
      <w:r w:rsidR="009159E4">
        <w:rPr>
          <w:lang w:val="en-NZ"/>
        </w:rPr>
        <w:t>identification</w:t>
      </w:r>
      <w:r w:rsidRPr="00A95F45">
        <w:rPr>
          <w:lang w:val="en-NZ"/>
        </w:rPr>
        <w:t>(s) for HAPS in bands already allocated to the fixed service with a primary status</w:t>
      </w:r>
    </w:p>
    <w:p w:rsidR="005473AB" w:rsidRPr="00A95F45" w:rsidRDefault="005473AB" w:rsidP="005473AB">
      <w:pPr>
        <w:spacing w:afterLines="50" w:after="120"/>
        <w:ind w:left="2880" w:hanging="1440"/>
        <w:jc w:val="both"/>
        <w:rPr>
          <w:lang w:val="en-NZ"/>
        </w:rPr>
      </w:pPr>
      <w:r w:rsidRPr="00A95F45">
        <w:rPr>
          <w:b/>
          <w:lang w:val="en-NZ"/>
        </w:rPr>
        <w:t>Method B3</w:t>
      </w:r>
      <w:r w:rsidRPr="00A95F45">
        <w:rPr>
          <w:lang w:val="en-NZ"/>
        </w:rPr>
        <w:tab/>
        <w:t xml:space="preserve">Add a primary allocation to the </w:t>
      </w:r>
      <w:r w:rsidR="009159E4">
        <w:rPr>
          <w:lang w:val="en-NZ"/>
        </w:rPr>
        <w:t>fixed service</w:t>
      </w:r>
      <w:r w:rsidRPr="00A95F45">
        <w:rPr>
          <w:lang w:val="en-NZ"/>
        </w:rPr>
        <w:t xml:space="preserve"> and a new </w:t>
      </w:r>
      <w:r w:rsidR="009159E4">
        <w:rPr>
          <w:lang w:val="en-NZ"/>
        </w:rPr>
        <w:t xml:space="preserve">identification </w:t>
      </w:r>
      <w:r w:rsidRPr="00A95F45">
        <w:rPr>
          <w:lang w:val="en-NZ"/>
        </w:rPr>
        <w:t>for HAPS in the band 24.25-25.25 GHz (Region 2) not already allocated to the fixed service</w:t>
      </w:r>
    </w:p>
    <w:p w:rsidR="005473AB" w:rsidRDefault="005473AB" w:rsidP="005473AB">
      <w:pPr>
        <w:spacing w:afterLines="50" w:after="120"/>
        <w:ind w:left="1440" w:hanging="1440"/>
        <w:jc w:val="both"/>
        <w:rPr>
          <w:b/>
          <w:lang w:val="en-NZ"/>
        </w:rPr>
      </w:pPr>
      <w:r w:rsidRPr="00A95F45">
        <w:rPr>
          <w:b/>
          <w:lang w:val="en-NZ"/>
        </w:rPr>
        <w:t>Method C</w:t>
      </w:r>
      <w:r w:rsidRPr="00A95F45">
        <w:rPr>
          <w:lang w:val="en-NZ"/>
        </w:rPr>
        <w:tab/>
        <w:t xml:space="preserve">Suppress the existing HAPS </w:t>
      </w:r>
      <w:r w:rsidR="009159E4">
        <w:rPr>
          <w:lang w:val="en-NZ"/>
        </w:rPr>
        <w:t>identification</w:t>
      </w:r>
      <w:r w:rsidRPr="00A95F45">
        <w:rPr>
          <w:lang w:val="en-NZ"/>
        </w:rPr>
        <w:t xml:space="preserve">, pursuant to </w:t>
      </w:r>
      <w:r w:rsidRPr="00A95F45">
        <w:rPr>
          <w:i/>
          <w:lang w:val="en-NZ"/>
        </w:rPr>
        <w:t xml:space="preserve">resolves </w:t>
      </w:r>
      <w:r w:rsidRPr="00A95F45">
        <w:rPr>
          <w:lang w:val="en-NZ"/>
        </w:rPr>
        <w:t xml:space="preserve">3 of Resolution </w:t>
      </w:r>
      <w:r w:rsidRPr="00A95F45">
        <w:rPr>
          <w:b/>
          <w:lang w:val="en-NZ"/>
        </w:rPr>
        <w:t>160 (WRC-15)</w:t>
      </w:r>
    </w:p>
    <w:p w:rsidR="005473AB" w:rsidRDefault="005473AB" w:rsidP="005473AB">
      <w:pPr>
        <w:ind w:left="1440" w:hanging="1440"/>
        <w:jc w:val="center"/>
        <w:rPr>
          <w:b/>
          <w:lang w:val="en-NZ"/>
        </w:rPr>
      </w:pPr>
    </w:p>
    <w:p w:rsidR="005473AB" w:rsidRPr="00E202DF" w:rsidRDefault="005473AB" w:rsidP="005473AB">
      <w:pPr>
        <w:ind w:left="1440" w:hanging="1440"/>
        <w:jc w:val="center"/>
        <w:rPr>
          <w:b/>
          <w:lang w:val="en-NZ"/>
        </w:rPr>
      </w:pPr>
      <w:r w:rsidRPr="00E202DF">
        <w:rPr>
          <w:b/>
          <w:lang w:val="en-NZ"/>
        </w:rPr>
        <w:t>Summary of methods to satisfy the agenda item and associated frequency bands</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3817"/>
        <w:gridCol w:w="1520"/>
        <w:gridCol w:w="1632"/>
        <w:gridCol w:w="1583"/>
      </w:tblGrid>
      <w:tr w:rsidR="005473AB" w:rsidRPr="00A95F45" w:rsidTr="005473AB">
        <w:trPr>
          <w:cantSplit/>
          <w:trHeight w:val="272"/>
          <w:tblHeader/>
          <w:jc w:val="center"/>
        </w:trPr>
        <w:tc>
          <w:tcPr>
            <w:tcW w:w="572" w:type="dxa"/>
            <w:vMerge w:val="restart"/>
            <w:shd w:val="clear" w:color="auto" w:fill="F2F2F2" w:themeFill="background1" w:themeFillShade="F2"/>
            <w:vAlign w:val="center"/>
          </w:tcPr>
          <w:p w:rsidR="005473AB" w:rsidRPr="00A95F45" w:rsidRDefault="005473AB" w:rsidP="00CC4281">
            <w:pPr>
              <w:jc w:val="center"/>
              <w:rPr>
                <w:b/>
                <w:lang w:val="en-NZ"/>
              </w:rPr>
            </w:pPr>
            <w:r w:rsidRPr="00A95F45">
              <w:rPr>
                <w:b/>
                <w:lang w:val="en-NZ"/>
              </w:rPr>
              <w:t>No.</w:t>
            </w:r>
          </w:p>
        </w:tc>
        <w:tc>
          <w:tcPr>
            <w:tcW w:w="3817" w:type="dxa"/>
            <w:vMerge w:val="restart"/>
            <w:shd w:val="clear" w:color="auto" w:fill="F2F2F2" w:themeFill="background1" w:themeFillShade="F2"/>
            <w:vAlign w:val="center"/>
            <w:hideMark/>
          </w:tcPr>
          <w:p w:rsidR="005473AB" w:rsidRPr="00A95F45" w:rsidRDefault="005473AB" w:rsidP="00CC4281">
            <w:pPr>
              <w:jc w:val="center"/>
              <w:rPr>
                <w:b/>
                <w:lang w:val="en-NZ"/>
              </w:rPr>
            </w:pPr>
            <w:r w:rsidRPr="00A95F45">
              <w:rPr>
                <w:b/>
                <w:lang w:val="en-NZ"/>
              </w:rPr>
              <w:t>Frequency Bands</w:t>
            </w:r>
          </w:p>
        </w:tc>
        <w:tc>
          <w:tcPr>
            <w:tcW w:w="4735" w:type="dxa"/>
            <w:gridSpan w:val="3"/>
            <w:shd w:val="clear" w:color="auto" w:fill="F2F2F2" w:themeFill="background1" w:themeFillShade="F2"/>
            <w:vAlign w:val="center"/>
            <w:hideMark/>
          </w:tcPr>
          <w:p w:rsidR="005473AB" w:rsidRPr="00A95F45" w:rsidRDefault="005473AB" w:rsidP="00CC4281">
            <w:pPr>
              <w:jc w:val="center"/>
              <w:rPr>
                <w:b/>
                <w:lang w:val="en-NZ"/>
              </w:rPr>
            </w:pPr>
            <w:r w:rsidRPr="00A95F45">
              <w:rPr>
                <w:b/>
                <w:lang w:val="en-NZ"/>
              </w:rPr>
              <w:t>Methods</w:t>
            </w:r>
            <w:r w:rsidRPr="00A95F45">
              <w:rPr>
                <w:b/>
                <w:iCs/>
                <w:lang w:val="en-NZ"/>
              </w:rPr>
              <w:t xml:space="preserve"> and Options</w:t>
            </w:r>
          </w:p>
        </w:tc>
      </w:tr>
      <w:tr w:rsidR="005473AB" w:rsidRPr="00A95F45" w:rsidTr="005473AB">
        <w:trPr>
          <w:cantSplit/>
          <w:trHeight w:val="287"/>
          <w:tblHeader/>
          <w:jc w:val="center"/>
        </w:trPr>
        <w:tc>
          <w:tcPr>
            <w:tcW w:w="572" w:type="dxa"/>
            <w:vMerge/>
            <w:shd w:val="clear" w:color="auto" w:fill="F2F2F2" w:themeFill="background1" w:themeFillShade="F2"/>
          </w:tcPr>
          <w:p w:rsidR="005473AB" w:rsidRPr="00A95F45" w:rsidRDefault="005473AB" w:rsidP="00CC4281">
            <w:pPr>
              <w:jc w:val="center"/>
              <w:rPr>
                <w:b/>
                <w:lang w:val="en-NZ"/>
              </w:rPr>
            </w:pPr>
          </w:p>
        </w:tc>
        <w:tc>
          <w:tcPr>
            <w:tcW w:w="3817" w:type="dxa"/>
            <w:vMerge/>
            <w:shd w:val="clear" w:color="auto" w:fill="F2F2F2" w:themeFill="background1" w:themeFillShade="F2"/>
            <w:vAlign w:val="center"/>
            <w:hideMark/>
          </w:tcPr>
          <w:p w:rsidR="005473AB" w:rsidRPr="00A95F45" w:rsidRDefault="005473AB" w:rsidP="00CC4281">
            <w:pPr>
              <w:jc w:val="center"/>
              <w:rPr>
                <w:b/>
                <w:lang w:val="en-NZ"/>
              </w:rPr>
            </w:pPr>
          </w:p>
        </w:tc>
        <w:tc>
          <w:tcPr>
            <w:tcW w:w="1520" w:type="dxa"/>
            <w:shd w:val="clear" w:color="auto" w:fill="F2F2F2" w:themeFill="background1" w:themeFillShade="F2"/>
            <w:vAlign w:val="center"/>
            <w:hideMark/>
          </w:tcPr>
          <w:p w:rsidR="005473AB" w:rsidRPr="00A95F45" w:rsidRDefault="005473AB" w:rsidP="00CC4281">
            <w:pPr>
              <w:jc w:val="center"/>
              <w:rPr>
                <w:b/>
                <w:lang w:val="en-NZ"/>
              </w:rPr>
            </w:pPr>
            <w:r w:rsidRPr="00A95F45">
              <w:rPr>
                <w:b/>
                <w:lang w:val="en-NZ"/>
              </w:rPr>
              <w:t>Method A</w:t>
            </w:r>
          </w:p>
        </w:tc>
        <w:tc>
          <w:tcPr>
            <w:tcW w:w="1632" w:type="dxa"/>
            <w:shd w:val="clear" w:color="auto" w:fill="F2F2F2" w:themeFill="background1" w:themeFillShade="F2"/>
            <w:vAlign w:val="center"/>
            <w:hideMark/>
          </w:tcPr>
          <w:p w:rsidR="005473AB" w:rsidRPr="00A95F45" w:rsidRDefault="005473AB" w:rsidP="00CC4281">
            <w:pPr>
              <w:jc w:val="center"/>
              <w:rPr>
                <w:b/>
                <w:lang w:val="en-NZ"/>
              </w:rPr>
            </w:pPr>
            <w:r w:rsidRPr="00A95F45">
              <w:rPr>
                <w:b/>
                <w:lang w:val="en-NZ"/>
              </w:rPr>
              <w:t>Method B</w:t>
            </w:r>
          </w:p>
        </w:tc>
        <w:tc>
          <w:tcPr>
            <w:tcW w:w="1582" w:type="dxa"/>
            <w:shd w:val="clear" w:color="auto" w:fill="F2F2F2" w:themeFill="background1" w:themeFillShade="F2"/>
            <w:vAlign w:val="center"/>
            <w:hideMark/>
          </w:tcPr>
          <w:p w:rsidR="005473AB" w:rsidRPr="00A95F45" w:rsidRDefault="005473AB" w:rsidP="00CC4281">
            <w:pPr>
              <w:jc w:val="center"/>
              <w:rPr>
                <w:b/>
                <w:lang w:val="en-NZ"/>
              </w:rPr>
            </w:pPr>
            <w:r w:rsidRPr="00A95F45">
              <w:rPr>
                <w:b/>
                <w:lang w:val="en-NZ"/>
              </w:rPr>
              <w:t>Method C</w:t>
            </w:r>
          </w:p>
        </w:tc>
      </w:tr>
      <w:tr w:rsidR="005473AB" w:rsidRPr="00A95F45" w:rsidTr="005473AB">
        <w:trPr>
          <w:cantSplit/>
          <w:trHeight w:val="272"/>
          <w:jc w:val="center"/>
        </w:trPr>
        <w:tc>
          <w:tcPr>
            <w:tcW w:w="572" w:type="dxa"/>
          </w:tcPr>
          <w:p w:rsidR="005473AB" w:rsidRPr="00A95F45" w:rsidRDefault="005473AB" w:rsidP="00CC4281">
            <w:pPr>
              <w:jc w:val="center"/>
              <w:rPr>
                <w:lang w:val="en-NZ"/>
              </w:rPr>
            </w:pPr>
            <w:r w:rsidRPr="00A95F45">
              <w:rPr>
                <w:lang w:val="en-NZ"/>
              </w:rPr>
              <w:t>1</w:t>
            </w:r>
          </w:p>
        </w:tc>
        <w:tc>
          <w:tcPr>
            <w:tcW w:w="3817" w:type="dxa"/>
            <w:vAlign w:val="center"/>
            <w:hideMark/>
          </w:tcPr>
          <w:p w:rsidR="005473AB" w:rsidRPr="00A95F45" w:rsidRDefault="005473AB" w:rsidP="00CC4281">
            <w:pPr>
              <w:rPr>
                <w:lang w:val="en-NZ"/>
              </w:rPr>
            </w:pPr>
            <w:r w:rsidRPr="00A95F45">
              <w:rPr>
                <w:lang w:val="en-NZ"/>
              </w:rPr>
              <w:t>6 440-6 520 MHz</w:t>
            </w:r>
          </w:p>
        </w:tc>
        <w:tc>
          <w:tcPr>
            <w:tcW w:w="1520" w:type="dxa"/>
            <w:vAlign w:val="center"/>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i/>
                <w:lang w:val="en-NZ"/>
              </w:rPr>
            </w:pPr>
            <w:r w:rsidRPr="00A95F45">
              <w:rPr>
                <w:lang w:val="en-NZ"/>
              </w:rPr>
              <w:t>B1</w:t>
            </w:r>
          </w:p>
        </w:tc>
        <w:tc>
          <w:tcPr>
            <w:tcW w:w="1582" w:type="dxa"/>
          </w:tcPr>
          <w:p w:rsidR="005473AB" w:rsidRPr="00A95F45" w:rsidRDefault="005473AB" w:rsidP="00CC4281">
            <w:pPr>
              <w:jc w:val="center"/>
              <w:rPr>
                <w:i/>
                <w:lang w:val="en-NZ"/>
              </w:rPr>
            </w:pPr>
            <w:r w:rsidRPr="008A4083">
              <w:t>√</w:t>
            </w:r>
          </w:p>
        </w:tc>
      </w:tr>
      <w:tr w:rsidR="005473AB" w:rsidRPr="00A95F45" w:rsidTr="005473AB">
        <w:trPr>
          <w:cantSplit/>
          <w:trHeight w:val="272"/>
          <w:jc w:val="center"/>
        </w:trPr>
        <w:tc>
          <w:tcPr>
            <w:tcW w:w="572" w:type="dxa"/>
          </w:tcPr>
          <w:p w:rsidR="005473AB" w:rsidRPr="00A95F45" w:rsidRDefault="005473AB" w:rsidP="00CC4281">
            <w:pPr>
              <w:jc w:val="center"/>
              <w:rPr>
                <w:lang w:val="en-NZ"/>
              </w:rPr>
            </w:pPr>
            <w:r w:rsidRPr="00A95F45">
              <w:rPr>
                <w:lang w:val="en-NZ"/>
              </w:rPr>
              <w:t>2</w:t>
            </w:r>
          </w:p>
        </w:tc>
        <w:tc>
          <w:tcPr>
            <w:tcW w:w="3817" w:type="dxa"/>
            <w:vAlign w:val="center"/>
            <w:hideMark/>
          </w:tcPr>
          <w:p w:rsidR="005473AB" w:rsidRPr="00A95F45" w:rsidRDefault="005473AB" w:rsidP="00CC4281">
            <w:pPr>
              <w:rPr>
                <w:lang w:val="en-NZ"/>
              </w:rPr>
            </w:pPr>
            <w:r w:rsidRPr="00A95F45">
              <w:rPr>
                <w:lang w:val="en-NZ"/>
              </w:rPr>
              <w:t>6 560-6 640 MHz</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i/>
                <w:lang w:val="en-NZ"/>
              </w:rPr>
            </w:pPr>
            <w:r w:rsidRPr="00A95F45">
              <w:rPr>
                <w:lang w:val="en-NZ"/>
              </w:rPr>
              <w:t>Not proposed</w:t>
            </w:r>
          </w:p>
        </w:tc>
        <w:tc>
          <w:tcPr>
            <w:tcW w:w="1582" w:type="dxa"/>
          </w:tcPr>
          <w:p w:rsidR="005473AB" w:rsidRPr="00A95F45" w:rsidRDefault="005473AB" w:rsidP="00CC4281">
            <w:pPr>
              <w:jc w:val="center"/>
              <w:rPr>
                <w:i/>
                <w:lang w:val="en-NZ"/>
              </w:rPr>
            </w:pPr>
            <w:r w:rsidRPr="008A4083">
              <w:t>√</w:t>
            </w:r>
          </w:p>
        </w:tc>
      </w:tr>
      <w:tr w:rsidR="005473AB" w:rsidRPr="00A95F45" w:rsidTr="005473AB">
        <w:trPr>
          <w:cantSplit/>
          <w:trHeight w:val="272"/>
          <w:jc w:val="center"/>
        </w:trPr>
        <w:tc>
          <w:tcPr>
            <w:tcW w:w="572" w:type="dxa"/>
          </w:tcPr>
          <w:p w:rsidR="005473AB" w:rsidRPr="00A95F45" w:rsidRDefault="005473AB" w:rsidP="00CC4281">
            <w:pPr>
              <w:jc w:val="center"/>
              <w:rPr>
                <w:lang w:val="en-NZ"/>
              </w:rPr>
            </w:pPr>
            <w:r w:rsidRPr="00A95F45">
              <w:rPr>
                <w:lang w:val="en-NZ"/>
              </w:rPr>
              <w:t>3</w:t>
            </w:r>
          </w:p>
        </w:tc>
        <w:tc>
          <w:tcPr>
            <w:tcW w:w="3817" w:type="dxa"/>
            <w:vAlign w:val="center"/>
            <w:hideMark/>
          </w:tcPr>
          <w:p w:rsidR="005473AB" w:rsidRPr="00A95F45" w:rsidRDefault="005473AB" w:rsidP="00CC4281">
            <w:pPr>
              <w:rPr>
                <w:lang w:val="en-NZ"/>
              </w:rPr>
            </w:pPr>
            <w:r w:rsidRPr="00A95F45">
              <w:rPr>
                <w:lang w:val="en-NZ"/>
              </w:rPr>
              <w:t>21.4-22 GHz (R2 only)</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lang w:val="en-NZ"/>
              </w:rPr>
            </w:pPr>
            <w:r w:rsidRPr="00A95F45">
              <w:rPr>
                <w:lang w:val="en-NZ"/>
              </w:rPr>
              <w:t>B2</w:t>
            </w:r>
          </w:p>
        </w:tc>
        <w:tc>
          <w:tcPr>
            <w:tcW w:w="1582" w:type="dxa"/>
            <w:vAlign w:val="center"/>
          </w:tcPr>
          <w:p w:rsidR="005473AB" w:rsidRPr="00A95F45" w:rsidRDefault="005473AB" w:rsidP="00CC4281">
            <w:pPr>
              <w:jc w:val="center"/>
              <w:rPr>
                <w:lang w:val="en-NZ"/>
              </w:rPr>
            </w:pPr>
            <w:r w:rsidRPr="008A4083">
              <w:t>N/A</w:t>
            </w:r>
          </w:p>
        </w:tc>
      </w:tr>
      <w:tr w:rsidR="005473AB" w:rsidRPr="00A95F45" w:rsidTr="005473AB">
        <w:trPr>
          <w:cantSplit/>
          <w:trHeight w:val="272"/>
          <w:jc w:val="center"/>
        </w:trPr>
        <w:tc>
          <w:tcPr>
            <w:tcW w:w="572" w:type="dxa"/>
          </w:tcPr>
          <w:p w:rsidR="005473AB" w:rsidRPr="00A95F45" w:rsidRDefault="005473AB" w:rsidP="00CC4281">
            <w:pPr>
              <w:jc w:val="center"/>
              <w:rPr>
                <w:lang w:val="en-NZ"/>
              </w:rPr>
            </w:pPr>
            <w:r w:rsidRPr="00A95F45">
              <w:rPr>
                <w:lang w:val="en-NZ"/>
              </w:rPr>
              <w:t>4</w:t>
            </w:r>
          </w:p>
        </w:tc>
        <w:tc>
          <w:tcPr>
            <w:tcW w:w="3817" w:type="dxa"/>
            <w:vAlign w:val="center"/>
          </w:tcPr>
          <w:p w:rsidR="005473AB" w:rsidRPr="00A95F45" w:rsidRDefault="005473AB" w:rsidP="00CC4281">
            <w:pPr>
              <w:rPr>
                <w:lang w:val="en-NZ"/>
              </w:rPr>
            </w:pPr>
            <w:r w:rsidRPr="00A95F45">
              <w:rPr>
                <w:lang w:val="en-NZ"/>
              </w:rPr>
              <w:t>24.25-25.25 GHz (R2 only)</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lang w:val="en-NZ"/>
              </w:rPr>
            </w:pPr>
            <w:r w:rsidRPr="00A95F45">
              <w:rPr>
                <w:lang w:val="en-NZ"/>
              </w:rPr>
              <w:t>B3</w:t>
            </w:r>
          </w:p>
        </w:tc>
        <w:tc>
          <w:tcPr>
            <w:tcW w:w="1582" w:type="dxa"/>
            <w:vAlign w:val="center"/>
          </w:tcPr>
          <w:p w:rsidR="005473AB" w:rsidRPr="00A95F45" w:rsidRDefault="005473AB" w:rsidP="00CC4281">
            <w:pPr>
              <w:jc w:val="center"/>
              <w:rPr>
                <w:lang w:val="en-NZ"/>
              </w:rPr>
            </w:pPr>
            <w:r w:rsidRPr="008A4083">
              <w:t>N/A</w:t>
            </w:r>
          </w:p>
        </w:tc>
      </w:tr>
      <w:tr w:rsidR="005473AB" w:rsidRPr="00A95F45" w:rsidTr="005473AB">
        <w:trPr>
          <w:cantSplit/>
          <w:trHeight w:val="272"/>
          <w:jc w:val="center"/>
        </w:trPr>
        <w:tc>
          <w:tcPr>
            <w:tcW w:w="572" w:type="dxa"/>
          </w:tcPr>
          <w:p w:rsidR="005473AB" w:rsidRPr="00A95F45" w:rsidRDefault="005473AB" w:rsidP="00CC4281">
            <w:pPr>
              <w:jc w:val="center"/>
              <w:rPr>
                <w:lang w:val="en-NZ"/>
              </w:rPr>
            </w:pPr>
            <w:r w:rsidRPr="00A95F45">
              <w:rPr>
                <w:lang w:val="en-NZ"/>
              </w:rPr>
              <w:t>5</w:t>
            </w:r>
          </w:p>
        </w:tc>
        <w:tc>
          <w:tcPr>
            <w:tcW w:w="3817" w:type="dxa"/>
            <w:vAlign w:val="center"/>
          </w:tcPr>
          <w:p w:rsidR="005473AB" w:rsidRPr="00A95F45" w:rsidRDefault="005473AB" w:rsidP="00CC4281">
            <w:pPr>
              <w:rPr>
                <w:lang w:val="en-NZ"/>
              </w:rPr>
            </w:pPr>
            <w:r w:rsidRPr="00A95F45">
              <w:rPr>
                <w:lang w:val="en-NZ"/>
              </w:rPr>
              <w:t>25.25-27.5 GHz (R2 only)</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lang w:val="en-NZ"/>
              </w:rPr>
            </w:pPr>
            <w:r w:rsidRPr="00A95F45">
              <w:rPr>
                <w:lang w:val="en-NZ"/>
              </w:rPr>
              <w:t>B2</w:t>
            </w:r>
          </w:p>
        </w:tc>
        <w:tc>
          <w:tcPr>
            <w:tcW w:w="1582" w:type="dxa"/>
            <w:vAlign w:val="center"/>
          </w:tcPr>
          <w:p w:rsidR="005473AB" w:rsidRPr="00A95F45" w:rsidRDefault="005473AB" w:rsidP="00CC4281">
            <w:pPr>
              <w:jc w:val="center"/>
              <w:rPr>
                <w:lang w:val="en-NZ"/>
              </w:rPr>
            </w:pPr>
            <w:r w:rsidRPr="008A4083">
              <w:t>N/A</w:t>
            </w:r>
          </w:p>
        </w:tc>
      </w:tr>
      <w:tr w:rsidR="005473AB" w:rsidRPr="00A95F45" w:rsidTr="005473AB">
        <w:trPr>
          <w:cantSplit/>
          <w:trHeight w:val="287"/>
          <w:jc w:val="center"/>
        </w:trPr>
        <w:tc>
          <w:tcPr>
            <w:tcW w:w="572" w:type="dxa"/>
          </w:tcPr>
          <w:p w:rsidR="005473AB" w:rsidRPr="00A95F45" w:rsidRDefault="005473AB" w:rsidP="00CC4281">
            <w:pPr>
              <w:jc w:val="center"/>
              <w:rPr>
                <w:lang w:val="en-NZ"/>
              </w:rPr>
            </w:pPr>
            <w:r w:rsidRPr="00A95F45">
              <w:rPr>
                <w:lang w:val="en-NZ"/>
              </w:rPr>
              <w:t>6</w:t>
            </w:r>
          </w:p>
        </w:tc>
        <w:tc>
          <w:tcPr>
            <w:tcW w:w="3817" w:type="dxa"/>
            <w:vAlign w:val="center"/>
            <w:hideMark/>
          </w:tcPr>
          <w:p w:rsidR="005473AB" w:rsidRPr="00A95F45" w:rsidRDefault="005473AB" w:rsidP="00CC4281">
            <w:pPr>
              <w:rPr>
                <w:lang w:val="en-NZ"/>
              </w:rPr>
            </w:pPr>
            <w:r w:rsidRPr="00A95F45">
              <w:rPr>
                <w:lang w:val="en-NZ"/>
              </w:rPr>
              <w:t>27.9-28.2 GHz</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lang w:val="en-NZ"/>
              </w:rPr>
            </w:pPr>
            <w:r w:rsidRPr="00A95F45">
              <w:rPr>
                <w:lang w:val="en-NZ"/>
              </w:rPr>
              <w:t>B1</w:t>
            </w:r>
          </w:p>
        </w:tc>
        <w:tc>
          <w:tcPr>
            <w:tcW w:w="1582" w:type="dxa"/>
          </w:tcPr>
          <w:p w:rsidR="005473AB" w:rsidRPr="00A95F45" w:rsidRDefault="005473AB" w:rsidP="00CC4281">
            <w:pPr>
              <w:jc w:val="center"/>
              <w:rPr>
                <w:lang w:val="en-NZ"/>
              </w:rPr>
            </w:pPr>
            <w:r w:rsidRPr="008A4083">
              <w:t>√</w:t>
            </w:r>
          </w:p>
        </w:tc>
      </w:tr>
      <w:tr w:rsidR="005473AB" w:rsidRPr="00A95F45" w:rsidTr="005473AB">
        <w:trPr>
          <w:cantSplit/>
          <w:trHeight w:val="272"/>
          <w:jc w:val="center"/>
        </w:trPr>
        <w:tc>
          <w:tcPr>
            <w:tcW w:w="572" w:type="dxa"/>
          </w:tcPr>
          <w:p w:rsidR="005473AB" w:rsidRPr="00A95F45" w:rsidRDefault="005473AB" w:rsidP="00CC4281">
            <w:pPr>
              <w:jc w:val="center"/>
              <w:rPr>
                <w:lang w:val="en-NZ"/>
              </w:rPr>
            </w:pPr>
            <w:r w:rsidRPr="00A95F45">
              <w:rPr>
                <w:lang w:val="en-NZ"/>
              </w:rPr>
              <w:t>7</w:t>
            </w:r>
          </w:p>
        </w:tc>
        <w:tc>
          <w:tcPr>
            <w:tcW w:w="3817" w:type="dxa"/>
            <w:vAlign w:val="center"/>
            <w:hideMark/>
          </w:tcPr>
          <w:p w:rsidR="005473AB" w:rsidRPr="00A95F45" w:rsidRDefault="005473AB" w:rsidP="00CC4281">
            <w:pPr>
              <w:rPr>
                <w:lang w:val="en-NZ"/>
              </w:rPr>
            </w:pPr>
            <w:r w:rsidRPr="00A95F45">
              <w:rPr>
                <w:lang w:val="en-NZ"/>
              </w:rPr>
              <w:t>31.0-31.3 GHz</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lang w:val="en-NZ"/>
              </w:rPr>
            </w:pPr>
            <w:r w:rsidRPr="00A95F45">
              <w:rPr>
                <w:lang w:val="en-NZ"/>
              </w:rPr>
              <w:t>B1</w:t>
            </w:r>
          </w:p>
        </w:tc>
        <w:tc>
          <w:tcPr>
            <w:tcW w:w="1582" w:type="dxa"/>
          </w:tcPr>
          <w:p w:rsidR="005473AB" w:rsidRPr="00A95F45" w:rsidRDefault="005473AB" w:rsidP="00CC4281">
            <w:pPr>
              <w:jc w:val="center"/>
              <w:rPr>
                <w:lang w:val="en-NZ"/>
              </w:rPr>
            </w:pPr>
            <w:r w:rsidRPr="008A4083">
              <w:t>√</w:t>
            </w:r>
          </w:p>
        </w:tc>
      </w:tr>
      <w:tr w:rsidR="005473AB" w:rsidRPr="00A95F45" w:rsidTr="005473AB">
        <w:trPr>
          <w:cantSplit/>
          <w:trHeight w:val="272"/>
          <w:jc w:val="center"/>
        </w:trPr>
        <w:tc>
          <w:tcPr>
            <w:tcW w:w="572" w:type="dxa"/>
          </w:tcPr>
          <w:p w:rsidR="005473AB" w:rsidRPr="00A95F45" w:rsidRDefault="005473AB" w:rsidP="00CC4281">
            <w:pPr>
              <w:jc w:val="center"/>
              <w:rPr>
                <w:lang w:val="en-NZ"/>
              </w:rPr>
            </w:pPr>
            <w:r w:rsidRPr="00A95F45">
              <w:rPr>
                <w:lang w:val="en-NZ"/>
              </w:rPr>
              <w:t>8</w:t>
            </w:r>
          </w:p>
        </w:tc>
        <w:tc>
          <w:tcPr>
            <w:tcW w:w="3817" w:type="dxa"/>
            <w:vAlign w:val="center"/>
            <w:hideMark/>
          </w:tcPr>
          <w:p w:rsidR="005473AB" w:rsidRPr="00A95F45" w:rsidRDefault="005473AB" w:rsidP="00CC4281">
            <w:pPr>
              <w:rPr>
                <w:lang w:val="en-NZ"/>
              </w:rPr>
            </w:pPr>
            <w:r w:rsidRPr="00A95F45">
              <w:rPr>
                <w:lang w:val="en-NZ"/>
              </w:rPr>
              <w:t>38-39.5 GHz</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lang w:val="en-NZ"/>
              </w:rPr>
            </w:pPr>
            <w:r w:rsidRPr="00A95F45">
              <w:rPr>
                <w:lang w:val="en-NZ"/>
              </w:rPr>
              <w:t>B2</w:t>
            </w:r>
          </w:p>
        </w:tc>
        <w:tc>
          <w:tcPr>
            <w:tcW w:w="1582" w:type="dxa"/>
            <w:vAlign w:val="center"/>
          </w:tcPr>
          <w:p w:rsidR="005473AB" w:rsidRPr="00A95F45" w:rsidRDefault="005473AB" w:rsidP="00CC4281">
            <w:pPr>
              <w:jc w:val="center"/>
              <w:rPr>
                <w:lang w:val="en-NZ"/>
              </w:rPr>
            </w:pPr>
            <w:r w:rsidRPr="008A4083">
              <w:t>N/A</w:t>
            </w:r>
          </w:p>
        </w:tc>
      </w:tr>
      <w:tr w:rsidR="005473AB" w:rsidRPr="00FA777C" w:rsidTr="005473AB">
        <w:trPr>
          <w:cantSplit/>
          <w:trHeight w:val="257"/>
          <w:jc w:val="center"/>
        </w:trPr>
        <w:tc>
          <w:tcPr>
            <w:tcW w:w="572" w:type="dxa"/>
          </w:tcPr>
          <w:p w:rsidR="005473AB" w:rsidRPr="00A95F45" w:rsidRDefault="005473AB" w:rsidP="00CC4281">
            <w:pPr>
              <w:jc w:val="center"/>
              <w:rPr>
                <w:lang w:val="en-NZ"/>
              </w:rPr>
            </w:pPr>
            <w:r w:rsidRPr="00A95F45">
              <w:rPr>
                <w:lang w:val="en-NZ"/>
              </w:rPr>
              <w:t>9</w:t>
            </w:r>
          </w:p>
        </w:tc>
        <w:tc>
          <w:tcPr>
            <w:tcW w:w="3817" w:type="dxa"/>
            <w:vAlign w:val="center"/>
            <w:hideMark/>
          </w:tcPr>
          <w:p w:rsidR="005473AB" w:rsidRPr="00A95F45" w:rsidRDefault="005473AB" w:rsidP="00CC4281">
            <w:pPr>
              <w:rPr>
                <w:lang w:val="en-NZ"/>
              </w:rPr>
            </w:pPr>
            <w:r w:rsidRPr="00A95F45">
              <w:rPr>
                <w:lang w:val="en-NZ"/>
              </w:rPr>
              <w:t>47.2-47.5 GHz / 47.9-48.2 GHz</w:t>
            </w:r>
          </w:p>
        </w:tc>
        <w:tc>
          <w:tcPr>
            <w:tcW w:w="1520" w:type="dxa"/>
          </w:tcPr>
          <w:p w:rsidR="005473AB" w:rsidRPr="00A95F45" w:rsidRDefault="005473AB" w:rsidP="00CC4281">
            <w:pPr>
              <w:jc w:val="center"/>
              <w:rPr>
                <w:lang w:val="en-NZ"/>
              </w:rPr>
            </w:pPr>
            <w:r w:rsidRPr="008A4083">
              <w:t>√</w:t>
            </w:r>
          </w:p>
        </w:tc>
        <w:tc>
          <w:tcPr>
            <w:tcW w:w="1632" w:type="dxa"/>
            <w:vAlign w:val="center"/>
          </w:tcPr>
          <w:p w:rsidR="005473AB" w:rsidRPr="00A95F45" w:rsidRDefault="005473AB" w:rsidP="00CC4281">
            <w:pPr>
              <w:jc w:val="center"/>
              <w:rPr>
                <w:i/>
                <w:lang w:val="en-NZ"/>
              </w:rPr>
            </w:pPr>
            <w:r w:rsidRPr="00A95F45">
              <w:rPr>
                <w:lang w:val="en-NZ"/>
              </w:rPr>
              <w:t>B1</w:t>
            </w:r>
          </w:p>
        </w:tc>
        <w:tc>
          <w:tcPr>
            <w:tcW w:w="1582" w:type="dxa"/>
            <w:vAlign w:val="center"/>
          </w:tcPr>
          <w:p w:rsidR="005473AB" w:rsidRPr="00FA777C" w:rsidRDefault="005473AB" w:rsidP="00CC4281">
            <w:pPr>
              <w:jc w:val="center"/>
              <w:rPr>
                <w:i/>
                <w:lang w:val="en-NZ"/>
              </w:rPr>
            </w:pPr>
            <w:r w:rsidRPr="008A4083">
              <w:t>√</w:t>
            </w:r>
          </w:p>
        </w:tc>
      </w:tr>
    </w:tbl>
    <w:p w:rsidR="005473AB" w:rsidRDefault="005473AB" w:rsidP="005473AB">
      <w:pPr>
        <w:spacing w:after="120"/>
        <w:jc w:val="both"/>
        <w:rPr>
          <w:lang w:val="en-NZ"/>
        </w:rPr>
      </w:pP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5473AB" w:rsidRDefault="005473AB" w:rsidP="005473AB">
      <w:pPr>
        <w:pStyle w:val="ListParagraph"/>
        <w:numPr>
          <w:ilvl w:val="0"/>
          <w:numId w:val="24"/>
        </w:numPr>
        <w:spacing w:afterLines="50" w:after="120"/>
        <w:jc w:val="both"/>
        <w:rPr>
          <w:lang w:eastAsia="ko-KR"/>
        </w:rPr>
      </w:pPr>
      <w:r w:rsidRPr="0009731D">
        <w:rPr>
          <w:lang w:eastAsia="ko-KR"/>
        </w:rPr>
        <w:t xml:space="preserve">Input Documents: </w:t>
      </w:r>
    </w:p>
    <w:p w:rsidR="005473AB" w:rsidRDefault="005473AB" w:rsidP="005473AB">
      <w:pPr>
        <w:pStyle w:val="ListParagraph"/>
        <w:spacing w:afterLines="50" w:after="120"/>
        <w:ind w:left="360"/>
        <w:jc w:val="both"/>
        <w:rPr>
          <w:lang w:eastAsia="ko-KR"/>
        </w:rPr>
      </w:pPr>
      <w:r>
        <w:rPr>
          <w:lang w:eastAsia="ko-KR"/>
        </w:rPr>
        <w:t>APG19-5/INP-11</w:t>
      </w:r>
      <w:r w:rsidR="00E569A6">
        <w:rPr>
          <w:lang w:eastAsia="ko-KR"/>
        </w:rPr>
        <w:t>(Rev.1)</w:t>
      </w:r>
      <w:r>
        <w:rPr>
          <w:lang w:eastAsia="ko-KR"/>
        </w:rPr>
        <w:t xml:space="preserve"> (</w:t>
      </w:r>
      <w:r>
        <w:rPr>
          <w:rFonts w:hint="eastAsia"/>
          <w:lang w:eastAsia="ko-KR"/>
        </w:rPr>
        <w:t>S</w:t>
      </w:r>
      <w:r>
        <w:rPr>
          <w:lang w:eastAsia="ko-KR"/>
        </w:rPr>
        <w:t>MO</w:t>
      </w:r>
      <w:r w:rsidR="00E569A6">
        <w:rPr>
          <w:lang w:eastAsia="ko-KR"/>
        </w:rPr>
        <w:t>, VUT</w:t>
      </w:r>
      <w:r>
        <w:rPr>
          <w:lang w:eastAsia="ko-KR"/>
        </w:rPr>
        <w:t>), INP-16 (NZL), INP-28 (IRN), INP-42 (</w:t>
      </w:r>
      <w:r w:rsidR="00277919">
        <w:rPr>
          <w:lang w:eastAsia="ko-KR"/>
        </w:rPr>
        <w:t>AUS</w:t>
      </w:r>
      <w:r>
        <w:rPr>
          <w:lang w:eastAsia="ko-KR"/>
        </w:rPr>
        <w:t>), INP-</w:t>
      </w:r>
      <w:r w:rsidR="00277919">
        <w:rPr>
          <w:lang w:eastAsia="ko-KR"/>
        </w:rPr>
        <w:t xml:space="preserve">48 </w:t>
      </w:r>
      <w:r>
        <w:rPr>
          <w:lang w:eastAsia="ko-KR"/>
        </w:rPr>
        <w:t>(</w:t>
      </w:r>
      <w:r w:rsidR="00277919">
        <w:rPr>
          <w:lang w:eastAsia="ko-KR"/>
        </w:rPr>
        <w:t>KOR, SNG</w:t>
      </w:r>
      <w:r>
        <w:rPr>
          <w:lang w:eastAsia="ko-KR"/>
        </w:rPr>
        <w:t>); INP-</w:t>
      </w:r>
      <w:r w:rsidR="00277919">
        <w:rPr>
          <w:lang w:eastAsia="ko-KR"/>
        </w:rPr>
        <w:t>4</w:t>
      </w:r>
      <w:r>
        <w:rPr>
          <w:lang w:eastAsia="ko-KR"/>
        </w:rPr>
        <w:t>9 (</w:t>
      </w:r>
      <w:r w:rsidR="00277919">
        <w:rPr>
          <w:lang w:eastAsia="ko-KR"/>
        </w:rPr>
        <w:t>INS</w:t>
      </w:r>
      <w:r>
        <w:rPr>
          <w:lang w:eastAsia="ko-KR"/>
        </w:rPr>
        <w:t>); INP-</w:t>
      </w:r>
      <w:r w:rsidR="00277919">
        <w:rPr>
          <w:lang w:eastAsia="ko-KR"/>
        </w:rPr>
        <w:t>65</w:t>
      </w:r>
      <w:r>
        <w:rPr>
          <w:lang w:eastAsia="ko-KR"/>
        </w:rPr>
        <w:t xml:space="preserve"> (</w:t>
      </w:r>
      <w:r w:rsidR="00277919">
        <w:rPr>
          <w:lang w:eastAsia="ko-KR"/>
        </w:rPr>
        <w:t>CHN</w:t>
      </w:r>
      <w:r>
        <w:rPr>
          <w:lang w:eastAsia="ko-KR"/>
        </w:rPr>
        <w:t>), INP-</w:t>
      </w:r>
      <w:r w:rsidR="00277919">
        <w:rPr>
          <w:lang w:eastAsia="ko-KR"/>
        </w:rPr>
        <w:t>74</w:t>
      </w:r>
      <w:r>
        <w:rPr>
          <w:lang w:eastAsia="ko-KR"/>
        </w:rPr>
        <w:t xml:space="preserve"> (</w:t>
      </w:r>
      <w:r w:rsidR="00277919">
        <w:rPr>
          <w:lang w:eastAsia="ko-KR"/>
        </w:rPr>
        <w:t>J</w:t>
      </w:r>
      <w:r>
        <w:rPr>
          <w:lang w:eastAsia="ko-KR"/>
        </w:rPr>
        <w:t>), INP-10</w:t>
      </w:r>
      <w:r w:rsidR="00277919">
        <w:rPr>
          <w:lang w:eastAsia="ko-KR"/>
        </w:rPr>
        <w:t>2</w:t>
      </w:r>
      <w:r>
        <w:rPr>
          <w:lang w:eastAsia="ko-KR"/>
        </w:rPr>
        <w:t xml:space="preserve"> (</w:t>
      </w:r>
      <w:r w:rsidR="00277919">
        <w:rPr>
          <w:lang w:eastAsia="ko-KR"/>
        </w:rPr>
        <w:t>THA</w:t>
      </w:r>
      <w:r>
        <w:rPr>
          <w:lang w:eastAsia="ko-KR"/>
        </w:rPr>
        <w:t>); INP-1</w:t>
      </w:r>
      <w:r w:rsidR="00277919">
        <w:rPr>
          <w:lang w:eastAsia="ko-KR"/>
        </w:rPr>
        <w:t>17</w:t>
      </w:r>
      <w:r>
        <w:rPr>
          <w:lang w:eastAsia="ko-KR"/>
        </w:rPr>
        <w:t xml:space="preserve"> (</w:t>
      </w:r>
      <w:r w:rsidR="00277919">
        <w:t>VTN</w:t>
      </w:r>
      <w:r>
        <w:t>), INP-1</w:t>
      </w:r>
      <w:r w:rsidR="00277919">
        <w:t>33</w:t>
      </w:r>
      <w:r>
        <w:t xml:space="preserve"> (IND)</w:t>
      </w:r>
    </w:p>
    <w:p w:rsidR="005473AB" w:rsidRDefault="005473AB" w:rsidP="005473AB">
      <w:pPr>
        <w:pStyle w:val="ListParagraph"/>
        <w:numPr>
          <w:ilvl w:val="0"/>
          <w:numId w:val="24"/>
        </w:numPr>
        <w:spacing w:afterLines="50" w:after="120"/>
        <w:jc w:val="both"/>
        <w:rPr>
          <w:lang w:eastAsia="ko-KR"/>
        </w:rPr>
      </w:pPr>
      <w:r w:rsidRPr="0009731D">
        <w:rPr>
          <w:lang w:eastAsia="ko-KR"/>
        </w:rPr>
        <w:t>Information Documents</w:t>
      </w:r>
      <w:r>
        <w:rPr>
          <w:lang w:eastAsia="ko-KR"/>
        </w:rPr>
        <w:t>:</w:t>
      </w:r>
    </w:p>
    <w:p w:rsidR="002A0111" w:rsidRPr="005473AB" w:rsidRDefault="005473AB" w:rsidP="005F1DBB">
      <w:pPr>
        <w:pStyle w:val="ListParagraph"/>
        <w:spacing w:afterLines="50" w:after="120"/>
        <w:ind w:left="360"/>
        <w:jc w:val="both"/>
        <w:rPr>
          <w:b/>
          <w:lang w:eastAsia="ko-KR"/>
        </w:rPr>
      </w:pPr>
      <w:r w:rsidRPr="00DE7D99">
        <w:rPr>
          <w:lang w:eastAsia="ko-KR"/>
        </w:rPr>
        <w:t>APG19-</w:t>
      </w:r>
      <w:r>
        <w:rPr>
          <w:lang w:eastAsia="ko-KR"/>
        </w:rPr>
        <w:t>5</w:t>
      </w:r>
      <w:r w:rsidRPr="00DE7D99">
        <w:rPr>
          <w:lang w:eastAsia="ko-KR"/>
        </w:rPr>
        <w:t>/</w:t>
      </w:r>
      <w:r w:rsidRPr="00DE7D99">
        <w:rPr>
          <w:lang w:eastAsia="zh-CN"/>
        </w:rPr>
        <w:t>INF-</w:t>
      </w:r>
      <w:r w:rsidR="00277919">
        <w:rPr>
          <w:lang w:eastAsia="zh-CN"/>
        </w:rPr>
        <w:t>01</w:t>
      </w:r>
      <w:r w:rsidRPr="00DE7D99">
        <w:rPr>
          <w:lang w:eastAsia="zh-CN"/>
        </w:rPr>
        <w:t xml:space="preserve"> (WMO), </w:t>
      </w:r>
      <w:r w:rsidR="00277919">
        <w:rPr>
          <w:lang w:eastAsia="zh-CN"/>
        </w:rPr>
        <w:t>I</w:t>
      </w:r>
      <w:r w:rsidRPr="00DE7D99">
        <w:rPr>
          <w:lang w:eastAsia="zh-CN"/>
        </w:rPr>
        <w:t>NF-0</w:t>
      </w:r>
      <w:r w:rsidR="00277919">
        <w:rPr>
          <w:lang w:eastAsia="zh-CN"/>
        </w:rPr>
        <w:t>2</w:t>
      </w:r>
      <w:r w:rsidRPr="00DE7D99">
        <w:rPr>
          <w:lang w:eastAsia="zh-CN"/>
        </w:rPr>
        <w:t xml:space="preserve"> (ICAO)</w:t>
      </w:r>
      <w:r>
        <w:rPr>
          <w:lang w:eastAsia="zh-CN"/>
        </w:rPr>
        <w:t xml:space="preserve">, </w:t>
      </w:r>
      <w:r w:rsidRPr="00DE7D99">
        <w:rPr>
          <w:lang w:eastAsia="zh-CN"/>
        </w:rPr>
        <w:t>INF-</w:t>
      </w:r>
      <w:r w:rsidR="00277919">
        <w:rPr>
          <w:lang w:eastAsia="zh-CN"/>
        </w:rPr>
        <w:t>10</w:t>
      </w:r>
      <w:r>
        <w:rPr>
          <w:lang w:eastAsia="zh-CN"/>
        </w:rPr>
        <w:t xml:space="preserve"> </w:t>
      </w:r>
      <w:r w:rsidRPr="00DE7D99">
        <w:rPr>
          <w:lang w:eastAsia="zh-CN"/>
        </w:rPr>
        <w:t>(GSA)</w:t>
      </w:r>
      <w:r w:rsidR="009159E4">
        <w:rPr>
          <w:lang w:eastAsia="zh-CN"/>
        </w:rPr>
        <w:t xml:space="preserve">, </w:t>
      </w:r>
      <w:r w:rsidR="005F1DBB">
        <w:rPr>
          <w:lang w:eastAsia="zh-CN"/>
        </w:rPr>
        <w:t xml:space="preserve">INF-18 (CEPT), </w:t>
      </w:r>
      <w:r w:rsidR="009159E4">
        <w:rPr>
          <w:lang w:eastAsia="zh-CN"/>
        </w:rPr>
        <w:t xml:space="preserve">INF-19 (ATU), </w:t>
      </w:r>
      <w:r w:rsidR="005F1DBB">
        <w:rPr>
          <w:lang w:eastAsia="zh-CN"/>
        </w:rPr>
        <w:t xml:space="preserve">INF-20 (CITEL), </w:t>
      </w:r>
      <w:r w:rsidR="0044793D">
        <w:rPr>
          <w:lang w:eastAsia="zh-CN"/>
        </w:rPr>
        <w:t>INF-22 (RCC)</w:t>
      </w:r>
    </w:p>
    <w:p w:rsidR="002A0111" w:rsidRDefault="002A0111" w:rsidP="002A0111">
      <w:pPr>
        <w:rPr>
          <w:b/>
          <w:lang w:val="en-NZ" w:eastAsia="ko-KR"/>
        </w:rPr>
      </w:pPr>
    </w:p>
    <w:p w:rsidR="005206E9" w:rsidRDefault="005206E9">
      <w:pPr>
        <w:rPr>
          <w:b/>
          <w:lang w:val="en-NZ" w:eastAsia="ko-KR"/>
        </w:rPr>
      </w:pPr>
      <w:r>
        <w:rPr>
          <w:b/>
          <w:lang w:val="en-NZ" w:eastAsia="ko-KR"/>
        </w:rPr>
        <w:br w:type="page"/>
      </w:r>
    </w:p>
    <w:p w:rsidR="002A0111" w:rsidRPr="00441526" w:rsidRDefault="002A0111" w:rsidP="00B85851">
      <w:pPr>
        <w:spacing w:after="240"/>
        <w:rPr>
          <w:b/>
          <w:lang w:val="en-NZ" w:eastAsia="ko-KR"/>
        </w:rPr>
      </w:pPr>
      <w:r w:rsidRPr="00441526">
        <w:rPr>
          <w:b/>
          <w:lang w:val="en-NZ" w:eastAsia="ko-KR"/>
        </w:rPr>
        <w:lastRenderedPageBreak/>
        <w:t xml:space="preserve">3. </w:t>
      </w:r>
      <w:r w:rsidRPr="00441526">
        <w:rPr>
          <w:b/>
          <w:lang w:val="en-NZ" w:eastAsia="ko-KR"/>
        </w:rPr>
        <w:tab/>
        <w:t>Summary of discussions</w:t>
      </w:r>
    </w:p>
    <w:p w:rsidR="002A0111" w:rsidRPr="00441526" w:rsidRDefault="002A0111" w:rsidP="00B8585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BD3E93">
        <w:rPr>
          <w:b/>
          <w:lang w:val="en-NZ" w:eastAsia="ko-KR"/>
        </w:rPr>
        <w:t>Samoa</w:t>
      </w:r>
      <w:r w:rsidR="00E569A6">
        <w:rPr>
          <w:b/>
          <w:lang w:val="en-NZ" w:eastAsia="ko-KR"/>
        </w:rPr>
        <w:t xml:space="preserve"> and </w:t>
      </w:r>
      <w:r w:rsidR="00E569A6" w:rsidRPr="00555854">
        <w:rPr>
          <w:b/>
          <w:lang w:val="en-NZ" w:eastAsia="ko-KR"/>
        </w:rPr>
        <w:t xml:space="preserve">Vanuatu </w:t>
      </w:r>
      <w:r w:rsidR="00E569A6">
        <w:rPr>
          <w:b/>
          <w:lang w:val="en-NZ" w:eastAsia="ko-KR"/>
        </w:rPr>
        <w:t>(Rep. of)</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BD3E93">
        <w:rPr>
          <w:b/>
          <w:lang w:val="en-NZ" w:eastAsia="ko-KR"/>
        </w:rPr>
        <w:t>11</w:t>
      </w:r>
      <w:r w:rsidR="00E569A6">
        <w:rPr>
          <w:b/>
          <w:lang w:val="en-NZ" w:eastAsia="ko-KR"/>
        </w:rPr>
        <w:t xml:space="preserve"> (Rev.1)</w:t>
      </w:r>
    </w:p>
    <w:p w:rsidR="00BD3E93" w:rsidRPr="00BD3E93" w:rsidRDefault="00BD3E93" w:rsidP="00BD3E93">
      <w:pPr>
        <w:spacing w:before="120"/>
        <w:jc w:val="both"/>
      </w:pPr>
      <w:r w:rsidRPr="00BD3E93">
        <w:t xml:space="preserve">Administrations of Samoa </w:t>
      </w:r>
      <w:r w:rsidR="005B0342">
        <w:t xml:space="preserve">and Vanuatu (Rep. of) </w:t>
      </w:r>
      <w:r w:rsidRPr="00BD3E93">
        <w:t xml:space="preserve">are supportive of new technologies that seek to provide broadband connectivity in underserved regions and therefore </w:t>
      </w:r>
      <w:proofErr w:type="gramStart"/>
      <w:r w:rsidRPr="00BD3E93">
        <w:t>support,</w:t>
      </w:r>
      <w:proofErr w:type="gramEnd"/>
      <w:r w:rsidRPr="00BD3E93">
        <w:t xml:space="preserve"> the sharing and compatibility studies under Agenda item 1.14 in accordance with Resolution </w:t>
      </w:r>
      <w:r w:rsidRPr="004B4AF4">
        <w:rPr>
          <w:b/>
        </w:rPr>
        <w:t>160 (WRC-15)</w:t>
      </w:r>
      <w:r w:rsidRPr="00BD3E93">
        <w:t xml:space="preserve"> while ensuring the protection of existing services. </w:t>
      </w:r>
    </w:p>
    <w:p w:rsidR="00BD3E93" w:rsidRPr="00BD3E93" w:rsidRDefault="00BD3E93" w:rsidP="00BD3E93">
      <w:pPr>
        <w:spacing w:before="120"/>
        <w:jc w:val="both"/>
      </w:pPr>
      <w:r w:rsidRPr="00BD3E93">
        <w:t xml:space="preserve">Administrations of Samoa </w:t>
      </w:r>
      <w:r w:rsidR="005B0342">
        <w:t xml:space="preserve">and Vanuatu (Rep. of) </w:t>
      </w:r>
      <w:r w:rsidRPr="00BD3E93">
        <w:t>recommend that any identification of additional HAPS spectrum in FS bands in the 27.9-28.2 GHz band under Agenda Item 1.14 should be made with regulatory conditions that HAPS ground stations cannot claim protection from FSS earth stations. This will ensure the avoidance of undue constrains to the future deployment of FSS. This position can be executed through method No Change or method 6B1 Option 2 in the CPM Report, or a potential modification of method 6B1 Option 1 acknowledging that HAPS grounds cannot claim protection from FSS earth stations.</w:t>
      </w:r>
    </w:p>
    <w:p w:rsidR="002A0111" w:rsidRPr="00441526" w:rsidRDefault="002A0111" w:rsidP="003D3D47">
      <w:pPr>
        <w:jc w:val="both"/>
        <w:rPr>
          <w:lang w:val="en-NZ"/>
        </w:rPr>
      </w:pPr>
    </w:p>
    <w:p w:rsidR="004F477A" w:rsidRPr="00441526" w:rsidRDefault="002A0111" w:rsidP="004F477A">
      <w:pPr>
        <w:spacing w:after="120"/>
        <w:jc w:val="both"/>
        <w:rPr>
          <w:lang w:val="en-NZ"/>
        </w:rPr>
      </w:pPr>
      <w:r w:rsidRPr="00441526">
        <w:rPr>
          <w:b/>
          <w:lang w:val="en-NZ" w:eastAsia="ko-KR"/>
        </w:rPr>
        <w:t xml:space="preserve">3.1.2 </w:t>
      </w:r>
      <w:r w:rsidRPr="00441526">
        <w:rPr>
          <w:b/>
          <w:lang w:val="en-NZ" w:eastAsia="ko-KR"/>
        </w:rPr>
        <w:tab/>
      </w:r>
      <w:r w:rsidR="00BD3E93">
        <w:rPr>
          <w:b/>
          <w:lang w:val="en-NZ" w:eastAsia="ko-KR"/>
        </w:rPr>
        <w:t>New Zealand</w:t>
      </w:r>
      <w:r w:rsidR="00BD3E93" w:rsidRPr="00441526">
        <w:rPr>
          <w:b/>
          <w:lang w:val="en-NZ" w:eastAsia="ko-KR"/>
        </w:rPr>
        <w:t xml:space="preserve"> </w:t>
      </w:r>
      <w:r w:rsidR="00BD3E93" w:rsidRPr="00441526">
        <w:t xml:space="preserve">- </w:t>
      </w:r>
      <w:r w:rsidR="00BD3E93" w:rsidRPr="00441526">
        <w:rPr>
          <w:b/>
          <w:lang w:val="en-NZ" w:eastAsia="ko-KR"/>
        </w:rPr>
        <w:t>Document APG19-</w:t>
      </w:r>
      <w:r w:rsidR="00BD3E93">
        <w:rPr>
          <w:b/>
          <w:lang w:val="en-NZ" w:eastAsia="ko-KR"/>
        </w:rPr>
        <w:t>5</w:t>
      </w:r>
      <w:r w:rsidR="00BD3E93" w:rsidRPr="00441526">
        <w:rPr>
          <w:b/>
          <w:lang w:val="en-NZ" w:eastAsia="ko-KR"/>
        </w:rPr>
        <w:t>/INP-</w:t>
      </w:r>
      <w:r w:rsidR="00BD3E93">
        <w:rPr>
          <w:b/>
          <w:lang w:val="en-NZ" w:eastAsia="ko-KR"/>
        </w:rPr>
        <w:t>16</w:t>
      </w:r>
    </w:p>
    <w:p w:rsidR="00BD3E93" w:rsidRPr="00BD3E93" w:rsidRDefault="00BD3E93" w:rsidP="00BD3E93">
      <w:pPr>
        <w:spacing w:before="120"/>
        <w:jc w:val="both"/>
      </w:pPr>
      <w:r w:rsidRPr="00BD3E93">
        <w:t xml:space="preserve">New Zealand supports the need to review existing High Altitude Platform Stations (HAPS) identifications that have not been fully </w:t>
      </w:r>
      <w:proofErr w:type="spellStart"/>
      <w:r w:rsidRPr="00BD3E93">
        <w:t>utilised</w:t>
      </w:r>
      <w:proofErr w:type="spellEnd"/>
      <w:r w:rsidRPr="00BD3E93">
        <w:t xml:space="preserve"> before identifying any possible new HAPS frequency bands.</w:t>
      </w:r>
    </w:p>
    <w:p w:rsidR="00BD3E93" w:rsidRPr="00BD3E93" w:rsidRDefault="00BD3E93" w:rsidP="00BD3E93">
      <w:pPr>
        <w:spacing w:before="120"/>
        <w:jc w:val="both"/>
      </w:pPr>
      <w:r w:rsidRPr="00BD3E93">
        <w:t xml:space="preserve">For frequency bands 6 440-6 520 MHz and 6 560-6 640 MHz, New Zealand has no intention to add its name to RR No. </w:t>
      </w:r>
      <w:r w:rsidRPr="00BD3E93">
        <w:rPr>
          <w:b/>
        </w:rPr>
        <w:t>5.457</w:t>
      </w:r>
      <w:r w:rsidRPr="00BD3E93">
        <w:t xml:space="preserve"> but does not oppose the identification of the band for HAPS for other countries or on a regional basis.</w:t>
      </w:r>
    </w:p>
    <w:p w:rsidR="00BD3E93" w:rsidRPr="00BD3E93" w:rsidRDefault="00BD3E93" w:rsidP="00BD3E93">
      <w:pPr>
        <w:spacing w:before="120"/>
        <w:jc w:val="both"/>
      </w:pPr>
      <w:r w:rsidRPr="00BD3E93">
        <w:t xml:space="preserve">For frequency bands 21.4-22 GHz and 24.25-27.25 GHz, New Zealand being a Region 3 country does not have a view on identifying these bands for HAPS in Region 2. </w:t>
      </w:r>
    </w:p>
    <w:p w:rsidR="00BD3E93" w:rsidRPr="00BD3E93" w:rsidRDefault="00BD3E93" w:rsidP="00BD3E93">
      <w:pPr>
        <w:spacing w:before="120"/>
        <w:jc w:val="both"/>
      </w:pPr>
      <w:r w:rsidRPr="00BD3E93">
        <w:t xml:space="preserve">For frequency bands 27.9-28.2 GHz and 31.0-31.3 GHz, New Zealand has no intention to add its name to RR Nos. </w:t>
      </w:r>
      <w:r w:rsidRPr="00BD3E93">
        <w:rPr>
          <w:b/>
        </w:rPr>
        <w:t>5.537A</w:t>
      </w:r>
      <w:r w:rsidRPr="00BD3E93">
        <w:t xml:space="preserve"> and </w:t>
      </w:r>
      <w:r w:rsidRPr="00BD3E93">
        <w:rPr>
          <w:b/>
        </w:rPr>
        <w:t>5.543A</w:t>
      </w:r>
      <w:r w:rsidRPr="00BD3E93">
        <w:t>, respectively, but does not oppose the identification of the band for HAPS by other countries or on a regional basis.</w:t>
      </w:r>
    </w:p>
    <w:p w:rsidR="00BD3E93" w:rsidRPr="00BD3E93" w:rsidRDefault="00BD3E93" w:rsidP="00BD3E93">
      <w:pPr>
        <w:spacing w:before="120"/>
        <w:jc w:val="both"/>
      </w:pPr>
      <w:r w:rsidRPr="00BD3E93">
        <w:t xml:space="preserve">For frequency band 38-39.5 GHz, New Zealand does not oppose the use of this band for HAPS, as the studies demonstrate that possible new HAPS identification would not restrict the consideration of the overlapping frequency band for possible IMT identification with respect to WRC-19 Agenda item 1.13.  </w:t>
      </w:r>
    </w:p>
    <w:p w:rsidR="00BD3E93" w:rsidRPr="00BD3E93" w:rsidRDefault="00BD3E93" w:rsidP="00BD3E93">
      <w:pPr>
        <w:spacing w:before="120"/>
        <w:jc w:val="both"/>
      </w:pPr>
      <w:r w:rsidRPr="00BD3E93">
        <w:t xml:space="preserve">For frequency bands 47.2-47.5 GHz and 47.9-48.2 GHz, New Zealand is exploring possible uses of these bands and could support Method B1 (possible modifications to Resolution </w:t>
      </w:r>
      <w:r w:rsidRPr="00BD3E93">
        <w:rPr>
          <w:b/>
        </w:rPr>
        <w:t>122</w:t>
      </w:r>
      <w:r w:rsidRPr="00BD3E93">
        <w:t xml:space="preserve"> </w:t>
      </w:r>
      <w:r w:rsidRPr="00BD3E93">
        <w:rPr>
          <w:b/>
        </w:rPr>
        <w:t>(Rev. WRC-07)</w:t>
      </w:r>
      <w:r>
        <w:t>)</w:t>
      </w:r>
      <w:r w:rsidRPr="00BD3E93">
        <w:t>.</w:t>
      </w:r>
    </w:p>
    <w:p w:rsidR="002A0111" w:rsidRPr="00BD3E93" w:rsidRDefault="002A0111" w:rsidP="003D3D47">
      <w:pPr>
        <w:jc w:val="both"/>
        <w:rPr>
          <w:lang w:val="en-NZ"/>
        </w:rPr>
      </w:pPr>
    </w:p>
    <w:p w:rsidR="00BD3E93" w:rsidRPr="00441526" w:rsidRDefault="00BD3E93" w:rsidP="00BD3E93">
      <w:pPr>
        <w:spacing w:after="120"/>
        <w:jc w:val="both"/>
        <w:rPr>
          <w:lang w:val="en-NZ"/>
        </w:rPr>
      </w:pPr>
      <w:r w:rsidRPr="00441526">
        <w:rPr>
          <w:b/>
          <w:lang w:val="en-NZ" w:eastAsia="ko-KR"/>
        </w:rPr>
        <w:t>3.1.</w:t>
      </w:r>
      <w:r>
        <w:rPr>
          <w:b/>
          <w:lang w:val="en-NZ" w:eastAsia="ko-KR"/>
        </w:rPr>
        <w:t>3</w:t>
      </w:r>
      <w:r>
        <w:rPr>
          <w:b/>
          <w:lang w:val="en-NZ" w:eastAsia="ko-KR"/>
        </w:rPr>
        <w:tab/>
      </w:r>
      <w:r w:rsidRPr="00BD3E93">
        <w:rPr>
          <w:b/>
          <w:lang w:val="en-NZ" w:eastAsia="ko-KR"/>
        </w:rPr>
        <w:t>Iran (Islamic Republic of)</w:t>
      </w:r>
      <w:r>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28</w:t>
      </w:r>
    </w:p>
    <w:p w:rsidR="00BD3E93" w:rsidRDefault="00BD3E93" w:rsidP="00BD3E93">
      <w:pPr>
        <w:spacing w:before="120"/>
        <w:jc w:val="both"/>
      </w:pPr>
      <w:r>
        <w:t>This Administration believes that the current identification of frequency band for HAPS is sufficient to satisfy the demands of Administrations considering the economic and regulatory aspects of these systems. Therefore, this Administration prefers No change of radio regulations with regard to the frequency band identified for the HAPS.</w:t>
      </w:r>
    </w:p>
    <w:p w:rsidR="00BD3E93" w:rsidRPr="00BD3E93" w:rsidRDefault="00BD3E93" w:rsidP="00BD3E93">
      <w:pPr>
        <w:spacing w:before="120"/>
        <w:jc w:val="both"/>
      </w:pPr>
      <w:r>
        <w:t xml:space="preserve">However, it is to be emphasized that the band(s) already allocated to fixed service on primary basis or to be allocated by WRC-19 for fixed service on primary, if identified/designated for HAPS, </w:t>
      </w:r>
      <w:r w:rsidR="00286536">
        <w:t>s</w:t>
      </w:r>
      <w:r>
        <w:t>uch identification/designation should be on primary basis due to the fact that apart from huge investment on the HAPS itself; it is very improbable that any user invest for a service, which is on secondary basis.</w:t>
      </w:r>
    </w:p>
    <w:p w:rsidR="002A0111" w:rsidRDefault="00BD3E93" w:rsidP="00BD3E93">
      <w:pPr>
        <w:tabs>
          <w:tab w:val="left" w:pos="2513"/>
        </w:tabs>
        <w:rPr>
          <w:lang w:val="en-NZ"/>
        </w:rPr>
      </w:pPr>
      <w:r>
        <w:rPr>
          <w:lang w:val="en-NZ"/>
        </w:rPr>
        <w:tab/>
      </w:r>
    </w:p>
    <w:p w:rsidR="00BD3E93" w:rsidRPr="00441526" w:rsidRDefault="00BD3E93" w:rsidP="00BD3E93">
      <w:pPr>
        <w:spacing w:after="120"/>
        <w:jc w:val="both"/>
        <w:rPr>
          <w:lang w:val="en-NZ"/>
        </w:rPr>
      </w:pPr>
      <w:r w:rsidRPr="00441526">
        <w:rPr>
          <w:b/>
          <w:lang w:val="en-NZ" w:eastAsia="ko-KR"/>
        </w:rPr>
        <w:lastRenderedPageBreak/>
        <w:t>3.1.</w:t>
      </w:r>
      <w:r>
        <w:rPr>
          <w:b/>
          <w:lang w:val="en-NZ" w:eastAsia="ko-KR"/>
        </w:rPr>
        <w:t>4</w:t>
      </w:r>
      <w:r>
        <w:rPr>
          <w:b/>
          <w:lang w:val="en-NZ" w:eastAsia="ko-KR"/>
        </w:rPr>
        <w:tab/>
        <w:t xml:space="preserve">Australia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28</w:t>
      </w:r>
    </w:p>
    <w:p w:rsidR="00BD3E93" w:rsidRDefault="00BD3E93" w:rsidP="002A0111">
      <w:r w:rsidRPr="00BD3E93">
        <w:t>Australia supports consideration of use of gateway and fixed terminal links for HAPS in the frequency band 38-39.5 GHz on a global basis noting this band is already allocated to the fixed service on a primary basis and is not subject to</w:t>
      </w:r>
      <w:r>
        <w:t xml:space="preserve"> RR </w:t>
      </w:r>
      <w:r w:rsidRPr="00BD3E93">
        <w:t xml:space="preserve">Appendices </w:t>
      </w:r>
      <w:r w:rsidRPr="00BD3E93">
        <w:rPr>
          <w:b/>
        </w:rPr>
        <w:t>30</w:t>
      </w:r>
      <w:r w:rsidRPr="00BD3E93">
        <w:t xml:space="preserve">, </w:t>
      </w:r>
      <w:r w:rsidRPr="00BD3E93">
        <w:rPr>
          <w:b/>
        </w:rPr>
        <w:t>30A</w:t>
      </w:r>
      <w:r w:rsidRPr="00BD3E93">
        <w:t xml:space="preserve">, and </w:t>
      </w:r>
      <w:r w:rsidRPr="00BD3E93">
        <w:rPr>
          <w:b/>
        </w:rPr>
        <w:t xml:space="preserve">30B </w:t>
      </w:r>
      <w:r w:rsidRPr="00BD3E93">
        <w:t>in any region. This is addressed by Method B Option B2.</w:t>
      </w:r>
    </w:p>
    <w:p w:rsidR="00F02CF4" w:rsidRDefault="00F02CF4" w:rsidP="002A0111">
      <w:pPr>
        <w:rPr>
          <w:lang w:val="en-NZ"/>
        </w:rPr>
      </w:pPr>
    </w:p>
    <w:p w:rsidR="00F02CF4" w:rsidRPr="00441526" w:rsidRDefault="00F02CF4" w:rsidP="00F02CF4">
      <w:pPr>
        <w:spacing w:after="120"/>
        <w:jc w:val="both"/>
        <w:rPr>
          <w:lang w:val="en-NZ"/>
        </w:rPr>
      </w:pPr>
      <w:r w:rsidRPr="00441526">
        <w:rPr>
          <w:b/>
          <w:lang w:val="en-NZ" w:eastAsia="ko-KR"/>
        </w:rPr>
        <w:t>3.1.</w:t>
      </w:r>
      <w:r>
        <w:rPr>
          <w:b/>
          <w:lang w:val="en-NZ" w:eastAsia="ko-KR"/>
        </w:rPr>
        <w:t>5</w:t>
      </w:r>
      <w:r>
        <w:rPr>
          <w:b/>
          <w:lang w:val="en-NZ" w:eastAsia="ko-KR"/>
        </w:rPr>
        <w:tab/>
        <w:t xml:space="preserve">Korea (Rep. of) and Singapore </w:t>
      </w:r>
      <w:r w:rsidRPr="00441526">
        <w:t xml:space="preserve">- </w:t>
      </w:r>
      <w:r w:rsidRPr="00441526">
        <w:rPr>
          <w:b/>
          <w:lang w:val="en-NZ" w:eastAsia="ko-KR"/>
        </w:rPr>
        <w:t>Document APG19-</w:t>
      </w:r>
      <w:r>
        <w:rPr>
          <w:b/>
          <w:lang w:val="en-NZ" w:eastAsia="ko-KR"/>
        </w:rPr>
        <w:t>5</w:t>
      </w:r>
      <w:r w:rsidRPr="00441526">
        <w:rPr>
          <w:b/>
          <w:lang w:val="en-NZ" w:eastAsia="ko-KR"/>
        </w:rPr>
        <w:t>/INP-</w:t>
      </w:r>
      <w:r w:rsidR="00B14BA9">
        <w:rPr>
          <w:b/>
          <w:lang w:val="en-NZ" w:eastAsia="ko-KR"/>
        </w:rPr>
        <w:t>4</w:t>
      </w:r>
      <w:r>
        <w:rPr>
          <w:b/>
          <w:lang w:val="en-NZ" w:eastAsia="ko-KR"/>
        </w:rPr>
        <w:t>8</w:t>
      </w:r>
    </w:p>
    <w:p w:rsidR="00B14BA9" w:rsidRDefault="00B14BA9" w:rsidP="00B14BA9">
      <w:pPr>
        <w:spacing w:before="120"/>
        <w:jc w:val="both"/>
      </w:pPr>
      <w:r>
        <w:t>The Republic of Korea and Singapore supports Method A for no changes to the Radio Regulations in the frequency bands 27.9</w:t>
      </w:r>
      <w:r w:rsidR="00F40346">
        <w:t>-</w:t>
      </w:r>
      <w:r>
        <w:t>28.2 GHz and 38</w:t>
      </w:r>
      <w:r w:rsidR="00F40346">
        <w:t>-</w:t>
      </w:r>
      <w:r>
        <w:t>39.5 GHz in order to ensure protection of the mobile service and its future development in these frequency bands.</w:t>
      </w:r>
    </w:p>
    <w:p w:rsidR="00F02CF4" w:rsidRPr="00B14BA9" w:rsidRDefault="00B14BA9" w:rsidP="00B14BA9">
      <w:pPr>
        <w:spacing w:before="120"/>
        <w:jc w:val="both"/>
      </w:pPr>
      <w:r>
        <w:t>In addition, these APT members are also of the view that any consideration of the frequency band 24.25-27.5 GHz in Region 2 under this agenda item should not limit the possibility to identify the band for IMT on a global basis under Agenda item 1.13.</w:t>
      </w:r>
    </w:p>
    <w:p w:rsidR="00BD3E93" w:rsidRDefault="00BD3E93" w:rsidP="002A0111">
      <w:pPr>
        <w:rPr>
          <w:lang w:val="en-NZ"/>
        </w:rPr>
      </w:pPr>
    </w:p>
    <w:p w:rsidR="00B14BA9" w:rsidRPr="00441526" w:rsidRDefault="00B14BA9" w:rsidP="00B14BA9">
      <w:pPr>
        <w:spacing w:after="120"/>
        <w:jc w:val="both"/>
        <w:rPr>
          <w:lang w:val="en-NZ"/>
        </w:rPr>
      </w:pPr>
      <w:r w:rsidRPr="00441526">
        <w:rPr>
          <w:b/>
          <w:lang w:val="en-NZ" w:eastAsia="ko-KR"/>
        </w:rPr>
        <w:t>3.1.</w:t>
      </w:r>
      <w:r>
        <w:rPr>
          <w:b/>
          <w:lang w:val="en-NZ" w:eastAsia="ko-KR"/>
        </w:rPr>
        <w:t>6</w:t>
      </w:r>
      <w:r>
        <w:rPr>
          <w:b/>
          <w:lang w:val="en-NZ" w:eastAsia="ko-KR"/>
        </w:rPr>
        <w:tab/>
        <w:t xml:space="preserve">Indonesia (Rep. of)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49</w:t>
      </w:r>
    </w:p>
    <w:p w:rsidR="00B14BA9" w:rsidRDefault="00B14BA9" w:rsidP="00B14BA9">
      <w:pPr>
        <w:spacing w:before="120"/>
        <w:jc w:val="both"/>
      </w:pPr>
      <w:r>
        <w:t>Indonesia is of the view that:</w:t>
      </w:r>
    </w:p>
    <w:p w:rsidR="00B14BA9" w:rsidRDefault="00B14BA9" w:rsidP="00B14BA9">
      <w:pPr>
        <w:spacing w:before="120"/>
        <w:ind w:leftChars="118" w:left="708" w:hangingChars="177" w:hanging="425"/>
        <w:jc w:val="both"/>
      </w:pPr>
      <w:r>
        <w:t>(1)</w:t>
      </w:r>
      <w:r>
        <w:tab/>
        <w:t>Method A (no change) is supported to satisfy Agenda Item 1.14 of WRC-19 for the frequency bands 6 440</w:t>
      </w:r>
      <w:r w:rsidR="00F40346">
        <w:t>-</w:t>
      </w:r>
      <w:r>
        <w:t xml:space="preserve">6 520 MHz, 6 560–6 640 MHz, 27.9–28.2 GHz, 31.0–31.3 GHz, and 38–39.5 GHz. </w:t>
      </w:r>
    </w:p>
    <w:p w:rsidR="00B14BA9" w:rsidRDefault="00B14BA9" w:rsidP="00B14BA9">
      <w:pPr>
        <w:spacing w:before="120"/>
        <w:ind w:leftChars="118" w:left="708" w:hangingChars="177" w:hanging="425"/>
        <w:jc w:val="both"/>
      </w:pPr>
      <w:r>
        <w:t>(2)</w:t>
      </w:r>
      <w:r>
        <w:tab/>
        <w:t>Method 9B1 is supported for the frequency band 47.2–47.5 GHz / 47.9–48.2 GHz.</w:t>
      </w:r>
    </w:p>
    <w:p w:rsidR="00B14BA9" w:rsidRDefault="00B14BA9" w:rsidP="00B14BA9">
      <w:pPr>
        <w:spacing w:before="120"/>
        <w:ind w:leftChars="118" w:left="708" w:hangingChars="177" w:hanging="425"/>
        <w:jc w:val="both"/>
      </w:pPr>
      <w:r>
        <w:t>(3)</w:t>
      </w:r>
      <w:r>
        <w:tab/>
        <w:t xml:space="preserve">There is a need to review the existing High-Altitude Platform Stations (HAPS) designations in Radio Regulations that have not been fully </w:t>
      </w:r>
      <w:proofErr w:type="spellStart"/>
      <w:r>
        <w:t>utilised</w:t>
      </w:r>
      <w:proofErr w:type="spellEnd"/>
      <w:r>
        <w:t xml:space="preserve"> before designating any possible new frequency bands for HAPS.</w:t>
      </w:r>
    </w:p>
    <w:p w:rsidR="00B14BA9" w:rsidRDefault="00B14BA9" w:rsidP="00B14BA9">
      <w:pPr>
        <w:spacing w:before="120"/>
        <w:ind w:leftChars="118" w:left="708" w:hangingChars="177" w:hanging="425"/>
        <w:jc w:val="both"/>
      </w:pPr>
    </w:p>
    <w:p w:rsidR="00B14BA9" w:rsidRPr="00441526" w:rsidRDefault="00B14BA9" w:rsidP="00B14BA9">
      <w:pPr>
        <w:spacing w:after="120"/>
        <w:jc w:val="both"/>
        <w:rPr>
          <w:lang w:val="en-NZ"/>
        </w:rPr>
      </w:pPr>
      <w:r w:rsidRPr="00441526">
        <w:rPr>
          <w:b/>
          <w:lang w:val="en-NZ" w:eastAsia="ko-KR"/>
        </w:rPr>
        <w:t>3.1.</w:t>
      </w:r>
      <w:r>
        <w:rPr>
          <w:b/>
          <w:lang w:val="en-NZ" w:eastAsia="ko-KR"/>
        </w:rPr>
        <w:t>7</w:t>
      </w:r>
      <w:r>
        <w:rPr>
          <w:b/>
          <w:lang w:val="en-NZ" w:eastAsia="ko-KR"/>
        </w:rPr>
        <w:tab/>
        <w:t xml:space="preserve">China (People’s Rep. of)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65</w:t>
      </w:r>
    </w:p>
    <w:p w:rsidR="00B14BA9" w:rsidRDefault="00B14BA9" w:rsidP="00B14BA9">
      <w:pPr>
        <w:spacing w:before="120"/>
        <w:jc w:val="both"/>
      </w:pPr>
      <w:r>
        <w:t xml:space="preserve">According to Resolution </w:t>
      </w:r>
      <w:r w:rsidRPr="00B14BA9">
        <w:rPr>
          <w:b/>
        </w:rPr>
        <w:t>160 (WRC-15)</w:t>
      </w:r>
      <w:r>
        <w:t xml:space="preserve">, the primary purpose of HAPS application is to provide broadband services in rural and remote areas lacking of terrestrial telecommunication infrastructures. Also, HAPS can provide emergency communications services to the public while other communications </w:t>
      </w:r>
      <w:proofErr w:type="gramStart"/>
      <w:r>
        <w:t>infrastructure were</w:t>
      </w:r>
      <w:proofErr w:type="gramEnd"/>
      <w:r>
        <w:t xml:space="preserve"> broken. For these purposes, the spectrum requirements for such HAPS applications could be satisfied by identifying 300 MHz bandwidth for downlink and uplink direction respectively (i.e. 600 MHz in total), as showed in Report ITU-R F.2438.  </w:t>
      </w:r>
    </w:p>
    <w:p w:rsidR="00B14BA9" w:rsidRDefault="00B14BA9" w:rsidP="00B14BA9">
      <w:pPr>
        <w:spacing w:before="120"/>
        <w:jc w:val="both"/>
      </w:pPr>
      <w:r>
        <w:t>Noticing that the existing HAPS identifications have not been fully utilized, China considers that the HAPS requirement should be primarily satisfied by existing identifications. Since the rain attenuation in low latitude region is a severe problem, the frequency band 27.9-28.2GHz and 31-31.3GHz is a better choice than the bands 47.2-47.5GHz and 47.9-48.2GHz.</w:t>
      </w:r>
    </w:p>
    <w:p w:rsidR="00B14BA9" w:rsidRDefault="00B14BA9" w:rsidP="00B14BA9">
      <w:pPr>
        <w:spacing w:before="120"/>
        <w:jc w:val="both"/>
      </w:pPr>
      <w:r>
        <w:t>According to the studies conducted by ITU-R WP 5C, China proposes the following proposals to be included in the PACP:</w:t>
      </w:r>
    </w:p>
    <w:p w:rsidR="00B14BA9" w:rsidRDefault="00B14BA9" w:rsidP="00B14BA9">
      <w:pPr>
        <w:spacing w:before="120"/>
        <w:ind w:leftChars="118" w:left="708" w:hangingChars="177" w:hanging="425"/>
        <w:jc w:val="both"/>
      </w:pPr>
      <w:r>
        <w:t>-</w:t>
      </w:r>
      <w:r>
        <w:tab/>
        <w:t>Support Method 1A for the frequency bands 6 440-6 520 MHz and 6 560-6 640 MHz, i.e. no change for existing identification.</w:t>
      </w:r>
    </w:p>
    <w:p w:rsidR="00B14BA9" w:rsidRDefault="00B14BA9" w:rsidP="00B14BA9">
      <w:pPr>
        <w:spacing w:before="120"/>
        <w:ind w:leftChars="118" w:left="708" w:hangingChars="177" w:hanging="425"/>
        <w:jc w:val="both"/>
      </w:pPr>
      <w:r>
        <w:t>-</w:t>
      </w:r>
      <w:r>
        <w:tab/>
        <w:t xml:space="preserve">Support Method 6B1 Opiton2 for frequency band 27.9-28.2 GHz. Support Method 7B1 Option1b for frequency band 31-31.3GHz.  </w:t>
      </w:r>
      <w:proofErr w:type="gramStart"/>
      <w:r>
        <w:t>Worldwide identification for transmission from HAPS (downlink direction) in the band 27.9-28.2 GHz and to HAPS (uplink direction) in the band31-31.3 GHz.</w:t>
      </w:r>
      <w:proofErr w:type="gramEnd"/>
      <w:r>
        <w:t xml:space="preserve"> Such use of the fixed-service allocation by HAPS is subject to the provisions of Resolution </w:t>
      </w:r>
      <w:r w:rsidRPr="00B14BA9">
        <w:rPr>
          <w:b/>
        </w:rPr>
        <w:t>[APT-A114] (WRC-19)</w:t>
      </w:r>
      <w:r>
        <w:t>.</w:t>
      </w:r>
    </w:p>
    <w:p w:rsidR="00B14BA9" w:rsidRPr="00B14BA9" w:rsidRDefault="00B14BA9" w:rsidP="00B14BA9">
      <w:pPr>
        <w:spacing w:before="120"/>
        <w:ind w:leftChars="118" w:left="708" w:hangingChars="177" w:hanging="425"/>
        <w:jc w:val="both"/>
      </w:pPr>
      <w:r>
        <w:lastRenderedPageBreak/>
        <w:t>-</w:t>
      </w:r>
      <w:r>
        <w:tab/>
        <w:t>For frequency band 38-39.5 GHz, no consensus was achieved due to the significant divergence between sharing and compatibility study results from different administrations. Besides, no sharing study was conducted so far to address the overlap issue between HAPS and potential IMT identification under Agenda Item 1.13. Thus, China opposes to identify the 38-39.5 GHz band for HAPS, i.e. choosing Method 8A (NOC).</w:t>
      </w:r>
    </w:p>
    <w:p w:rsidR="00BD3E93" w:rsidRDefault="00BD3E93" w:rsidP="002A0111">
      <w:pPr>
        <w:rPr>
          <w:lang w:val="en-NZ"/>
        </w:rPr>
      </w:pPr>
    </w:p>
    <w:p w:rsidR="00E43BDD" w:rsidRPr="00441526" w:rsidRDefault="00E43BDD" w:rsidP="00E43BDD">
      <w:pPr>
        <w:spacing w:after="120"/>
        <w:jc w:val="both"/>
        <w:rPr>
          <w:lang w:val="en-NZ"/>
        </w:rPr>
      </w:pPr>
      <w:r w:rsidRPr="00441526">
        <w:rPr>
          <w:b/>
          <w:lang w:val="en-NZ" w:eastAsia="ko-KR"/>
        </w:rPr>
        <w:t>3.1.</w:t>
      </w:r>
      <w:r>
        <w:rPr>
          <w:b/>
          <w:lang w:val="en-NZ" w:eastAsia="ko-KR"/>
        </w:rPr>
        <w:t>8</w:t>
      </w:r>
      <w:r>
        <w:rPr>
          <w:b/>
          <w:lang w:val="en-NZ" w:eastAsia="ko-KR"/>
        </w:rPr>
        <w:tab/>
        <w:t xml:space="preserve">Japan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74</w:t>
      </w:r>
    </w:p>
    <w:p w:rsidR="00E43BDD" w:rsidRDefault="00E43BDD" w:rsidP="00E43BDD">
      <w:pPr>
        <w:spacing w:before="120"/>
        <w:jc w:val="both"/>
      </w:pPr>
      <w:r>
        <w:t>Japan is of the view that existing services are properly protected and are not imposed any additional constrains.</w:t>
      </w:r>
    </w:p>
    <w:p w:rsidR="00E43BDD" w:rsidRDefault="00E43BDD" w:rsidP="00E43BDD">
      <w:pPr>
        <w:spacing w:before="120"/>
        <w:jc w:val="both"/>
      </w:pPr>
      <w:r>
        <w:t xml:space="preserve">The frequency bands 27.9-28.2 GHz, 31-31.3 GHz and 47.2-47.5 GHz / 47.9-48.2 GHz are already allocated to HAPS in Japan based on RR. Regarding 6440-6520 MHz and 38-39.5 GHz which have not been allocated to HAPS yet in Japan, coexistence between HAPS and existing services may be feasible taking into account the above-mentioned new ITU-R Reports on sharing and compatibility study and the condition that HAPS is used only in the ground-to-HAPS direction in 38-39.5 GHz. </w:t>
      </w:r>
    </w:p>
    <w:p w:rsidR="00E43BDD" w:rsidRDefault="00E43BDD" w:rsidP="00E43BDD">
      <w:pPr>
        <w:spacing w:before="120"/>
        <w:jc w:val="both"/>
      </w:pPr>
      <w:r>
        <w:t>Japan supports the following Method in each frequency band related to Region 3 given that existing services are properly protected and are not imposed any additional constrains.</w:t>
      </w:r>
    </w:p>
    <w:p w:rsidR="00E43BDD" w:rsidRDefault="00E43BDD" w:rsidP="00E43BDD">
      <w:pPr>
        <w:pStyle w:val="ListParagraph"/>
        <w:numPr>
          <w:ilvl w:val="0"/>
          <w:numId w:val="26"/>
        </w:numPr>
        <w:spacing w:before="120"/>
        <w:ind w:left="709" w:hanging="425"/>
        <w:jc w:val="both"/>
      </w:pPr>
      <w:r>
        <w:t>6440-6520 MHz</w:t>
      </w:r>
      <w:r>
        <w:tab/>
        <w:t>: Method B1</w:t>
      </w:r>
    </w:p>
    <w:p w:rsidR="00E43BDD" w:rsidRDefault="00E43BDD" w:rsidP="00E43BDD">
      <w:pPr>
        <w:pStyle w:val="ListParagraph"/>
        <w:numPr>
          <w:ilvl w:val="0"/>
          <w:numId w:val="26"/>
        </w:numPr>
        <w:spacing w:before="120"/>
        <w:ind w:left="709" w:hanging="425"/>
        <w:jc w:val="both"/>
      </w:pPr>
      <w:r>
        <w:t>27.9-28.2 GHz</w:t>
      </w:r>
      <w:r>
        <w:tab/>
      </w:r>
      <w:r>
        <w:tab/>
        <w:t>: Method B1</w:t>
      </w:r>
    </w:p>
    <w:p w:rsidR="00E43BDD" w:rsidRDefault="00E43BDD" w:rsidP="00E43BDD">
      <w:pPr>
        <w:pStyle w:val="ListParagraph"/>
        <w:numPr>
          <w:ilvl w:val="0"/>
          <w:numId w:val="26"/>
        </w:numPr>
        <w:spacing w:before="120"/>
        <w:ind w:left="709" w:hanging="425"/>
        <w:jc w:val="both"/>
      </w:pPr>
      <w:r>
        <w:t xml:space="preserve">31-31.3 GHz </w:t>
      </w:r>
      <w:r>
        <w:tab/>
      </w:r>
      <w:r>
        <w:tab/>
        <w:t>: Method B1</w:t>
      </w:r>
    </w:p>
    <w:p w:rsidR="00E43BDD" w:rsidRDefault="00E43BDD" w:rsidP="00E43BDD">
      <w:pPr>
        <w:pStyle w:val="ListParagraph"/>
        <w:numPr>
          <w:ilvl w:val="0"/>
          <w:numId w:val="26"/>
        </w:numPr>
        <w:spacing w:before="120"/>
        <w:ind w:left="709" w:hanging="425"/>
        <w:jc w:val="both"/>
      </w:pPr>
      <w:r>
        <w:t>38-39.5 GHz</w:t>
      </w:r>
      <w:r>
        <w:tab/>
      </w:r>
      <w:r>
        <w:tab/>
        <w:t>: Method B2 (except Option 1a)</w:t>
      </w:r>
    </w:p>
    <w:p w:rsidR="00E43BDD" w:rsidRDefault="00E43BDD" w:rsidP="00E43BDD">
      <w:pPr>
        <w:pStyle w:val="ListParagraph"/>
        <w:numPr>
          <w:ilvl w:val="0"/>
          <w:numId w:val="26"/>
        </w:numPr>
        <w:spacing w:before="120"/>
        <w:ind w:left="709" w:hanging="425"/>
        <w:jc w:val="both"/>
      </w:pPr>
      <w:r>
        <w:t>47.2-47.5 GHz / 47.9-48.2 GHz: Method B1</w:t>
      </w:r>
    </w:p>
    <w:p w:rsidR="00E43BDD" w:rsidRDefault="00E43BDD" w:rsidP="00E43BDD">
      <w:pPr>
        <w:spacing w:before="120"/>
        <w:jc w:val="both"/>
      </w:pPr>
      <w:r>
        <w:t xml:space="preserve">  </w:t>
      </w:r>
    </w:p>
    <w:p w:rsidR="00E43BDD" w:rsidRPr="00441526" w:rsidRDefault="00E43BDD" w:rsidP="00E43BDD">
      <w:pPr>
        <w:spacing w:after="120"/>
        <w:jc w:val="both"/>
        <w:rPr>
          <w:lang w:val="en-NZ"/>
        </w:rPr>
      </w:pPr>
      <w:r w:rsidRPr="00441526">
        <w:rPr>
          <w:b/>
          <w:lang w:val="en-NZ" w:eastAsia="ko-KR"/>
        </w:rPr>
        <w:t>3.1.</w:t>
      </w:r>
      <w:r>
        <w:rPr>
          <w:b/>
          <w:lang w:val="en-NZ" w:eastAsia="ko-KR"/>
        </w:rPr>
        <w:t>9</w:t>
      </w:r>
      <w:r>
        <w:rPr>
          <w:b/>
          <w:lang w:val="en-NZ" w:eastAsia="ko-KR"/>
        </w:rPr>
        <w:tab/>
        <w:t xml:space="preserve">Thailand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102</w:t>
      </w:r>
    </w:p>
    <w:p w:rsidR="00E43BDD" w:rsidRDefault="00E43BDD" w:rsidP="00E43BDD">
      <w:pPr>
        <w:spacing w:before="120"/>
        <w:jc w:val="both"/>
      </w:pPr>
      <w:proofErr w:type="gramStart"/>
      <w:r w:rsidRPr="00E43BDD">
        <w:t>For the bands that are designated for use by HAPS globally (47.2-47.5/47.9-48.2 GHz) and those that may be used by HAPS in some administrations including Thailand (27.9-28.2 GHz and 31-31.3 GHz), Thailand does not support Method C.</w:t>
      </w:r>
      <w:proofErr w:type="gramEnd"/>
    </w:p>
    <w:p w:rsidR="00E43BDD" w:rsidRDefault="00E43BDD" w:rsidP="002A0111">
      <w:pPr>
        <w:rPr>
          <w:lang w:val="en-NZ"/>
        </w:rPr>
      </w:pPr>
    </w:p>
    <w:p w:rsidR="00E43BDD" w:rsidRPr="00441526" w:rsidRDefault="00E43BDD" w:rsidP="00E43BDD">
      <w:pPr>
        <w:spacing w:after="120"/>
        <w:jc w:val="both"/>
        <w:rPr>
          <w:lang w:val="en-NZ"/>
        </w:rPr>
      </w:pPr>
      <w:r w:rsidRPr="00441526">
        <w:rPr>
          <w:b/>
          <w:lang w:val="en-NZ" w:eastAsia="ko-KR"/>
        </w:rPr>
        <w:t>3.1.</w:t>
      </w:r>
      <w:r>
        <w:rPr>
          <w:b/>
          <w:lang w:val="en-NZ" w:eastAsia="ko-KR"/>
        </w:rPr>
        <w:t>10</w:t>
      </w:r>
      <w:r>
        <w:rPr>
          <w:b/>
          <w:lang w:val="en-NZ" w:eastAsia="ko-KR"/>
        </w:rPr>
        <w:tab/>
      </w:r>
      <w:r w:rsidR="00F91667">
        <w:rPr>
          <w:b/>
          <w:lang w:val="en-NZ" w:eastAsia="ko-KR"/>
        </w:rPr>
        <w:t>Viet Nam (Socialist Rep. of)</w:t>
      </w:r>
      <w:r>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w:t>
      </w:r>
      <w:r w:rsidR="00F91667">
        <w:rPr>
          <w:b/>
          <w:lang w:val="en-NZ" w:eastAsia="ko-KR"/>
        </w:rPr>
        <w:t>17</w:t>
      </w:r>
    </w:p>
    <w:p w:rsidR="00F91667" w:rsidRDefault="00F91667" w:rsidP="00F91667">
      <w:pPr>
        <w:spacing w:before="120"/>
        <w:jc w:val="both"/>
      </w:pPr>
      <w:r>
        <w:t>The frequency bands 27.9-28.2 GHz and 38-39.5 GHz are in use or planned for mobile system in some countries, including Viet Nam. The band 38-39.5 GHz is a candidate band to identify for IMT under agenda item 1.13.</w:t>
      </w:r>
    </w:p>
    <w:p w:rsidR="00F91667" w:rsidRDefault="00F91667" w:rsidP="00F91667">
      <w:pPr>
        <w:spacing w:before="120"/>
        <w:jc w:val="both"/>
      </w:pPr>
      <w:r>
        <w:t>Viet Nam strongly support Method C, could support Method B1 for the band 27.9-28.2 GHz. Regarding to the band 6440-6520 MHz, 6560-6640 MHz and 39-39.5 GHz, Method A is supported.</w:t>
      </w:r>
    </w:p>
    <w:p w:rsidR="00F91667" w:rsidRDefault="00F91667" w:rsidP="00F91667">
      <w:pPr>
        <w:spacing w:before="120"/>
        <w:jc w:val="both"/>
      </w:pPr>
    </w:p>
    <w:p w:rsidR="00F91667" w:rsidRPr="00441526" w:rsidRDefault="00F91667" w:rsidP="00F91667">
      <w:pPr>
        <w:spacing w:after="120"/>
        <w:jc w:val="both"/>
        <w:rPr>
          <w:lang w:val="en-NZ"/>
        </w:rPr>
      </w:pPr>
      <w:r w:rsidRPr="00441526">
        <w:rPr>
          <w:b/>
          <w:lang w:val="en-NZ" w:eastAsia="ko-KR"/>
        </w:rPr>
        <w:t>3.1.</w:t>
      </w:r>
      <w:r>
        <w:rPr>
          <w:b/>
          <w:lang w:val="en-NZ" w:eastAsia="ko-KR"/>
        </w:rPr>
        <w:t>11</w:t>
      </w:r>
      <w:r>
        <w:rPr>
          <w:b/>
          <w:lang w:val="en-NZ" w:eastAsia="ko-KR"/>
        </w:rPr>
        <w:tab/>
        <w:t xml:space="preserve">India (Rep. of)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133</w:t>
      </w:r>
    </w:p>
    <w:p w:rsidR="00F91667" w:rsidRDefault="00F91667" w:rsidP="00F91667">
      <w:pPr>
        <w:spacing w:before="120"/>
        <w:jc w:val="both"/>
      </w:pPr>
      <w:r>
        <w:t>Method</w:t>
      </w:r>
      <w:r w:rsidR="00BA4E5B">
        <w:t>/</w:t>
      </w:r>
      <w:r>
        <w:t>Option</w:t>
      </w:r>
      <w:r>
        <w:tab/>
        <w:t>Remark</w:t>
      </w:r>
    </w:p>
    <w:p w:rsidR="00F91667" w:rsidRDefault="00F91667" w:rsidP="00F91667">
      <w:pPr>
        <w:spacing w:before="120"/>
        <w:jc w:val="both"/>
      </w:pPr>
      <w:r>
        <w:tab/>
      </w:r>
      <w:proofErr w:type="gramStart"/>
      <w:r>
        <w:t>A</w:t>
      </w:r>
      <w:r>
        <w:tab/>
      </w:r>
      <w:r>
        <w:tab/>
        <w:t>No change in the RR.</w:t>
      </w:r>
      <w:proofErr w:type="gramEnd"/>
      <w:r>
        <w:t xml:space="preserve"> Frequency bands 6 440-6 520 MHz</w:t>
      </w:r>
    </w:p>
    <w:p w:rsidR="00F91667" w:rsidRDefault="00F91667" w:rsidP="00F91667">
      <w:pPr>
        <w:spacing w:before="120"/>
        <w:jc w:val="both"/>
      </w:pPr>
      <w:r>
        <w:tab/>
      </w:r>
      <w:proofErr w:type="gramStart"/>
      <w:r>
        <w:t>A</w:t>
      </w:r>
      <w:r>
        <w:tab/>
      </w:r>
      <w:r>
        <w:tab/>
        <w:t>No change in the RR.</w:t>
      </w:r>
      <w:proofErr w:type="gramEnd"/>
      <w:r>
        <w:t xml:space="preserve"> Frequency bands 6 560-6 640 MHz</w:t>
      </w:r>
    </w:p>
    <w:p w:rsidR="00F91667" w:rsidRDefault="00F91667" w:rsidP="00F91667">
      <w:pPr>
        <w:spacing w:before="120"/>
        <w:jc w:val="both"/>
      </w:pPr>
      <w:r>
        <w:tab/>
      </w:r>
      <w:proofErr w:type="gramStart"/>
      <w:r>
        <w:t>A</w:t>
      </w:r>
      <w:r>
        <w:tab/>
      </w:r>
      <w:r>
        <w:tab/>
        <w:t>No change in the RR.</w:t>
      </w:r>
      <w:proofErr w:type="gramEnd"/>
      <w:r>
        <w:t xml:space="preserve"> Frequency bands 27.9-28.2 GHz</w:t>
      </w:r>
    </w:p>
    <w:p w:rsidR="00F91667" w:rsidRDefault="00F91667" w:rsidP="00F91667">
      <w:pPr>
        <w:spacing w:before="120"/>
        <w:jc w:val="both"/>
      </w:pPr>
      <w:r>
        <w:tab/>
      </w:r>
      <w:proofErr w:type="gramStart"/>
      <w:r>
        <w:t>A</w:t>
      </w:r>
      <w:r>
        <w:tab/>
      </w:r>
      <w:r>
        <w:tab/>
        <w:t>No change in the RR.</w:t>
      </w:r>
      <w:proofErr w:type="gramEnd"/>
      <w:r>
        <w:t xml:space="preserve"> Frequency bands 31-31.3 GHz</w:t>
      </w:r>
    </w:p>
    <w:p w:rsidR="00F91667" w:rsidRDefault="00F91667" w:rsidP="00F91667">
      <w:pPr>
        <w:spacing w:before="120"/>
        <w:jc w:val="both"/>
      </w:pPr>
      <w:r>
        <w:lastRenderedPageBreak/>
        <w:tab/>
      </w:r>
      <w:proofErr w:type="gramStart"/>
      <w:r>
        <w:t>A</w:t>
      </w:r>
      <w:r>
        <w:tab/>
      </w:r>
      <w:r>
        <w:tab/>
        <w:t>No change in the RR.</w:t>
      </w:r>
      <w:proofErr w:type="gramEnd"/>
      <w:r>
        <w:t xml:space="preserve"> Frequency bands 38-39.5 GHz</w:t>
      </w:r>
    </w:p>
    <w:p w:rsidR="00F91667" w:rsidRDefault="00F91667" w:rsidP="00F91667">
      <w:pPr>
        <w:spacing w:before="120"/>
        <w:jc w:val="both"/>
      </w:pPr>
      <w:r>
        <w:tab/>
      </w:r>
      <w:proofErr w:type="gramStart"/>
      <w:r>
        <w:t>A</w:t>
      </w:r>
      <w:r>
        <w:tab/>
      </w:r>
      <w:r>
        <w:tab/>
        <w:t>No change in the RR.</w:t>
      </w:r>
      <w:proofErr w:type="gramEnd"/>
      <w:r>
        <w:t xml:space="preserve"> Frequency bands 47.2-47.5 GHz / 47.9-48.2 GHz</w:t>
      </w:r>
    </w:p>
    <w:p w:rsidR="00E43BDD" w:rsidRDefault="00F91667" w:rsidP="00555854">
      <w:pPr>
        <w:spacing w:before="120"/>
        <w:jc w:val="both"/>
      </w:pPr>
      <w:r>
        <w:t xml:space="preserve">Reasons: For </w:t>
      </w:r>
      <w:r w:rsidR="0027081A">
        <w:t>utilization</w:t>
      </w:r>
      <w:r>
        <w:t xml:space="preserve"> of HAPS application India has already identified 27.9-28.2 GHz and 31.0-31.3 GHz bands through footnote </w:t>
      </w:r>
      <w:r w:rsidRPr="00F91667">
        <w:rPr>
          <w:b/>
        </w:rPr>
        <w:t>5.537A</w:t>
      </w:r>
      <w:r>
        <w:t xml:space="preserve"> and </w:t>
      </w:r>
      <w:r w:rsidRPr="00F91667">
        <w:rPr>
          <w:b/>
        </w:rPr>
        <w:t>5.543A</w:t>
      </w:r>
      <w:r>
        <w:t>.</w:t>
      </w:r>
    </w:p>
    <w:p w:rsidR="00555854" w:rsidRPr="00555854" w:rsidRDefault="00555854"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 xml:space="preserve">ummary of issues </w:t>
      </w:r>
      <w:proofErr w:type="gramStart"/>
      <w:r w:rsidRPr="00441526">
        <w:rPr>
          <w:b/>
          <w:lang w:val="en-NZ" w:eastAsia="ko-KR"/>
        </w:rPr>
        <w:t>raised</w:t>
      </w:r>
      <w:proofErr w:type="gramEnd"/>
      <w:r w:rsidRPr="00441526">
        <w:rPr>
          <w:b/>
          <w:lang w:val="en-NZ" w:eastAsia="ko-KR"/>
        </w:rPr>
        <w:t xml:space="preserve"> du</w:t>
      </w:r>
      <w:r w:rsidRPr="00441526">
        <w:rPr>
          <w:b/>
          <w:lang w:val="en-NZ"/>
        </w:rPr>
        <w:t>ring the meeting</w:t>
      </w:r>
    </w:p>
    <w:p w:rsidR="009465A6" w:rsidRDefault="00BC1F39" w:rsidP="003D3D47">
      <w:pPr>
        <w:jc w:val="both"/>
        <w:rPr>
          <w:lang w:eastAsia="ko-KR"/>
        </w:rPr>
      </w:pPr>
      <w:r>
        <w:rPr>
          <w:lang w:eastAsia="ko-KR"/>
        </w:rPr>
        <w:t>Some APT Members support Method A in the frequency band 27.9-28.2 GHz.</w:t>
      </w:r>
    </w:p>
    <w:p w:rsidR="0027081A" w:rsidRDefault="0027081A" w:rsidP="003D3D47">
      <w:pPr>
        <w:jc w:val="both"/>
        <w:rPr>
          <w:lang w:eastAsia="ko-KR"/>
        </w:rPr>
      </w:pPr>
    </w:p>
    <w:p w:rsidR="00BC1F39" w:rsidRDefault="00BC1F39" w:rsidP="00217378">
      <w:pPr>
        <w:jc w:val="both"/>
        <w:rPr>
          <w:lang w:eastAsia="ko-KR"/>
        </w:rPr>
      </w:pPr>
      <w:r>
        <w:rPr>
          <w:lang w:eastAsia="ko-KR"/>
        </w:rPr>
        <w:t>Some other APT Members support Method B in the frequency band 27.9-28.2 GHz.</w:t>
      </w:r>
    </w:p>
    <w:p w:rsidR="0027081A" w:rsidRDefault="0027081A" w:rsidP="00217378">
      <w:pPr>
        <w:jc w:val="both"/>
        <w:rPr>
          <w:lang w:eastAsia="ko-KR"/>
        </w:rPr>
      </w:pPr>
    </w:p>
    <w:p w:rsidR="005A00F0" w:rsidRDefault="005A00F0" w:rsidP="00217378">
      <w:pPr>
        <w:jc w:val="both"/>
        <w:rPr>
          <w:lang w:val="en-NZ"/>
        </w:rPr>
      </w:pPr>
      <w:r>
        <w:rPr>
          <w:lang w:val="en-NZ"/>
        </w:rPr>
        <w:t xml:space="preserve">In addition to the above, </w:t>
      </w:r>
      <w:r w:rsidR="0027081A">
        <w:rPr>
          <w:lang w:val="en-NZ"/>
        </w:rPr>
        <w:t>some</w:t>
      </w:r>
      <w:r>
        <w:rPr>
          <w:lang w:eastAsia="ko-KR"/>
        </w:rPr>
        <w:t xml:space="preserve"> APT Members are of the views that if Method B is considered in frequency band 27.9-28.2 GHz for the use of fixed service allocation by HAPS, should not cause harmful interference to nor claim protection from other type of fixed service or co-primary services.</w:t>
      </w:r>
    </w:p>
    <w:p w:rsidR="005206E9" w:rsidRPr="0027081A" w:rsidRDefault="005206E9">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133E54" w:rsidRDefault="00133E54" w:rsidP="00133E54">
      <w:pPr>
        <w:jc w:val="both"/>
        <w:rPr>
          <w:lang w:val="en-NZ"/>
        </w:rPr>
      </w:pPr>
      <w:r w:rsidRPr="00771A96">
        <w:rPr>
          <w:lang w:eastAsia="ko-KR"/>
        </w:rPr>
        <w:t xml:space="preserve">APT Members </w:t>
      </w:r>
      <w:r>
        <w:rPr>
          <w:lang w:eastAsia="ko-KR"/>
        </w:rPr>
        <w:t xml:space="preserve">support </w:t>
      </w:r>
      <w:r w:rsidR="00A36B3E">
        <w:rPr>
          <w:lang w:eastAsia="ko-KR"/>
        </w:rPr>
        <w:t>no changes to the Radio Regulations (</w:t>
      </w:r>
      <w:r>
        <w:rPr>
          <w:lang w:eastAsia="ko-KR"/>
        </w:rPr>
        <w:t>Method A</w:t>
      </w:r>
      <w:r w:rsidR="00A36B3E">
        <w:rPr>
          <w:lang w:eastAsia="ko-KR"/>
        </w:rPr>
        <w:t xml:space="preserve"> as contained in the CPM Report)</w:t>
      </w:r>
      <w:r>
        <w:rPr>
          <w:lang w:eastAsia="ko-KR"/>
        </w:rPr>
        <w:t xml:space="preserve"> to ensure protection of all existing services </w:t>
      </w:r>
      <w:r w:rsidRPr="00771A96">
        <w:rPr>
          <w:lang w:eastAsia="ko-KR"/>
        </w:rPr>
        <w:t xml:space="preserve">to which frequency bands are allocated </w:t>
      </w:r>
      <w:r>
        <w:rPr>
          <w:lang w:eastAsia="ko-KR"/>
        </w:rPr>
        <w:t xml:space="preserve">and their future development in </w:t>
      </w:r>
      <w:r w:rsidR="0020428C">
        <w:rPr>
          <w:lang w:eastAsia="ko-KR"/>
        </w:rPr>
        <w:t xml:space="preserve">the </w:t>
      </w:r>
      <w:r w:rsidR="004E7D81">
        <w:rPr>
          <w:lang w:eastAsia="ko-KR"/>
        </w:rPr>
        <w:t xml:space="preserve">frequency </w:t>
      </w:r>
      <w:r w:rsidR="0020428C">
        <w:rPr>
          <w:lang w:eastAsia="ko-KR"/>
        </w:rPr>
        <w:t>bands 6 440-6 520 MHz</w:t>
      </w:r>
      <w:r w:rsidR="00A46709">
        <w:rPr>
          <w:lang w:eastAsia="ko-KR"/>
        </w:rPr>
        <w:t xml:space="preserve"> </w:t>
      </w:r>
      <w:r w:rsidR="00A46709">
        <w:rPr>
          <w:rFonts w:hint="eastAsia"/>
          <w:lang w:eastAsia="ko-KR"/>
        </w:rPr>
        <w:t>a</w:t>
      </w:r>
      <w:r w:rsidR="00A46709">
        <w:rPr>
          <w:lang w:eastAsia="ko-KR"/>
        </w:rPr>
        <w:t>nd</w:t>
      </w:r>
      <w:r w:rsidR="0020428C">
        <w:rPr>
          <w:lang w:eastAsia="ko-KR"/>
        </w:rPr>
        <w:t xml:space="preserve"> 6 </w:t>
      </w:r>
      <w:r w:rsidR="000C4D13">
        <w:rPr>
          <w:lang w:eastAsia="ko-KR"/>
        </w:rPr>
        <w:t>560</w:t>
      </w:r>
      <w:r w:rsidR="0020428C">
        <w:rPr>
          <w:lang w:eastAsia="ko-KR"/>
        </w:rPr>
        <w:t xml:space="preserve">-6 640 </w:t>
      </w:r>
      <w:proofErr w:type="spellStart"/>
      <w:r w:rsidR="0020428C">
        <w:rPr>
          <w:lang w:eastAsia="ko-KR"/>
        </w:rPr>
        <w:t>MHz</w:t>
      </w:r>
      <w:r w:rsidRPr="00771A96">
        <w:rPr>
          <w:iCs/>
          <w:lang w:eastAsia="zh-CN"/>
        </w:rPr>
        <w:t>.</w:t>
      </w:r>
      <w:proofErr w:type="spellEnd"/>
    </w:p>
    <w:p w:rsidR="0020428C" w:rsidRDefault="0020428C" w:rsidP="0020428C">
      <w:pPr>
        <w:spacing w:before="288"/>
        <w:jc w:val="both"/>
        <w:rPr>
          <w:lang w:eastAsia="ko-KR"/>
        </w:rPr>
      </w:pPr>
      <w:r>
        <w:rPr>
          <w:lang w:eastAsia="ko-KR"/>
        </w:rPr>
        <w:t>In addition, APT Members are of the view that any consideration of the frequency band 24.25-27.5 GHz in Region 2 under this agenda item should not limit the possibility to identify the band for IMT on a global basis under WRC-19 Agenda item 1.13.</w:t>
      </w:r>
    </w:p>
    <w:p w:rsidR="00F03803" w:rsidRDefault="00F03803" w:rsidP="002A0111">
      <w:pPr>
        <w:rPr>
          <w:lang w:val="en-NZ"/>
        </w:rPr>
      </w:pPr>
    </w:p>
    <w:p w:rsidR="00A46709" w:rsidRDefault="00A46709" w:rsidP="00A46709">
      <w:pPr>
        <w:jc w:val="both"/>
        <w:rPr>
          <w:lang w:val="en-NZ"/>
        </w:rPr>
      </w:pPr>
      <w:bookmarkStart w:id="0" w:name="_Hlk15563342"/>
      <w:r w:rsidRPr="00771A96">
        <w:rPr>
          <w:lang w:eastAsia="ko-KR"/>
        </w:rPr>
        <w:t xml:space="preserve">APT Members </w:t>
      </w:r>
      <w:r>
        <w:rPr>
          <w:lang w:eastAsia="ko-KR"/>
        </w:rPr>
        <w:t xml:space="preserve">consider that protection of all existing services </w:t>
      </w:r>
      <w:r w:rsidRPr="00771A96">
        <w:rPr>
          <w:lang w:eastAsia="ko-KR"/>
        </w:rPr>
        <w:t xml:space="preserve">to which frequency bands are allocated </w:t>
      </w:r>
      <w:r>
        <w:rPr>
          <w:lang w:eastAsia="ko-KR"/>
        </w:rPr>
        <w:t>and their future development should be ensured</w:t>
      </w:r>
      <w:r w:rsidR="00D86FED">
        <w:rPr>
          <w:lang w:eastAsia="ko-KR"/>
        </w:rPr>
        <w:t>.</w:t>
      </w:r>
    </w:p>
    <w:bookmarkEnd w:id="0"/>
    <w:p w:rsidR="00A46709" w:rsidRDefault="00A46709" w:rsidP="002A0111">
      <w:pPr>
        <w:rPr>
          <w:lang w:val="en-NZ"/>
        </w:rPr>
      </w:pPr>
    </w:p>
    <w:p w:rsidR="00850156" w:rsidRPr="00850156" w:rsidRDefault="00850156" w:rsidP="002A0111">
      <w:pPr>
        <w:rPr>
          <w:lang w:val="en-NZ"/>
        </w:rPr>
      </w:pPr>
      <w:r>
        <w:rPr>
          <w:lang w:val="en-NZ"/>
        </w:rPr>
        <w:t>No consensus was reached on any Method to address th</w:t>
      </w:r>
      <w:r w:rsidR="0027081A">
        <w:rPr>
          <w:lang w:val="en-NZ"/>
        </w:rPr>
        <w:t>is</w:t>
      </w:r>
      <w:r>
        <w:rPr>
          <w:lang w:val="en-NZ"/>
        </w:rPr>
        <w:t xml:space="preserve"> agenda item in the frequency bands 27.9-28.2 GHz,</w:t>
      </w:r>
      <w:r w:rsidR="0027081A" w:rsidRPr="0027081A">
        <w:rPr>
          <w:lang w:eastAsia="ko-KR"/>
        </w:rPr>
        <w:t xml:space="preserve"> </w:t>
      </w:r>
      <w:r w:rsidR="0027081A">
        <w:t>31-31.3 GHz, 38-39.5 GHz,</w:t>
      </w:r>
      <w:r w:rsidR="0027081A" w:rsidRPr="0027081A">
        <w:t xml:space="preserve"> </w:t>
      </w:r>
      <w:r w:rsidR="0027081A">
        <w:t>47.2-47.5 GHz and 47.9-48.2 GHz</w:t>
      </w:r>
      <w:r w:rsidR="0027081A">
        <w:rPr>
          <w:rFonts w:asciiTheme="minorEastAsia" w:eastAsiaTheme="minorEastAsia" w:hAnsiTheme="minorEastAsia"/>
          <w:lang w:val="en-NZ" w:eastAsia="zh-CN"/>
        </w:rPr>
        <w:t>,</w:t>
      </w:r>
      <w:r w:rsidR="0027081A" w:rsidRPr="0027081A">
        <w:rPr>
          <w:rFonts w:eastAsiaTheme="minorEastAsia"/>
          <w:lang w:val="en-NZ" w:eastAsia="zh-CN"/>
        </w:rPr>
        <w:t xml:space="preserve"> thus</w:t>
      </w:r>
      <w:r w:rsidR="0027081A">
        <w:rPr>
          <w:rFonts w:eastAsiaTheme="minorEastAsia"/>
          <w:lang w:val="en-NZ" w:eastAsia="zh-CN"/>
        </w:rPr>
        <w:t xml:space="preserve"> </w:t>
      </w:r>
      <w:r w:rsidRPr="0027081A">
        <w:rPr>
          <w:lang w:val="en-NZ"/>
        </w:rPr>
        <w:t xml:space="preserve">no PACP was </w:t>
      </w:r>
      <w:r>
        <w:rPr>
          <w:lang w:val="en-NZ"/>
        </w:rPr>
        <w:t>agreed in these frequency bands.</w:t>
      </w:r>
    </w:p>
    <w:p w:rsidR="002A0111" w:rsidRPr="00441526" w:rsidRDefault="002A0111" w:rsidP="002A0111">
      <w:pPr>
        <w:rPr>
          <w:lang w:val="en-NZ"/>
        </w:rPr>
      </w:pPr>
    </w:p>
    <w:p w:rsidR="004579BE" w:rsidRDefault="002A0111" w:rsidP="0068384E">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68384E" w:rsidRDefault="0068384E" w:rsidP="0068384E">
      <w:pPr>
        <w:spacing w:after="120"/>
        <w:jc w:val="both"/>
        <w:rPr>
          <w:b/>
          <w:lang w:val="en-NZ" w:eastAsia="ko-KR"/>
        </w:rPr>
      </w:pPr>
    </w:p>
    <w:bookmarkStart w:id="1" w:name="_GoBack"/>
    <w:bookmarkStart w:id="2" w:name="_MON_1626338040"/>
    <w:bookmarkEnd w:id="2"/>
    <w:p w:rsidR="0068384E" w:rsidRPr="0068384E" w:rsidRDefault="00B06DF9" w:rsidP="0068384E">
      <w:pPr>
        <w:spacing w:after="120"/>
        <w:jc w:val="both"/>
        <w:rPr>
          <w:b/>
          <w:lang w:val="en-NZ" w:eastAsia="ko-KR"/>
        </w:rPr>
      </w:pPr>
      <w:r>
        <w:rPr>
          <w:b/>
          <w:lang w:val="en-NZ" w:eastAsia="ko-KR"/>
        </w:rPr>
        <w:object w:dxaOrig="935" w:dyaOrig="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2.25pt" o:ole="">
            <v:imagedata r:id="rId37" o:title=""/>
          </v:shape>
          <o:OLEObject Type="Embed" ProgID="Word.Document.12" ShapeID="_x0000_i1025" DrawAspect="Icon" ObjectID="_1627127269" r:id="rId38">
            <o:FieldCodes>\s</o:FieldCodes>
          </o:OLEObject>
        </w:object>
      </w:r>
      <w:bookmarkEnd w:id="1"/>
    </w:p>
    <w:sectPr w:rsidR="0068384E" w:rsidRPr="0068384E" w:rsidSect="001274F5">
      <w:headerReference w:type="default" r:id="rId39"/>
      <w:footerReference w:type="even" r:id="rId40"/>
      <w:footerReference w:type="default" r:id="rId41"/>
      <w:headerReference w:type="first" r:id="rId42"/>
      <w:footerReference w:type="first" r:id="rId4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C6" w:rsidRDefault="00E676C6">
      <w:r>
        <w:separator/>
      </w:r>
    </w:p>
  </w:endnote>
  <w:endnote w:type="continuationSeparator" w:id="0">
    <w:p w:rsidR="00E676C6" w:rsidRDefault="00E6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Che">
    <w:altName w:val="Arial Unicode MS"/>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Malgun Gothic Semilight"/>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FF2F2C">
      <w:rPr>
        <w:lang w:eastAsia="ko-KR"/>
      </w:rPr>
      <w:t>OUT-28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06DF9">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06DF9">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92727B" w:rsidRDefault="004E7D8A" w:rsidP="0092727B">
          <w:pPr>
            <w:pStyle w:val="Footer"/>
            <w:tabs>
              <w:tab w:val="clear" w:pos="4320"/>
              <w:tab w:val="clear" w:pos="8640"/>
            </w:tabs>
          </w:pPr>
          <w:r>
            <w:t xml:space="preserve">Dr. </w:t>
          </w:r>
          <w:proofErr w:type="spellStart"/>
          <w:r>
            <w:t>Jongmin</w:t>
          </w:r>
          <w:proofErr w:type="spellEnd"/>
          <w:r>
            <w:t xml:space="preserve"> PARK</w:t>
          </w:r>
        </w:p>
        <w:p w:rsidR="002A0111" w:rsidRPr="002A0111" w:rsidRDefault="002A0111" w:rsidP="0092727B">
          <w:pPr>
            <w:pStyle w:val="Footer"/>
            <w:tabs>
              <w:tab w:val="clear" w:pos="4320"/>
              <w:tab w:val="clear" w:pos="8640"/>
            </w:tabs>
          </w:pPr>
          <w:r>
            <w:t>Chairm</w:t>
          </w:r>
          <w:r w:rsidR="00BA153C">
            <w:t>e</w:t>
          </w:r>
          <w:r>
            <w:t>n, DG AI1.</w:t>
          </w:r>
          <w:r w:rsidR="004E7D8A">
            <w:t>14</w:t>
          </w:r>
          <w:r>
            <w:t xml:space="preserve">/WP </w:t>
          </w:r>
          <w:r w:rsidR="004E7D8A">
            <w:t>1</w:t>
          </w:r>
        </w:p>
      </w:tc>
      <w:tc>
        <w:tcPr>
          <w:tcW w:w="2880" w:type="dxa"/>
          <w:tcBorders>
            <w:top w:val="single" w:sz="8" w:space="0" w:color="auto"/>
            <w:left w:val="nil"/>
            <w:bottom w:val="nil"/>
          </w:tcBorders>
        </w:tcPr>
        <w:p w:rsidR="00BA153C" w:rsidRPr="0092727B" w:rsidRDefault="0092727B" w:rsidP="0092727B">
          <w:pPr>
            <w:pStyle w:val="Footer"/>
            <w:tabs>
              <w:tab w:val="clear" w:pos="4320"/>
              <w:tab w:val="clear" w:pos="8640"/>
            </w:tabs>
          </w:pPr>
          <w:r>
            <w:t>E-mail:</w:t>
          </w:r>
          <w:r w:rsidR="004E7D8A">
            <w:t xml:space="preserve"> </w:t>
          </w:r>
          <w:hyperlink r:id="rId1" w:history="1">
            <w:r w:rsidR="00BA153C" w:rsidRPr="00BA153C">
              <w:t>jongmin@etri.re.kr</w:t>
            </w:r>
          </w:hyperlink>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C6" w:rsidRDefault="00E676C6">
      <w:r>
        <w:separator/>
      </w:r>
    </w:p>
  </w:footnote>
  <w:footnote w:type="continuationSeparator" w:id="0">
    <w:p w:rsidR="00E676C6" w:rsidRDefault="00E6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30D"/>
    <w:multiLevelType w:val="hybridMultilevel"/>
    <w:tmpl w:val="718ECD34"/>
    <w:lvl w:ilvl="0" w:tplc="93A804AA">
      <w:start w:val="1"/>
      <w:numFmt w:val="bullet"/>
      <w:lvlText w:val="∙"/>
      <w:lvlJc w:val="left"/>
      <w:pPr>
        <w:ind w:left="1083" w:hanging="400"/>
      </w:pPr>
      <w:rPr>
        <w:rFonts w:ascii="BatangChe" w:eastAsia="BatangChe" w:hAnsi="BatangChe" w:hint="eastAsia"/>
      </w:rPr>
    </w:lvl>
    <w:lvl w:ilvl="1" w:tplc="04090003" w:tentative="1">
      <w:start w:val="1"/>
      <w:numFmt w:val="bullet"/>
      <w:lvlText w:val=""/>
      <w:lvlJc w:val="left"/>
      <w:pPr>
        <w:ind w:left="1483" w:hanging="400"/>
      </w:pPr>
      <w:rPr>
        <w:rFonts w:ascii="Wingdings" w:hAnsi="Wingdings" w:hint="default"/>
      </w:rPr>
    </w:lvl>
    <w:lvl w:ilvl="2" w:tplc="04090005" w:tentative="1">
      <w:start w:val="1"/>
      <w:numFmt w:val="bullet"/>
      <w:lvlText w:val=""/>
      <w:lvlJc w:val="left"/>
      <w:pPr>
        <w:ind w:left="1883" w:hanging="400"/>
      </w:pPr>
      <w:rPr>
        <w:rFonts w:ascii="Wingdings" w:hAnsi="Wingdings" w:hint="default"/>
      </w:rPr>
    </w:lvl>
    <w:lvl w:ilvl="3" w:tplc="04090001" w:tentative="1">
      <w:start w:val="1"/>
      <w:numFmt w:val="bullet"/>
      <w:lvlText w:val=""/>
      <w:lvlJc w:val="left"/>
      <w:pPr>
        <w:ind w:left="2283" w:hanging="400"/>
      </w:pPr>
      <w:rPr>
        <w:rFonts w:ascii="Wingdings" w:hAnsi="Wingdings" w:hint="default"/>
      </w:rPr>
    </w:lvl>
    <w:lvl w:ilvl="4" w:tplc="04090003" w:tentative="1">
      <w:start w:val="1"/>
      <w:numFmt w:val="bullet"/>
      <w:lvlText w:val=""/>
      <w:lvlJc w:val="left"/>
      <w:pPr>
        <w:ind w:left="2683" w:hanging="400"/>
      </w:pPr>
      <w:rPr>
        <w:rFonts w:ascii="Wingdings" w:hAnsi="Wingdings" w:hint="default"/>
      </w:rPr>
    </w:lvl>
    <w:lvl w:ilvl="5" w:tplc="04090005" w:tentative="1">
      <w:start w:val="1"/>
      <w:numFmt w:val="bullet"/>
      <w:lvlText w:val=""/>
      <w:lvlJc w:val="left"/>
      <w:pPr>
        <w:ind w:left="3083" w:hanging="400"/>
      </w:pPr>
      <w:rPr>
        <w:rFonts w:ascii="Wingdings" w:hAnsi="Wingdings" w:hint="default"/>
      </w:rPr>
    </w:lvl>
    <w:lvl w:ilvl="6" w:tplc="04090001" w:tentative="1">
      <w:start w:val="1"/>
      <w:numFmt w:val="bullet"/>
      <w:lvlText w:val=""/>
      <w:lvlJc w:val="left"/>
      <w:pPr>
        <w:ind w:left="3483" w:hanging="400"/>
      </w:pPr>
      <w:rPr>
        <w:rFonts w:ascii="Wingdings" w:hAnsi="Wingdings" w:hint="default"/>
      </w:rPr>
    </w:lvl>
    <w:lvl w:ilvl="7" w:tplc="04090003" w:tentative="1">
      <w:start w:val="1"/>
      <w:numFmt w:val="bullet"/>
      <w:lvlText w:val=""/>
      <w:lvlJc w:val="left"/>
      <w:pPr>
        <w:ind w:left="3883" w:hanging="400"/>
      </w:pPr>
      <w:rPr>
        <w:rFonts w:ascii="Wingdings" w:hAnsi="Wingdings" w:hint="default"/>
      </w:rPr>
    </w:lvl>
    <w:lvl w:ilvl="8" w:tplc="04090005" w:tentative="1">
      <w:start w:val="1"/>
      <w:numFmt w:val="bullet"/>
      <w:lvlText w:val=""/>
      <w:lvlJc w:val="left"/>
      <w:pPr>
        <w:ind w:left="4283" w:hanging="400"/>
      </w:pPr>
      <w:rPr>
        <w:rFonts w:ascii="Wingdings" w:hAnsi="Wingdings" w:hint="default"/>
      </w:rPr>
    </w:lvl>
  </w:abstractNum>
  <w:abstractNum w:abstractNumId="1">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49161641"/>
    <w:multiLevelType w:val="hybridMultilevel"/>
    <w:tmpl w:val="F4CE244E"/>
    <w:lvl w:ilvl="0" w:tplc="C22E0B14">
      <w:start w:val="1"/>
      <w:numFmt w:val="bullet"/>
      <w:lvlText w:val="–"/>
      <w:lvlJc w:val="left"/>
      <w:pPr>
        <w:ind w:left="1083" w:hanging="400"/>
      </w:pPr>
      <w:rPr>
        <w:rFonts w:ascii="BatangChe" w:eastAsia="BatangChe" w:hAnsi="BatangChe" w:hint="eastAsia"/>
      </w:rPr>
    </w:lvl>
    <w:lvl w:ilvl="1" w:tplc="04090003" w:tentative="1">
      <w:start w:val="1"/>
      <w:numFmt w:val="bullet"/>
      <w:lvlText w:val=""/>
      <w:lvlJc w:val="left"/>
      <w:pPr>
        <w:ind w:left="1483" w:hanging="400"/>
      </w:pPr>
      <w:rPr>
        <w:rFonts w:ascii="Wingdings" w:hAnsi="Wingdings" w:hint="default"/>
      </w:rPr>
    </w:lvl>
    <w:lvl w:ilvl="2" w:tplc="04090005" w:tentative="1">
      <w:start w:val="1"/>
      <w:numFmt w:val="bullet"/>
      <w:lvlText w:val=""/>
      <w:lvlJc w:val="left"/>
      <w:pPr>
        <w:ind w:left="1883" w:hanging="400"/>
      </w:pPr>
      <w:rPr>
        <w:rFonts w:ascii="Wingdings" w:hAnsi="Wingdings" w:hint="default"/>
      </w:rPr>
    </w:lvl>
    <w:lvl w:ilvl="3" w:tplc="04090001" w:tentative="1">
      <w:start w:val="1"/>
      <w:numFmt w:val="bullet"/>
      <w:lvlText w:val=""/>
      <w:lvlJc w:val="left"/>
      <w:pPr>
        <w:ind w:left="2283" w:hanging="400"/>
      </w:pPr>
      <w:rPr>
        <w:rFonts w:ascii="Wingdings" w:hAnsi="Wingdings" w:hint="default"/>
      </w:rPr>
    </w:lvl>
    <w:lvl w:ilvl="4" w:tplc="04090003" w:tentative="1">
      <w:start w:val="1"/>
      <w:numFmt w:val="bullet"/>
      <w:lvlText w:val=""/>
      <w:lvlJc w:val="left"/>
      <w:pPr>
        <w:ind w:left="2683" w:hanging="400"/>
      </w:pPr>
      <w:rPr>
        <w:rFonts w:ascii="Wingdings" w:hAnsi="Wingdings" w:hint="default"/>
      </w:rPr>
    </w:lvl>
    <w:lvl w:ilvl="5" w:tplc="04090005" w:tentative="1">
      <w:start w:val="1"/>
      <w:numFmt w:val="bullet"/>
      <w:lvlText w:val=""/>
      <w:lvlJc w:val="left"/>
      <w:pPr>
        <w:ind w:left="3083" w:hanging="400"/>
      </w:pPr>
      <w:rPr>
        <w:rFonts w:ascii="Wingdings" w:hAnsi="Wingdings" w:hint="default"/>
      </w:rPr>
    </w:lvl>
    <w:lvl w:ilvl="6" w:tplc="04090001" w:tentative="1">
      <w:start w:val="1"/>
      <w:numFmt w:val="bullet"/>
      <w:lvlText w:val=""/>
      <w:lvlJc w:val="left"/>
      <w:pPr>
        <w:ind w:left="3483" w:hanging="400"/>
      </w:pPr>
      <w:rPr>
        <w:rFonts w:ascii="Wingdings" w:hAnsi="Wingdings" w:hint="default"/>
      </w:rPr>
    </w:lvl>
    <w:lvl w:ilvl="7" w:tplc="04090003" w:tentative="1">
      <w:start w:val="1"/>
      <w:numFmt w:val="bullet"/>
      <w:lvlText w:val=""/>
      <w:lvlJc w:val="left"/>
      <w:pPr>
        <w:ind w:left="3883" w:hanging="400"/>
      </w:pPr>
      <w:rPr>
        <w:rFonts w:ascii="Wingdings" w:hAnsi="Wingdings" w:hint="default"/>
      </w:rPr>
    </w:lvl>
    <w:lvl w:ilvl="8" w:tplc="04090005" w:tentative="1">
      <w:start w:val="1"/>
      <w:numFmt w:val="bullet"/>
      <w:lvlText w:val=""/>
      <w:lvlJc w:val="left"/>
      <w:pPr>
        <w:ind w:left="4283" w:hanging="400"/>
      </w:pPr>
      <w:rPr>
        <w:rFonts w:ascii="Wingdings" w:hAnsi="Wingdings" w:hint="default"/>
      </w:rPr>
    </w:lvl>
  </w:abstractNum>
  <w:abstractNum w:abstractNumId="14">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073C46"/>
    <w:multiLevelType w:val="hybridMultilevel"/>
    <w:tmpl w:val="BC2C80F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98006FC"/>
    <w:multiLevelType w:val="hybridMultilevel"/>
    <w:tmpl w:val="320423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8"/>
  </w:num>
  <w:num w:numId="5">
    <w:abstractNumId w:val="9"/>
  </w:num>
  <w:num w:numId="6">
    <w:abstractNumId w:val="11"/>
  </w:num>
  <w:num w:numId="7">
    <w:abstractNumId w:val="3"/>
  </w:num>
  <w:num w:numId="8">
    <w:abstractNumId w:val="2"/>
  </w:num>
  <w:num w:numId="9">
    <w:abstractNumId w:val="22"/>
  </w:num>
  <w:num w:numId="10">
    <w:abstractNumId w:val="16"/>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5"/>
  </w:num>
  <w:num w:numId="18">
    <w:abstractNumId w:val="12"/>
  </w:num>
  <w:num w:numId="19">
    <w:abstractNumId w:val="20"/>
  </w:num>
  <w:num w:numId="20">
    <w:abstractNumId w:val="8"/>
  </w:num>
  <w:num w:numId="21">
    <w:abstractNumId w:val="19"/>
  </w:num>
  <w:num w:numId="22">
    <w:abstractNumId w:val="24"/>
  </w:num>
  <w:num w:numId="23">
    <w:abstractNumId w:val="21"/>
  </w:num>
  <w:num w:numId="24">
    <w:abstractNumId w:val="17"/>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3595B"/>
    <w:rsid w:val="00036517"/>
    <w:rsid w:val="00036CC9"/>
    <w:rsid w:val="00040149"/>
    <w:rsid w:val="000701E7"/>
    <w:rsid w:val="00070642"/>
    <w:rsid w:val="000713CF"/>
    <w:rsid w:val="00075C14"/>
    <w:rsid w:val="000822B5"/>
    <w:rsid w:val="00094B87"/>
    <w:rsid w:val="000A012B"/>
    <w:rsid w:val="000A5418"/>
    <w:rsid w:val="000C4D13"/>
    <w:rsid w:val="000D47FB"/>
    <w:rsid w:val="000F0C40"/>
    <w:rsid w:val="000F1155"/>
    <w:rsid w:val="000F196A"/>
    <w:rsid w:val="000F345F"/>
    <w:rsid w:val="000F4891"/>
    <w:rsid w:val="000F4F45"/>
    <w:rsid w:val="000F517C"/>
    <w:rsid w:val="000F5540"/>
    <w:rsid w:val="000F7D6C"/>
    <w:rsid w:val="00105F1A"/>
    <w:rsid w:val="00112C03"/>
    <w:rsid w:val="00125FBD"/>
    <w:rsid w:val="001274F5"/>
    <w:rsid w:val="00133E54"/>
    <w:rsid w:val="001409B2"/>
    <w:rsid w:val="00152636"/>
    <w:rsid w:val="001539DD"/>
    <w:rsid w:val="00156782"/>
    <w:rsid w:val="00165846"/>
    <w:rsid w:val="00165F01"/>
    <w:rsid w:val="001731F4"/>
    <w:rsid w:val="001916F2"/>
    <w:rsid w:val="001930A7"/>
    <w:rsid w:val="0019575C"/>
    <w:rsid w:val="00196568"/>
    <w:rsid w:val="00197C18"/>
    <w:rsid w:val="00197E81"/>
    <w:rsid w:val="001A2F16"/>
    <w:rsid w:val="001A717C"/>
    <w:rsid w:val="001B1804"/>
    <w:rsid w:val="001B18C2"/>
    <w:rsid w:val="001C443F"/>
    <w:rsid w:val="001C61A5"/>
    <w:rsid w:val="001C6707"/>
    <w:rsid w:val="001D5D7E"/>
    <w:rsid w:val="001F5947"/>
    <w:rsid w:val="00202410"/>
    <w:rsid w:val="0020428C"/>
    <w:rsid w:val="00214A0C"/>
    <w:rsid w:val="0021588B"/>
    <w:rsid w:val="002161B6"/>
    <w:rsid w:val="00217378"/>
    <w:rsid w:val="002216AC"/>
    <w:rsid w:val="0023212E"/>
    <w:rsid w:val="002475E2"/>
    <w:rsid w:val="002506D2"/>
    <w:rsid w:val="00250DE2"/>
    <w:rsid w:val="00254A1B"/>
    <w:rsid w:val="0026064A"/>
    <w:rsid w:val="00264566"/>
    <w:rsid w:val="0027081A"/>
    <w:rsid w:val="00275DBF"/>
    <w:rsid w:val="00277919"/>
    <w:rsid w:val="0028454D"/>
    <w:rsid w:val="00286536"/>
    <w:rsid w:val="00291C9E"/>
    <w:rsid w:val="002926D4"/>
    <w:rsid w:val="0029734E"/>
    <w:rsid w:val="002A0111"/>
    <w:rsid w:val="002A126A"/>
    <w:rsid w:val="002A3CF5"/>
    <w:rsid w:val="002A731D"/>
    <w:rsid w:val="002B06A3"/>
    <w:rsid w:val="002B435C"/>
    <w:rsid w:val="002B447F"/>
    <w:rsid w:val="002B7C9C"/>
    <w:rsid w:val="002B7D04"/>
    <w:rsid w:val="002C07DA"/>
    <w:rsid w:val="002C2A49"/>
    <w:rsid w:val="002C7EA9"/>
    <w:rsid w:val="002F575D"/>
    <w:rsid w:val="003113D7"/>
    <w:rsid w:val="00311E8A"/>
    <w:rsid w:val="00320485"/>
    <w:rsid w:val="00342F20"/>
    <w:rsid w:val="00360377"/>
    <w:rsid w:val="00366548"/>
    <w:rsid w:val="0038005B"/>
    <w:rsid w:val="003809C7"/>
    <w:rsid w:val="0038236C"/>
    <w:rsid w:val="00393DCD"/>
    <w:rsid w:val="00395B40"/>
    <w:rsid w:val="003A2006"/>
    <w:rsid w:val="003A6568"/>
    <w:rsid w:val="003B10E4"/>
    <w:rsid w:val="003B4FD1"/>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41526"/>
    <w:rsid w:val="004465AA"/>
    <w:rsid w:val="00446A5E"/>
    <w:rsid w:val="0044793D"/>
    <w:rsid w:val="0045458F"/>
    <w:rsid w:val="004579BE"/>
    <w:rsid w:val="004633B4"/>
    <w:rsid w:val="00495CED"/>
    <w:rsid w:val="004A29EE"/>
    <w:rsid w:val="004A2F96"/>
    <w:rsid w:val="004A4BDF"/>
    <w:rsid w:val="004B3553"/>
    <w:rsid w:val="004B3753"/>
    <w:rsid w:val="004B3F4B"/>
    <w:rsid w:val="004B4065"/>
    <w:rsid w:val="004B4AF4"/>
    <w:rsid w:val="004C23A3"/>
    <w:rsid w:val="004C4E18"/>
    <w:rsid w:val="004E1FCA"/>
    <w:rsid w:val="004E47D6"/>
    <w:rsid w:val="004E7D81"/>
    <w:rsid w:val="004E7D8A"/>
    <w:rsid w:val="004F477A"/>
    <w:rsid w:val="00503189"/>
    <w:rsid w:val="00504750"/>
    <w:rsid w:val="00516BD1"/>
    <w:rsid w:val="005206E9"/>
    <w:rsid w:val="0052356A"/>
    <w:rsid w:val="00526D01"/>
    <w:rsid w:val="00530E8C"/>
    <w:rsid w:val="00535D34"/>
    <w:rsid w:val="00545933"/>
    <w:rsid w:val="005473AB"/>
    <w:rsid w:val="00552105"/>
    <w:rsid w:val="00555854"/>
    <w:rsid w:val="005562F2"/>
    <w:rsid w:val="00557544"/>
    <w:rsid w:val="00565BBB"/>
    <w:rsid w:val="005811B6"/>
    <w:rsid w:val="00585F3C"/>
    <w:rsid w:val="00586CA0"/>
    <w:rsid w:val="00587875"/>
    <w:rsid w:val="005A00F0"/>
    <w:rsid w:val="005A63EB"/>
    <w:rsid w:val="005B0342"/>
    <w:rsid w:val="005B0876"/>
    <w:rsid w:val="005C33B6"/>
    <w:rsid w:val="005D6202"/>
    <w:rsid w:val="005D6E98"/>
    <w:rsid w:val="005F1DBB"/>
    <w:rsid w:val="00607E2B"/>
    <w:rsid w:val="006139D6"/>
    <w:rsid w:val="00616D1B"/>
    <w:rsid w:val="00623CE1"/>
    <w:rsid w:val="006276EE"/>
    <w:rsid w:val="00627880"/>
    <w:rsid w:val="0063062B"/>
    <w:rsid w:val="00634A82"/>
    <w:rsid w:val="00636341"/>
    <w:rsid w:val="00637351"/>
    <w:rsid w:val="00646166"/>
    <w:rsid w:val="00654896"/>
    <w:rsid w:val="006621F0"/>
    <w:rsid w:val="006647BA"/>
    <w:rsid w:val="00667229"/>
    <w:rsid w:val="00681282"/>
    <w:rsid w:val="00682BE5"/>
    <w:rsid w:val="00683846"/>
    <w:rsid w:val="0068384E"/>
    <w:rsid w:val="00690FED"/>
    <w:rsid w:val="006939A5"/>
    <w:rsid w:val="006C521F"/>
    <w:rsid w:val="006D5223"/>
    <w:rsid w:val="006D5970"/>
    <w:rsid w:val="006E12FC"/>
    <w:rsid w:val="006E4C4C"/>
    <w:rsid w:val="006F0F24"/>
    <w:rsid w:val="006F2B2E"/>
    <w:rsid w:val="006F6A5C"/>
    <w:rsid w:val="00703F6F"/>
    <w:rsid w:val="007052B3"/>
    <w:rsid w:val="00705962"/>
    <w:rsid w:val="00707C21"/>
    <w:rsid w:val="00712451"/>
    <w:rsid w:val="00717DE9"/>
    <w:rsid w:val="00722E3F"/>
    <w:rsid w:val="0072518B"/>
    <w:rsid w:val="00731041"/>
    <w:rsid w:val="007329E4"/>
    <w:rsid w:val="00732F08"/>
    <w:rsid w:val="007342F0"/>
    <w:rsid w:val="0074190C"/>
    <w:rsid w:val="0075493D"/>
    <w:rsid w:val="00762576"/>
    <w:rsid w:val="007673CA"/>
    <w:rsid w:val="007736E1"/>
    <w:rsid w:val="007849C2"/>
    <w:rsid w:val="00791060"/>
    <w:rsid w:val="007926EA"/>
    <w:rsid w:val="007A54CD"/>
    <w:rsid w:val="007B02A6"/>
    <w:rsid w:val="007B5626"/>
    <w:rsid w:val="007B6124"/>
    <w:rsid w:val="007D3C53"/>
    <w:rsid w:val="007E3A0F"/>
    <w:rsid w:val="007F2628"/>
    <w:rsid w:val="007F2FBA"/>
    <w:rsid w:val="007F32F9"/>
    <w:rsid w:val="00800C3A"/>
    <w:rsid w:val="00802E15"/>
    <w:rsid w:val="0080570B"/>
    <w:rsid w:val="008148E1"/>
    <w:rsid w:val="008319BF"/>
    <w:rsid w:val="0083577F"/>
    <w:rsid w:val="008415F0"/>
    <w:rsid w:val="008433C2"/>
    <w:rsid w:val="00844457"/>
    <w:rsid w:val="008454C8"/>
    <w:rsid w:val="00850156"/>
    <w:rsid w:val="00851D78"/>
    <w:rsid w:val="00852482"/>
    <w:rsid w:val="008A016F"/>
    <w:rsid w:val="008A1A0D"/>
    <w:rsid w:val="008A72E1"/>
    <w:rsid w:val="008A76ED"/>
    <w:rsid w:val="008B3C72"/>
    <w:rsid w:val="008C5FED"/>
    <w:rsid w:val="008D0E09"/>
    <w:rsid w:val="008F617E"/>
    <w:rsid w:val="00903007"/>
    <w:rsid w:val="009159E4"/>
    <w:rsid w:val="00923816"/>
    <w:rsid w:val="0092727B"/>
    <w:rsid w:val="0093074B"/>
    <w:rsid w:val="00930E64"/>
    <w:rsid w:val="00943CF9"/>
    <w:rsid w:val="009465A6"/>
    <w:rsid w:val="00953846"/>
    <w:rsid w:val="00956F8C"/>
    <w:rsid w:val="00961D57"/>
    <w:rsid w:val="00964EA5"/>
    <w:rsid w:val="00976716"/>
    <w:rsid w:val="0097693B"/>
    <w:rsid w:val="00986020"/>
    <w:rsid w:val="00993355"/>
    <w:rsid w:val="009963F7"/>
    <w:rsid w:val="009A11CB"/>
    <w:rsid w:val="009A4A6D"/>
    <w:rsid w:val="009B44DD"/>
    <w:rsid w:val="009B6BD5"/>
    <w:rsid w:val="009B7E42"/>
    <w:rsid w:val="009C7235"/>
    <w:rsid w:val="009D46CE"/>
    <w:rsid w:val="009D4ADA"/>
    <w:rsid w:val="009E13DD"/>
    <w:rsid w:val="009F18D1"/>
    <w:rsid w:val="009F547A"/>
    <w:rsid w:val="00A03D78"/>
    <w:rsid w:val="00A0503B"/>
    <w:rsid w:val="00A059CD"/>
    <w:rsid w:val="00A106EE"/>
    <w:rsid w:val="00A13265"/>
    <w:rsid w:val="00A14900"/>
    <w:rsid w:val="00A2159F"/>
    <w:rsid w:val="00A324FF"/>
    <w:rsid w:val="00A36B3E"/>
    <w:rsid w:val="00A431D0"/>
    <w:rsid w:val="00A46709"/>
    <w:rsid w:val="00A529BC"/>
    <w:rsid w:val="00A5346C"/>
    <w:rsid w:val="00A53F51"/>
    <w:rsid w:val="00A562F0"/>
    <w:rsid w:val="00A564FB"/>
    <w:rsid w:val="00A614C1"/>
    <w:rsid w:val="00A61EA6"/>
    <w:rsid w:val="00A657BF"/>
    <w:rsid w:val="00A71136"/>
    <w:rsid w:val="00A82D7C"/>
    <w:rsid w:val="00A92578"/>
    <w:rsid w:val="00AA2D82"/>
    <w:rsid w:val="00AA474C"/>
    <w:rsid w:val="00AC35EF"/>
    <w:rsid w:val="00AC4D5B"/>
    <w:rsid w:val="00AD0805"/>
    <w:rsid w:val="00AD1DDB"/>
    <w:rsid w:val="00AD2697"/>
    <w:rsid w:val="00AD7E5F"/>
    <w:rsid w:val="00AE05A4"/>
    <w:rsid w:val="00AE3066"/>
    <w:rsid w:val="00AF68E4"/>
    <w:rsid w:val="00B00A87"/>
    <w:rsid w:val="00B01AA1"/>
    <w:rsid w:val="00B023E0"/>
    <w:rsid w:val="00B06025"/>
    <w:rsid w:val="00B06DF9"/>
    <w:rsid w:val="00B14BA9"/>
    <w:rsid w:val="00B30C81"/>
    <w:rsid w:val="00B30DA1"/>
    <w:rsid w:val="00B3404D"/>
    <w:rsid w:val="00B35173"/>
    <w:rsid w:val="00B36F3B"/>
    <w:rsid w:val="00B456A8"/>
    <w:rsid w:val="00B4793B"/>
    <w:rsid w:val="00B56099"/>
    <w:rsid w:val="00B57D77"/>
    <w:rsid w:val="00B64A60"/>
    <w:rsid w:val="00B661AC"/>
    <w:rsid w:val="00B8468D"/>
    <w:rsid w:val="00B85851"/>
    <w:rsid w:val="00B937D7"/>
    <w:rsid w:val="00B96B67"/>
    <w:rsid w:val="00BA153C"/>
    <w:rsid w:val="00BA4E5B"/>
    <w:rsid w:val="00BB0EA4"/>
    <w:rsid w:val="00BB20B5"/>
    <w:rsid w:val="00BC1F39"/>
    <w:rsid w:val="00BC57EF"/>
    <w:rsid w:val="00BC69DB"/>
    <w:rsid w:val="00BD082C"/>
    <w:rsid w:val="00BD3E93"/>
    <w:rsid w:val="00BE6B6B"/>
    <w:rsid w:val="00BF25F9"/>
    <w:rsid w:val="00BF6289"/>
    <w:rsid w:val="00C00B04"/>
    <w:rsid w:val="00C13FD5"/>
    <w:rsid w:val="00C15633"/>
    <w:rsid w:val="00C15799"/>
    <w:rsid w:val="00C32E84"/>
    <w:rsid w:val="00C35415"/>
    <w:rsid w:val="00C357AD"/>
    <w:rsid w:val="00C516C7"/>
    <w:rsid w:val="00C51C5F"/>
    <w:rsid w:val="00C554CC"/>
    <w:rsid w:val="00C6069C"/>
    <w:rsid w:val="00C60B2E"/>
    <w:rsid w:val="00C70477"/>
    <w:rsid w:val="00C74745"/>
    <w:rsid w:val="00C85119"/>
    <w:rsid w:val="00C95572"/>
    <w:rsid w:val="00C95C48"/>
    <w:rsid w:val="00CA41E7"/>
    <w:rsid w:val="00CD170C"/>
    <w:rsid w:val="00CD256B"/>
    <w:rsid w:val="00CD320B"/>
    <w:rsid w:val="00CD3F37"/>
    <w:rsid w:val="00CD5431"/>
    <w:rsid w:val="00CE4B93"/>
    <w:rsid w:val="00CF2491"/>
    <w:rsid w:val="00CF3963"/>
    <w:rsid w:val="00D00828"/>
    <w:rsid w:val="00D1038D"/>
    <w:rsid w:val="00D1252E"/>
    <w:rsid w:val="00D13D9D"/>
    <w:rsid w:val="00D14AFE"/>
    <w:rsid w:val="00D416A3"/>
    <w:rsid w:val="00D459A2"/>
    <w:rsid w:val="00D530FF"/>
    <w:rsid w:val="00D53688"/>
    <w:rsid w:val="00D5407A"/>
    <w:rsid w:val="00D57772"/>
    <w:rsid w:val="00D640D9"/>
    <w:rsid w:val="00D65483"/>
    <w:rsid w:val="00D72AE3"/>
    <w:rsid w:val="00D75A4D"/>
    <w:rsid w:val="00D80DB5"/>
    <w:rsid w:val="00D8478B"/>
    <w:rsid w:val="00D86151"/>
    <w:rsid w:val="00D86FED"/>
    <w:rsid w:val="00D9172D"/>
    <w:rsid w:val="00D97E84"/>
    <w:rsid w:val="00DA5641"/>
    <w:rsid w:val="00DA7595"/>
    <w:rsid w:val="00DB0A68"/>
    <w:rsid w:val="00DC43A3"/>
    <w:rsid w:val="00DC4CF3"/>
    <w:rsid w:val="00DC5C01"/>
    <w:rsid w:val="00DD7C09"/>
    <w:rsid w:val="00DE51C6"/>
    <w:rsid w:val="00DF0EB4"/>
    <w:rsid w:val="00DF111E"/>
    <w:rsid w:val="00E0124F"/>
    <w:rsid w:val="00E126F1"/>
    <w:rsid w:val="00E244BE"/>
    <w:rsid w:val="00E27C63"/>
    <w:rsid w:val="00E30628"/>
    <w:rsid w:val="00E43BDD"/>
    <w:rsid w:val="00E554AC"/>
    <w:rsid w:val="00E569A6"/>
    <w:rsid w:val="00E5762A"/>
    <w:rsid w:val="00E674D3"/>
    <w:rsid w:val="00E676C6"/>
    <w:rsid w:val="00E677BC"/>
    <w:rsid w:val="00E70FD0"/>
    <w:rsid w:val="00E72B2C"/>
    <w:rsid w:val="00E7309D"/>
    <w:rsid w:val="00E77C4B"/>
    <w:rsid w:val="00E9301F"/>
    <w:rsid w:val="00E9690A"/>
    <w:rsid w:val="00E97DC7"/>
    <w:rsid w:val="00EA4239"/>
    <w:rsid w:val="00EB747D"/>
    <w:rsid w:val="00EE5249"/>
    <w:rsid w:val="00F000EF"/>
    <w:rsid w:val="00F02CF4"/>
    <w:rsid w:val="00F03803"/>
    <w:rsid w:val="00F2504E"/>
    <w:rsid w:val="00F2585B"/>
    <w:rsid w:val="00F40346"/>
    <w:rsid w:val="00F4053F"/>
    <w:rsid w:val="00F516E7"/>
    <w:rsid w:val="00F57BF7"/>
    <w:rsid w:val="00F6263E"/>
    <w:rsid w:val="00F627C2"/>
    <w:rsid w:val="00F736FD"/>
    <w:rsid w:val="00F84067"/>
    <w:rsid w:val="00F91667"/>
    <w:rsid w:val="00FA50B4"/>
    <w:rsid w:val="00FB6E83"/>
    <w:rsid w:val="00FC156A"/>
    <w:rsid w:val="00FD6235"/>
    <w:rsid w:val="00FE13D1"/>
    <w:rsid w:val="00FE3DE5"/>
    <w:rsid w:val="00FF2F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nhideWhenUsed/>
    <w:rsid w:val="005473AB"/>
    <w:rPr>
      <w:color w:val="0000FF" w:themeColor="hyperlink"/>
      <w:u w:val="single"/>
    </w:rPr>
  </w:style>
  <w:style w:type="character" w:customStyle="1" w:styleId="ListParagraphChar">
    <w:name w:val="List Paragraph Char"/>
    <w:link w:val="ListParagraph"/>
    <w:uiPriority w:val="34"/>
    <w:locked/>
    <w:rsid w:val="005473AB"/>
    <w:rPr>
      <w:rFonts w:eastAsia="BatangChe"/>
      <w:sz w:val="24"/>
      <w:szCs w:val="24"/>
    </w:rPr>
  </w:style>
  <w:style w:type="character" w:styleId="FollowedHyperlink">
    <w:name w:val="FollowedHyperlink"/>
    <w:basedOn w:val="DefaultParagraphFont"/>
    <w:semiHidden/>
    <w:unhideWhenUsed/>
    <w:rsid w:val="00F03803"/>
    <w:rPr>
      <w:color w:val="800080" w:themeColor="followedHyperlink"/>
      <w:u w:val="single"/>
    </w:rPr>
  </w:style>
  <w:style w:type="character" w:customStyle="1" w:styleId="1">
    <w:name w:val="확인되지 않은 멘션1"/>
    <w:basedOn w:val="DefaultParagraphFont"/>
    <w:uiPriority w:val="99"/>
    <w:semiHidden/>
    <w:unhideWhenUsed/>
    <w:rsid w:val="00BA15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nhideWhenUsed/>
    <w:rsid w:val="005473AB"/>
    <w:rPr>
      <w:color w:val="0000FF" w:themeColor="hyperlink"/>
      <w:u w:val="single"/>
    </w:rPr>
  </w:style>
  <w:style w:type="character" w:customStyle="1" w:styleId="ListParagraphChar">
    <w:name w:val="List Paragraph Char"/>
    <w:link w:val="ListParagraph"/>
    <w:uiPriority w:val="34"/>
    <w:locked/>
    <w:rsid w:val="005473AB"/>
    <w:rPr>
      <w:rFonts w:eastAsia="BatangChe"/>
      <w:sz w:val="24"/>
      <w:szCs w:val="24"/>
    </w:rPr>
  </w:style>
  <w:style w:type="character" w:styleId="FollowedHyperlink">
    <w:name w:val="FollowedHyperlink"/>
    <w:basedOn w:val="DefaultParagraphFont"/>
    <w:semiHidden/>
    <w:unhideWhenUsed/>
    <w:rsid w:val="00F03803"/>
    <w:rPr>
      <w:color w:val="800080" w:themeColor="followedHyperlink"/>
      <w:u w:val="single"/>
    </w:rPr>
  </w:style>
  <w:style w:type="character" w:customStyle="1" w:styleId="1">
    <w:name w:val="확인되지 않은 멘션1"/>
    <w:basedOn w:val="DefaultParagraphFont"/>
    <w:uiPriority w:val="99"/>
    <w:semiHidden/>
    <w:unhideWhenUsed/>
    <w:rsid w:val="00BA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064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md/R15-SG05-C-0163/en" TargetMode="External"/><Relationship Id="rId18" Type="http://schemas.openxmlformats.org/officeDocument/2006/relationships/hyperlink" Target="http://www.itu.int/rec/R-REC-F/recommendation.asp?lang=en&amp;parent=R-REC-F.1764" TargetMode="External"/><Relationship Id="rId26" Type="http://schemas.openxmlformats.org/officeDocument/2006/relationships/hyperlink" Target="http://www.itu.int/rec/R-REC-F/recommendation.asp?lang=en&amp;parent=R-REC-F.160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rec/R-REC-p/recommendation.asp?lang=en&amp;parent=R-REC-P.1409" TargetMode="External"/><Relationship Id="rId34" Type="http://schemas.openxmlformats.org/officeDocument/2006/relationships/hyperlink" Target="http://www.itu.int/rec/R-REC-F/recommendation.asp?lang=en&amp;parent=R-REC-F.1891"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itu.int/md/R15-SG05-C-0162/en" TargetMode="External"/><Relationship Id="rId17" Type="http://schemas.openxmlformats.org/officeDocument/2006/relationships/hyperlink" Target="http://www.itu.int/rec/R-REC-F/recommendation.asp?lang=en&amp;parent=R-REC-F.1608" TargetMode="External"/><Relationship Id="rId25" Type="http://schemas.openxmlformats.org/officeDocument/2006/relationships/hyperlink" Target="http://www.itu.int/rec/R-REC-F/recommendation.asp?lang=en&amp;parent=R-REC-F.1570" TargetMode="External"/><Relationship Id="rId33" Type="http://schemas.openxmlformats.org/officeDocument/2006/relationships/hyperlink" Target="http://www.itu.int/rec/R-REC-F/recommendation.asp?lang=en&amp;parent=R-REC-F.1764" TargetMode="External"/><Relationship Id="rId38"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http://www.itu.int/rec/R-REC-F/recommendation.asp?lang=en&amp;parent=R-REC-F.1501" TargetMode="External"/><Relationship Id="rId20" Type="http://schemas.openxmlformats.org/officeDocument/2006/relationships/hyperlink" Target="http://www.itu.int/rec/R-REC-F/recommendation.asp?lang=en&amp;parent=R-REC-F.1820" TargetMode="External"/><Relationship Id="rId29" Type="http://schemas.openxmlformats.org/officeDocument/2006/relationships/hyperlink" Target="http://www.itu.int/rec/R-REC-F/recommendation.asp?lang=en&amp;parent=R-REC-F.176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R15-SG05-C-0161/en" TargetMode="External"/><Relationship Id="rId24" Type="http://schemas.openxmlformats.org/officeDocument/2006/relationships/hyperlink" Target="http://www.itu.int/rec/R-REC-F/recommendation.asp?lang=en&amp;parent=R-REC-F.1569" TargetMode="External"/><Relationship Id="rId32" Type="http://schemas.openxmlformats.org/officeDocument/2006/relationships/hyperlink" Target="http://www.itu.int/pub/R-REP-F/publications.aspx?lang=en&amp;parent=R-REP-F.2240" TargetMode="External"/><Relationship Id="rId37" Type="http://schemas.openxmlformats.org/officeDocument/2006/relationships/image" Target="media/image2.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rec/R-REC-F/recommendation.asp?lang=en&amp;parent=R-REC-F.1500" TargetMode="External"/><Relationship Id="rId23" Type="http://schemas.openxmlformats.org/officeDocument/2006/relationships/hyperlink" Target="http://www.itu.int/rec/R-REC-SF/recommendation.asp?lang=en&amp;parent=R-REC-SF.1843" TargetMode="External"/><Relationship Id="rId28" Type="http://schemas.openxmlformats.org/officeDocument/2006/relationships/hyperlink" Target="http://www.itu.int/rec/R-REC-F/recommendation.asp?lang=en&amp;parent=R-REC-F.1612" TargetMode="External"/><Relationship Id="rId36" Type="http://schemas.openxmlformats.org/officeDocument/2006/relationships/hyperlink" Target="http://www.itu.int/rec/R-REC-p/recommendation.asp?lang=en&amp;parent=R-REC-P.1409" TargetMode="External"/><Relationship Id="rId10" Type="http://schemas.openxmlformats.org/officeDocument/2006/relationships/hyperlink" Target="https://www.itu.int/md/R15-SG05-C-0160/en" TargetMode="External"/><Relationship Id="rId19" Type="http://schemas.openxmlformats.org/officeDocument/2006/relationships/hyperlink" Target="http://www.itu.int/rec/R-REC-F/recommendation.asp?lang=en&amp;parent=R-REC-F.1819" TargetMode="External"/><Relationship Id="rId31" Type="http://schemas.openxmlformats.org/officeDocument/2006/relationships/hyperlink" Target="http://www.itu.int/rec/R-REC-SF/recommendation.asp?lang=en&amp;parent=R-REC-SF.160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tu.int/md/R15-SG05-C-0164/en" TargetMode="External"/><Relationship Id="rId22" Type="http://schemas.openxmlformats.org/officeDocument/2006/relationships/hyperlink" Target="http://www.itu.int/rec/R-REC-SF/recommendation.asp?lang=en&amp;parent=R-REC-SF.1481" TargetMode="External"/><Relationship Id="rId27" Type="http://schemas.openxmlformats.org/officeDocument/2006/relationships/hyperlink" Target="http://www.itu.int/rec/R-REC-F/recommendation.asp?lang=en&amp;parent=R-REC-F.1609" TargetMode="External"/><Relationship Id="rId30" Type="http://schemas.openxmlformats.org/officeDocument/2006/relationships/hyperlink" Target="http://www.itu.int/rec/R-REC-p/recommendation.asp?lang=en&amp;parent=R-REC-P.1409" TargetMode="External"/><Relationship Id="rId35" Type="http://schemas.openxmlformats.org/officeDocument/2006/relationships/hyperlink" Target="http://www.itu.int/rec/R-REC-F/recommendation.asp?lang=en&amp;parent=R-REC-F.2011"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jongmin@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C3AF-F5CD-4C5F-978A-76A5E743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14375</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2015-02-02T07:28:00Z</cp:lastPrinted>
  <dcterms:created xsi:type="dcterms:W3CDTF">2019-08-12T03:01:00Z</dcterms:created>
  <dcterms:modified xsi:type="dcterms:W3CDTF">2019-08-12T03:01:00Z</dcterms:modified>
</cp:coreProperties>
</file>