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4C68343C" w14:textId="77777777" w:rsidTr="00194A2D">
        <w:trPr>
          <w:cantSplit/>
          <w:trHeight w:val="288"/>
        </w:trPr>
        <w:tc>
          <w:tcPr>
            <w:tcW w:w="1399" w:type="dxa"/>
            <w:vMerge w:val="restart"/>
          </w:tcPr>
          <w:p w14:paraId="67F2EABB"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54A0252" wp14:editId="6347F53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D2404FD" w14:textId="77777777" w:rsidR="00C516C7" w:rsidRPr="00E86131" w:rsidRDefault="00C516C7" w:rsidP="00194A2D">
            <w:r w:rsidRPr="00E86131">
              <w:t>ASIA-PACIFIC TELECOMMUNITY</w:t>
            </w:r>
          </w:p>
        </w:tc>
        <w:tc>
          <w:tcPr>
            <w:tcW w:w="2160" w:type="dxa"/>
          </w:tcPr>
          <w:p w14:paraId="19E04949" w14:textId="77777777" w:rsidR="00C516C7" w:rsidRPr="00723BE9" w:rsidRDefault="00C516C7" w:rsidP="00194A2D">
            <w:pPr>
              <w:rPr>
                <w:b/>
                <w:sz w:val="22"/>
                <w:szCs w:val="22"/>
              </w:rPr>
            </w:pPr>
            <w:r w:rsidRPr="00723BE9">
              <w:rPr>
                <w:b/>
              </w:rPr>
              <w:t>Document No:</w:t>
            </w:r>
          </w:p>
        </w:tc>
      </w:tr>
      <w:tr w:rsidR="00C516C7" w:rsidRPr="00C15799" w14:paraId="61F1D051" w14:textId="77777777" w:rsidTr="00194A2D">
        <w:trPr>
          <w:cantSplit/>
          <w:trHeight w:val="504"/>
        </w:trPr>
        <w:tc>
          <w:tcPr>
            <w:tcW w:w="1399" w:type="dxa"/>
            <w:vMerge/>
          </w:tcPr>
          <w:p w14:paraId="54A8BCE9" w14:textId="77777777" w:rsidR="00C516C7" w:rsidRPr="00891D0B" w:rsidRDefault="00C516C7" w:rsidP="00194A2D"/>
        </w:tc>
        <w:tc>
          <w:tcPr>
            <w:tcW w:w="5760" w:type="dxa"/>
          </w:tcPr>
          <w:p w14:paraId="68640BB0" w14:textId="77777777" w:rsidR="00C516C7" w:rsidRDefault="00C516C7" w:rsidP="00194A2D">
            <w:pPr>
              <w:spacing w:line="0" w:lineRule="atLeast"/>
              <w:rPr>
                <w:b/>
              </w:rPr>
            </w:pPr>
            <w:r>
              <w:rPr>
                <w:b/>
              </w:rPr>
              <w:t xml:space="preserve">The </w:t>
            </w:r>
            <w:r w:rsidR="00CD256B">
              <w:rPr>
                <w:b/>
              </w:rPr>
              <w:t>5</w:t>
            </w:r>
            <w:r>
              <w:rPr>
                <w:b/>
              </w:rPr>
              <w:t>th Meeting of the APT Conference Preparatory</w:t>
            </w:r>
          </w:p>
          <w:p w14:paraId="61213EFE" w14:textId="77777777" w:rsidR="00C516C7" w:rsidRPr="00891D0B" w:rsidRDefault="00C516C7" w:rsidP="00CD256B">
            <w:pPr>
              <w:spacing w:line="0" w:lineRule="atLeast"/>
            </w:pPr>
            <w:r>
              <w:rPr>
                <w:b/>
              </w:rPr>
              <w:t>Group for WRC-19 (APG19-</w:t>
            </w:r>
            <w:r w:rsidR="00CD256B">
              <w:rPr>
                <w:b/>
              </w:rPr>
              <w:t>5</w:t>
            </w:r>
            <w:r>
              <w:rPr>
                <w:b/>
              </w:rPr>
              <w:t>)</w:t>
            </w:r>
          </w:p>
        </w:tc>
        <w:tc>
          <w:tcPr>
            <w:tcW w:w="2160" w:type="dxa"/>
          </w:tcPr>
          <w:p w14:paraId="537A913B" w14:textId="6DCE9E53"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2B6412">
              <w:rPr>
                <w:b/>
                <w:bCs/>
                <w:lang w:val="fr-FR"/>
              </w:rPr>
              <w:t>OUT-32</w:t>
            </w:r>
          </w:p>
          <w:p w14:paraId="2022610C" w14:textId="36BE81FA" w:rsidR="00C516C7" w:rsidRDefault="008B611E" w:rsidP="00194A2D">
            <w:pPr>
              <w:spacing w:line="0" w:lineRule="atLeast"/>
              <w:rPr>
                <w:b/>
              </w:rPr>
            </w:pPr>
            <w:r>
              <w:rPr>
                <w:b/>
              </w:rPr>
              <w:t>(Rev.1)</w:t>
            </w:r>
          </w:p>
        </w:tc>
      </w:tr>
      <w:tr w:rsidR="00C516C7" w:rsidRPr="00891D0B" w14:paraId="2AC44F59" w14:textId="77777777" w:rsidTr="00194A2D">
        <w:trPr>
          <w:cantSplit/>
          <w:trHeight w:val="288"/>
        </w:trPr>
        <w:tc>
          <w:tcPr>
            <w:tcW w:w="1399" w:type="dxa"/>
            <w:vMerge/>
          </w:tcPr>
          <w:p w14:paraId="14D18DCB" w14:textId="77777777" w:rsidR="00C516C7" w:rsidRPr="007E1FDD" w:rsidRDefault="00C516C7" w:rsidP="00194A2D">
            <w:pPr>
              <w:rPr>
                <w:lang w:val="en-GB"/>
              </w:rPr>
            </w:pPr>
          </w:p>
        </w:tc>
        <w:tc>
          <w:tcPr>
            <w:tcW w:w="5760" w:type="dxa"/>
            <w:vAlign w:val="bottom"/>
          </w:tcPr>
          <w:p w14:paraId="46395A78" w14:textId="77777777"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14:paraId="21509080" w14:textId="5CDB3E2F" w:rsidR="00C516C7" w:rsidRDefault="002B6412" w:rsidP="00C95572">
            <w:r>
              <w:rPr>
                <w:bCs/>
              </w:rPr>
              <w:t>5</w:t>
            </w:r>
            <w:r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14:paraId="4824E2CC" w14:textId="77777777" w:rsidR="00311E8A" w:rsidRDefault="00311E8A" w:rsidP="0072518B">
      <w:pPr>
        <w:jc w:val="center"/>
        <w:rPr>
          <w:lang w:val="en-NZ"/>
        </w:rPr>
      </w:pPr>
    </w:p>
    <w:p w14:paraId="6FC05B6C" w14:textId="77777777" w:rsidR="002B6412" w:rsidRDefault="002B6412" w:rsidP="00B64A60">
      <w:pPr>
        <w:jc w:val="center"/>
        <w:rPr>
          <w:lang w:val="en-NZ" w:eastAsia="ko-KR"/>
        </w:rPr>
      </w:pPr>
    </w:p>
    <w:p w14:paraId="4A1D814D" w14:textId="364EC9B0" w:rsidR="00B64A60" w:rsidRPr="002A0111" w:rsidRDefault="002A0111" w:rsidP="00B64A60">
      <w:pPr>
        <w:jc w:val="center"/>
        <w:rPr>
          <w:lang w:val="en-NZ" w:eastAsia="ko-KR"/>
        </w:rPr>
      </w:pPr>
      <w:r w:rsidRPr="002A0111">
        <w:rPr>
          <w:lang w:val="en-NZ" w:eastAsia="ko-KR"/>
        </w:rPr>
        <w:t xml:space="preserve">Working Party </w:t>
      </w:r>
      <w:r w:rsidR="005A3DBE">
        <w:rPr>
          <w:lang w:val="en-NZ" w:eastAsia="ko-KR"/>
        </w:rPr>
        <w:t>4</w:t>
      </w:r>
    </w:p>
    <w:p w14:paraId="68F654F7" w14:textId="77777777" w:rsidR="00B64A60" w:rsidRPr="002A0111" w:rsidRDefault="00B64A60" w:rsidP="00B64A60">
      <w:pPr>
        <w:jc w:val="center"/>
        <w:rPr>
          <w:bCs/>
          <w:caps/>
          <w:lang w:val="en-NZ"/>
        </w:rPr>
      </w:pPr>
    </w:p>
    <w:p w14:paraId="4D267A72" w14:textId="418033B9"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14:paraId="583444C6" w14:textId="2786A714" w:rsidR="00B64A60" w:rsidRPr="00441526" w:rsidRDefault="00B64A60" w:rsidP="00B64A60">
      <w:pPr>
        <w:jc w:val="center"/>
        <w:rPr>
          <w:b/>
          <w:bCs/>
          <w:caps/>
          <w:lang w:val="en-NZ"/>
        </w:rPr>
      </w:pPr>
      <w:r w:rsidRPr="00441526">
        <w:rPr>
          <w:b/>
          <w:bCs/>
          <w:caps/>
          <w:lang w:val="en-NZ"/>
        </w:rPr>
        <w:t>on WRC-19 agenda item 1.</w:t>
      </w:r>
      <w:r w:rsidR="005A3DBE">
        <w:rPr>
          <w:b/>
          <w:bCs/>
          <w:caps/>
          <w:lang w:val="en-NZ"/>
        </w:rPr>
        <w:t>3</w:t>
      </w:r>
    </w:p>
    <w:p w14:paraId="683F4634" w14:textId="77777777" w:rsidR="00B64A60" w:rsidRPr="00441526" w:rsidRDefault="00B64A60" w:rsidP="00264566">
      <w:pPr>
        <w:spacing w:after="120"/>
        <w:rPr>
          <w:lang w:val="en-NZ"/>
        </w:rPr>
      </w:pPr>
    </w:p>
    <w:p w14:paraId="5E7536C5" w14:textId="50C2C2E2" w:rsidR="002A0111" w:rsidRPr="00441526" w:rsidRDefault="002A0111" w:rsidP="002A0111">
      <w:pPr>
        <w:spacing w:after="120"/>
        <w:jc w:val="both"/>
        <w:rPr>
          <w:lang w:val="en-NZ"/>
        </w:rPr>
      </w:pPr>
      <w:r w:rsidRPr="00441526">
        <w:rPr>
          <w:b/>
          <w:lang w:val="en-NZ"/>
        </w:rPr>
        <w:t>Agenda Item 1.</w:t>
      </w:r>
      <w:r w:rsidR="005A3DBE">
        <w:rPr>
          <w:b/>
          <w:lang w:val="en-NZ"/>
        </w:rPr>
        <w:t>3</w:t>
      </w:r>
      <w:r w:rsidRPr="00441526">
        <w:rPr>
          <w:b/>
          <w:lang w:val="en-NZ"/>
        </w:rPr>
        <w:t xml:space="preserve">: </w:t>
      </w:r>
    </w:p>
    <w:p w14:paraId="036CB2E0" w14:textId="77777777" w:rsidR="00097DC0" w:rsidRPr="00076B5C" w:rsidRDefault="00097DC0" w:rsidP="00097DC0">
      <w:pPr>
        <w:tabs>
          <w:tab w:val="left" w:pos="1134"/>
          <w:tab w:val="left" w:pos="1871"/>
          <w:tab w:val="left" w:pos="2268"/>
        </w:tabs>
        <w:overflowPunct w:val="0"/>
        <w:autoSpaceDE w:val="0"/>
        <w:autoSpaceDN w:val="0"/>
        <w:adjustRightInd w:val="0"/>
        <w:spacing w:before="240"/>
        <w:ind w:firstLine="567"/>
        <w:jc w:val="both"/>
        <w:rPr>
          <w:rFonts w:eastAsia="Times New Roman"/>
          <w:b/>
          <w:i/>
          <w:iCs/>
          <w:lang w:val="en-GB"/>
        </w:rPr>
      </w:pPr>
      <w:r w:rsidRPr="00076B5C">
        <w:rPr>
          <w:rFonts w:eastAsia="Times New Roman"/>
          <w:i/>
          <w:iCs/>
          <w:lang w:val="en-GB"/>
        </w:rPr>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076B5C">
        <w:rPr>
          <w:rFonts w:eastAsia="Times New Roman"/>
          <w:b/>
          <w:i/>
          <w:iCs/>
          <w:lang w:val="en-GB"/>
        </w:rPr>
        <w:t> 766 (WRC</w:t>
      </w:r>
      <w:r w:rsidRPr="00076B5C">
        <w:rPr>
          <w:rFonts w:eastAsia="Times New Roman"/>
          <w:b/>
          <w:i/>
          <w:iCs/>
          <w:lang w:val="en-GB"/>
        </w:rPr>
        <w:noBreakHyphen/>
        <w:t>15)</w:t>
      </w:r>
      <w:r w:rsidRPr="00076B5C">
        <w:rPr>
          <w:rFonts w:eastAsia="Times New Roman"/>
          <w:i/>
          <w:iCs/>
          <w:lang w:val="en-GB"/>
        </w:rPr>
        <w:t>;</w:t>
      </w:r>
    </w:p>
    <w:p w14:paraId="72B55411" w14:textId="77777777" w:rsidR="001154AE" w:rsidRPr="001154AE" w:rsidRDefault="001154AE" w:rsidP="001154AE">
      <w:pPr>
        <w:tabs>
          <w:tab w:val="left" w:pos="1134"/>
          <w:tab w:val="left" w:pos="1871"/>
          <w:tab w:val="left" w:pos="2268"/>
        </w:tabs>
        <w:overflowPunct w:val="0"/>
        <w:autoSpaceDE w:val="0"/>
        <w:autoSpaceDN w:val="0"/>
        <w:adjustRightInd w:val="0"/>
        <w:spacing w:before="240"/>
        <w:jc w:val="both"/>
        <w:rPr>
          <w:rFonts w:eastAsia="Times New Roman"/>
          <w:i/>
          <w:iCs/>
          <w:lang w:val="en-GB"/>
        </w:rPr>
      </w:pPr>
      <w:r w:rsidRPr="001154AE">
        <w:rPr>
          <w:rFonts w:eastAsia="Times New Roman"/>
          <w:i/>
          <w:iCs/>
          <w:lang w:val="en-GB"/>
        </w:rPr>
        <w:t xml:space="preserve">Resolution </w:t>
      </w:r>
      <w:r w:rsidRPr="001154AE">
        <w:rPr>
          <w:rFonts w:eastAsia="Times New Roman"/>
          <w:b/>
          <w:bCs/>
          <w:i/>
          <w:iCs/>
          <w:lang w:val="en-GB"/>
        </w:rPr>
        <w:t>766 (WRC</w:t>
      </w:r>
      <w:r w:rsidRPr="001154AE">
        <w:rPr>
          <w:rFonts w:eastAsia="Times New Roman"/>
          <w:b/>
          <w:bCs/>
          <w:i/>
          <w:iCs/>
          <w:lang w:val="en-GB"/>
        </w:rPr>
        <w:noBreakHyphen/>
        <w:t>15)</w:t>
      </w:r>
      <w:r w:rsidRPr="001154AE">
        <w:rPr>
          <w:rFonts w:eastAsia="Times New Roman"/>
          <w:i/>
          <w:iCs/>
          <w:lang w:val="en-GB"/>
        </w:rPr>
        <w:t xml:space="preserve"> – Consideration of possible upgrading of the secondary allocation to the meteorological-satellite service (space-to-Earth) to primary status and a primary allocation to the Earth exploration-satellite service (space-to-Earth) in the frequency band 460</w:t>
      </w:r>
      <w:r w:rsidRPr="001154AE">
        <w:rPr>
          <w:rFonts w:eastAsia="Times New Roman"/>
          <w:i/>
          <w:iCs/>
          <w:lang w:val="en-GB"/>
        </w:rPr>
        <w:noBreakHyphen/>
        <w:t>470 MHz</w:t>
      </w:r>
    </w:p>
    <w:p w14:paraId="4166461B" w14:textId="77777777" w:rsidR="002A0111" w:rsidRPr="00441526" w:rsidRDefault="002A0111" w:rsidP="002A0111">
      <w:pPr>
        <w:jc w:val="both"/>
        <w:rPr>
          <w:lang w:val="en-NZ"/>
        </w:rPr>
      </w:pPr>
    </w:p>
    <w:p w14:paraId="2C34DDD6" w14:textId="34B7DC8C" w:rsidR="00536007" w:rsidRPr="008A7328" w:rsidRDefault="002A0111" w:rsidP="008A7328">
      <w:pPr>
        <w:spacing w:after="120"/>
        <w:jc w:val="both"/>
        <w:rPr>
          <w:b/>
          <w:lang w:val="en-NZ" w:eastAsia="ko-KR"/>
        </w:rPr>
      </w:pPr>
      <w:r w:rsidRPr="00441526">
        <w:rPr>
          <w:b/>
          <w:lang w:val="en-NZ" w:eastAsia="ko-KR"/>
        </w:rPr>
        <w:t xml:space="preserve">1. </w:t>
      </w:r>
      <w:r w:rsidRPr="00441526">
        <w:rPr>
          <w:b/>
          <w:lang w:val="en-NZ" w:eastAsia="ko-KR"/>
        </w:rPr>
        <w:tab/>
        <w:t>Background</w:t>
      </w:r>
    </w:p>
    <w:p w14:paraId="48F505FD" w14:textId="77777777" w:rsidR="008A7328" w:rsidRPr="00E219EC" w:rsidRDefault="008A7328" w:rsidP="008A7328">
      <w:r w:rsidRPr="00E219EC">
        <w:t xml:space="preserve">The use of the frequency band 460-470 MHz is already established due to the existence of a secondary allocation to </w:t>
      </w:r>
      <w:proofErr w:type="spellStart"/>
      <w:r w:rsidRPr="00E219EC">
        <w:t>MetSat</w:t>
      </w:r>
      <w:proofErr w:type="spellEnd"/>
      <w:r w:rsidRPr="00E219EC">
        <w:t>. Meteorological satellites already transmit in this band to control and configure data collection platforms.</w:t>
      </w:r>
    </w:p>
    <w:p w14:paraId="485D939F" w14:textId="77777777" w:rsidR="008A7328" w:rsidRDefault="008A7328" w:rsidP="00F07CE9">
      <w:pPr>
        <w:jc w:val="both"/>
        <w:rPr>
          <w:iCs/>
          <w:lang w:val="en-NZ"/>
        </w:rPr>
      </w:pPr>
    </w:p>
    <w:p w14:paraId="39B87F98" w14:textId="77777777" w:rsidR="000A614B" w:rsidRDefault="00F07CE9" w:rsidP="00F07CE9">
      <w:pPr>
        <w:jc w:val="both"/>
        <w:rPr>
          <w:iCs/>
          <w:lang w:val="en-NZ"/>
        </w:rPr>
      </w:pPr>
      <w:r w:rsidRPr="00F07CE9">
        <w:rPr>
          <w:iCs/>
          <w:lang w:val="en-NZ"/>
        </w:rPr>
        <w:t xml:space="preserve">A primary allocation to the </w:t>
      </w:r>
      <w:proofErr w:type="spellStart"/>
      <w:r w:rsidRPr="00F07CE9">
        <w:rPr>
          <w:iCs/>
          <w:lang w:val="en-NZ"/>
        </w:rPr>
        <w:t>MetSat</w:t>
      </w:r>
      <w:proofErr w:type="spellEnd"/>
      <w:r w:rsidRPr="00F07CE9">
        <w:rPr>
          <w:iCs/>
          <w:lang w:val="en-NZ"/>
        </w:rPr>
        <w:t xml:space="preserve"> and EESS (space-to-Earth) in the frequency band 460 470 MHz would provide confidence to space and meteorological agencies deeply involved in </w:t>
      </w:r>
      <w:proofErr w:type="gramStart"/>
      <w:r w:rsidRPr="00F07CE9">
        <w:rPr>
          <w:iCs/>
          <w:lang w:val="en-NZ"/>
        </w:rPr>
        <w:t>satellite</w:t>
      </w:r>
      <w:proofErr w:type="gramEnd"/>
      <w:r w:rsidRPr="00F07CE9">
        <w:rPr>
          <w:iCs/>
          <w:lang w:val="en-NZ"/>
        </w:rPr>
        <w:t xml:space="preserve"> data collection programs and the public sectors funding the development and operation of such systems. </w:t>
      </w:r>
    </w:p>
    <w:p w14:paraId="05B9B0D6" w14:textId="77777777" w:rsidR="000A614B" w:rsidRDefault="000A614B" w:rsidP="00F07CE9">
      <w:pPr>
        <w:jc w:val="both"/>
        <w:rPr>
          <w:iCs/>
          <w:lang w:val="en-NZ"/>
        </w:rPr>
      </w:pPr>
    </w:p>
    <w:p w14:paraId="5C027528" w14:textId="7603AABB" w:rsidR="00F07CE9" w:rsidRDefault="00F07CE9" w:rsidP="00F07CE9">
      <w:pPr>
        <w:jc w:val="both"/>
        <w:rPr>
          <w:iCs/>
          <w:lang w:val="en-NZ"/>
        </w:rPr>
      </w:pPr>
      <w:r w:rsidRPr="00F07CE9">
        <w:rPr>
          <w:iCs/>
          <w:lang w:val="en-NZ"/>
        </w:rPr>
        <w:t>Space and meteorological agencies are also investing in the continuity of these programs providing subsequent satellites and payloads, and an allocation upgrade in the frequency band 460-470 MHz would provide the necessary long-term continuity for these programs of public interest. In addition, the power flux-density (</w:t>
      </w:r>
      <w:proofErr w:type="spellStart"/>
      <w:r w:rsidRPr="00F07CE9">
        <w:rPr>
          <w:iCs/>
          <w:lang w:val="en-NZ"/>
        </w:rPr>
        <w:t>pfd</w:t>
      </w:r>
      <w:proofErr w:type="spellEnd"/>
      <w:r w:rsidRPr="00F07CE9">
        <w:rPr>
          <w:iCs/>
          <w:lang w:val="en-NZ"/>
        </w:rPr>
        <w:t>) limits will provide reliable protection to incumbent terrestrial services without imposing constraints.</w:t>
      </w:r>
    </w:p>
    <w:p w14:paraId="259F9A21" w14:textId="77777777" w:rsidR="001F7178" w:rsidRPr="00F07CE9" w:rsidRDefault="001F7178" w:rsidP="00F07CE9">
      <w:pPr>
        <w:jc w:val="both"/>
        <w:rPr>
          <w:iCs/>
          <w:lang w:val="en-NZ"/>
        </w:rPr>
      </w:pPr>
    </w:p>
    <w:p w14:paraId="1AFA30D6" w14:textId="655572C5" w:rsidR="00F07CE9" w:rsidRPr="00F07CE9" w:rsidRDefault="00F07CE9" w:rsidP="00F07CE9">
      <w:pPr>
        <w:jc w:val="both"/>
        <w:rPr>
          <w:iCs/>
          <w:lang w:val="en-NZ"/>
        </w:rPr>
      </w:pPr>
      <w:r w:rsidRPr="00F07CE9">
        <w:rPr>
          <w:iCs/>
          <w:lang w:val="en-NZ"/>
        </w:rPr>
        <w:t>The frequency band 460-470 MHz is currently allocated to the fixed and mobile services on a primary basis and is widely used by these services. Resolution 766 (WRC-15) states that there is a need to protect the fixed and mobile services in the frequency band 460-470 MHz and not to constrain their future development. Furthermore, RR No. 5.286AA identifies the frequency band 450-470 MHz for use by administrations wishing to implement International Mobile Telecommunications (IMT).</w:t>
      </w:r>
    </w:p>
    <w:p w14:paraId="49FC66B3" w14:textId="77777777" w:rsidR="001154AE" w:rsidRPr="00441526" w:rsidRDefault="001154AE" w:rsidP="001F7178">
      <w:pPr>
        <w:ind w:left="348"/>
        <w:jc w:val="both"/>
        <w:rPr>
          <w:i/>
          <w:lang w:val="en-NZ"/>
        </w:rPr>
      </w:pPr>
    </w:p>
    <w:p w14:paraId="4192CA1B" w14:textId="1544D841" w:rsidR="001F7178" w:rsidRPr="001F7178" w:rsidRDefault="00746D8E" w:rsidP="001F7178">
      <w:pPr>
        <w:jc w:val="both"/>
        <w:rPr>
          <w:iCs/>
          <w:lang w:val="en-NZ"/>
        </w:rPr>
      </w:pPr>
      <w:r>
        <w:rPr>
          <w:iCs/>
          <w:lang w:val="en-NZ"/>
        </w:rPr>
        <w:t>On the p</w:t>
      </w:r>
      <w:r w:rsidR="002A0111" w:rsidRPr="001F7178">
        <w:rPr>
          <w:iCs/>
          <w:lang w:val="en-NZ"/>
        </w:rPr>
        <w:t>rogress of ITU-R and APT ongoing studies</w:t>
      </w:r>
      <w:r>
        <w:rPr>
          <w:iCs/>
          <w:lang w:val="en-NZ"/>
        </w:rPr>
        <w:t>, t</w:t>
      </w:r>
      <w:r w:rsidR="001F7178" w:rsidRPr="001F7178">
        <w:rPr>
          <w:iCs/>
          <w:lang w:val="en-NZ"/>
        </w:rPr>
        <w:t>he Report</w:t>
      </w:r>
      <w:r w:rsidR="001F7178" w:rsidRPr="001F7178" w:rsidDel="00F914AD">
        <w:rPr>
          <w:iCs/>
          <w:lang w:val="en-NZ"/>
        </w:rPr>
        <w:t xml:space="preserve"> </w:t>
      </w:r>
      <w:r w:rsidR="001F7178" w:rsidRPr="001F7178">
        <w:rPr>
          <w:iCs/>
          <w:lang w:val="en-NZ"/>
        </w:rPr>
        <w:t>ITU-R SA.</w:t>
      </w:r>
      <w:r w:rsidR="001F7178" w:rsidRPr="0086592B">
        <w:rPr>
          <w:iCs/>
          <w:lang w:val="en-NZ"/>
        </w:rPr>
        <w:t>2429</w:t>
      </w:r>
      <w:r w:rsidR="001F7178" w:rsidRPr="001F7178">
        <w:rPr>
          <w:iCs/>
          <w:lang w:val="en-NZ"/>
        </w:rPr>
        <w:t xml:space="preserve"> provides the studies related to WRC</w:t>
      </w:r>
      <w:r w:rsidR="001F7178" w:rsidRPr="001F7178">
        <w:rPr>
          <w:iCs/>
          <w:lang w:val="en-NZ"/>
        </w:rPr>
        <w:noBreakHyphen/>
        <w:t xml:space="preserve">19 agenda item 1.3. </w:t>
      </w:r>
    </w:p>
    <w:p w14:paraId="23AC5D42" w14:textId="77777777" w:rsidR="001154AE" w:rsidRDefault="001154AE" w:rsidP="000A614B">
      <w:pPr>
        <w:ind w:left="348"/>
        <w:jc w:val="both"/>
        <w:rPr>
          <w:lang w:val="en-NZ"/>
        </w:rPr>
      </w:pPr>
    </w:p>
    <w:p w14:paraId="2F25EA97" w14:textId="77777777" w:rsidR="000A614B" w:rsidRDefault="000A614B" w:rsidP="000A614B">
      <w:pPr>
        <w:jc w:val="both"/>
        <w:rPr>
          <w:lang w:val="en-NZ"/>
        </w:rPr>
      </w:pPr>
    </w:p>
    <w:p w14:paraId="1DD02FA4" w14:textId="66E1740B" w:rsidR="000A614B" w:rsidRDefault="000A614B" w:rsidP="000A614B">
      <w:pPr>
        <w:jc w:val="both"/>
        <w:rPr>
          <w:lang w:val="en-NZ"/>
        </w:rPr>
      </w:pPr>
      <w:r>
        <w:rPr>
          <w:lang w:val="en-NZ"/>
        </w:rPr>
        <w:lastRenderedPageBreak/>
        <w:t>The following is</w:t>
      </w:r>
      <w:r w:rsidR="002A0111">
        <w:rPr>
          <w:lang w:val="en-NZ"/>
        </w:rPr>
        <w:t xml:space="preserve"> a </w:t>
      </w:r>
      <w:r w:rsidR="00746D8E">
        <w:rPr>
          <w:lang w:val="en-NZ"/>
        </w:rPr>
        <w:t>list</w:t>
      </w:r>
      <w:r w:rsidR="002A0111">
        <w:rPr>
          <w:lang w:val="en-NZ"/>
        </w:rPr>
        <w:t xml:space="preserve"> of the CPM </w:t>
      </w:r>
      <w:r w:rsidRPr="000A614B">
        <w:rPr>
          <w:lang w:val="en-NZ"/>
        </w:rPr>
        <w:t>Methods to satisfy the agenda item</w:t>
      </w:r>
      <w:r>
        <w:rPr>
          <w:lang w:val="en-NZ"/>
        </w:rPr>
        <w:t>:</w:t>
      </w:r>
    </w:p>
    <w:p w14:paraId="27D8BAED" w14:textId="77777777" w:rsidR="000A614B" w:rsidRPr="000A614B" w:rsidRDefault="000A614B" w:rsidP="000A614B">
      <w:pPr>
        <w:jc w:val="both"/>
        <w:rPr>
          <w:lang w:val="en-NZ"/>
        </w:rPr>
      </w:pPr>
    </w:p>
    <w:p w14:paraId="56C07A1F" w14:textId="4926EDD4" w:rsidR="000A614B" w:rsidRPr="000A614B" w:rsidRDefault="000A614B" w:rsidP="000A614B">
      <w:pPr>
        <w:jc w:val="both"/>
        <w:rPr>
          <w:lang w:val="en-NZ"/>
        </w:rPr>
      </w:pPr>
      <w:r w:rsidRPr="000A614B">
        <w:rPr>
          <w:lang w:val="en-NZ"/>
        </w:rPr>
        <w:t>4/1.3/4.1</w:t>
      </w:r>
      <w:r w:rsidRPr="000A614B">
        <w:rPr>
          <w:lang w:val="en-NZ"/>
        </w:rPr>
        <w:tab/>
        <w:t>Method A NOC</w:t>
      </w:r>
    </w:p>
    <w:p w14:paraId="31FA1878" w14:textId="77777777" w:rsidR="00DE485E" w:rsidRDefault="000A614B" w:rsidP="000A614B">
      <w:pPr>
        <w:jc w:val="both"/>
        <w:rPr>
          <w:lang w:val="en-NZ"/>
        </w:rPr>
      </w:pPr>
      <w:r w:rsidRPr="000A614B">
        <w:rPr>
          <w:lang w:val="en-NZ"/>
        </w:rPr>
        <w:t xml:space="preserve">No changes are proposed to the RR. </w:t>
      </w:r>
    </w:p>
    <w:p w14:paraId="3119E568" w14:textId="0CD06688" w:rsidR="000A614B" w:rsidRDefault="000A614B" w:rsidP="000A614B">
      <w:pPr>
        <w:jc w:val="both"/>
        <w:rPr>
          <w:lang w:val="en-NZ"/>
        </w:rPr>
      </w:pPr>
      <w:r w:rsidRPr="000A614B">
        <w:rPr>
          <w:lang w:val="en-NZ"/>
        </w:rPr>
        <w:t>A consequential suppression of Resolution 766 (WRC-15).</w:t>
      </w:r>
    </w:p>
    <w:p w14:paraId="34B1798C" w14:textId="77777777" w:rsidR="000A614B" w:rsidRPr="000A614B" w:rsidRDefault="000A614B" w:rsidP="000A614B">
      <w:pPr>
        <w:jc w:val="both"/>
        <w:rPr>
          <w:lang w:val="en-NZ"/>
        </w:rPr>
      </w:pPr>
    </w:p>
    <w:p w14:paraId="4982A112" w14:textId="77777777" w:rsidR="000A614B" w:rsidRPr="000A614B" w:rsidRDefault="000A614B" w:rsidP="000A614B">
      <w:pPr>
        <w:jc w:val="both"/>
        <w:rPr>
          <w:lang w:val="en-NZ"/>
        </w:rPr>
      </w:pPr>
      <w:r w:rsidRPr="000A614B">
        <w:rPr>
          <w:lang w:val="en-NZ"/>
        </w:rPr>
        <w:t>4/1.3/4.2</w:t>
      </w:r>
      <w:r w:rsidRPr="000A614B">
        <w:rPr>
          <w:lang w:val="en-NZ"/>
        </w:rPr>
        <w:tab/>
        <w:t>Method B</w:t>
      </w:r>
    </w:p>
    <w:p w14:paraId="336A04A9" w14:textId="77777777" w:rsidR="000A614B" w:rsidRPr="000A614B" w:rsidRDefault="000A614B" w:rsidP="000A614B">
      <w:pPr>
        <w:jc w:val="both"/>
        <w:rPr>
          <w:lang w:val="en-NZ"/>
        </w:rPr>
      </w:pPr>
      <w:r w:rsidRPr="000A614B">
        <w:rPr>
          <w:lang w:val="en-NZ"/>
        </w:rPr>
        <w:t xml:space="preserve">An upgrade of the </w:t>
      </w:r>
      <w:proofErr w:type="spellStart"/>
      <w:r w:rsidRPr="000A614B">
        <w:rPr>
          <w:lang w:val="en-NZ"/>
        </w:rPr>
        <w:t>MetSat</w:t>
      </w:r>
      <w:proofErr w:type="spellEnd"/>
      <w:r w:rsidRPr="000A614B">
        <w:rPr>
          <w:lang w:val="en-NZ"/>
        </w:rPr>
        <w:t xml:space="preserve"> (space-to-Earth) allocation from secondary to primary status and a primary EESS (space-to-Earth) allocation could be added in the frequency band 460 470 MHz provided that the priority of </w:t>
      </w:r>
      <w:proofErr w:type="spellStart"/>
      <w:r w:rsidRPr="000A614B">
        <w:rPr>
          <w:lang w:val="en-NZ"/>
        </w:rPr>
        <w:t>MetSat</w:t>
      </w:r>
      <w:proofErr w:type="spellEnd"/>
      <w:r w:rsidRPr="000A614B">
        <w:rPr>
          <w:lang w:val="en-NZ"/>
        </w:rPr>
        <w:t xml:space="preserve"> over EESS, as currently contained in the Radio Regulations, is retained and that the protection of primary services in the frequency band and in adjacent frequency bands is ensured.</w:t>
      </w:r>
    </w:p>
    <w:p w14:paraId="05418810" w14:textId="77777777" w:rsidR="000A614B" w:rsidRPr="000A614B" w:rsidRDefault="000A614B" w:rsidP="000A614B">
      <w:pPr>
        <w:jc w:val="both"/>
        <w:rPr>
          <w:lang w:val="en-NZ"/>
        </w:rPr>
      </w:pPr>
      <w:r w:rsidRPr="000A614B">
        <w:rPr>
          <w:lang w:val="en-NZ"/>
        </w:rPr>
        <w:t xml:space="preserve">In order to protect terrestrial services, </w:t>
      </w:r>
      <w:proofErr w:type="spellStart"/>
      <w:r w:rsidRPr="000A614B">
        <w:rPr>
          <w:lang w:val="en-NZ"/>
        </w:rPr>
        <w:t>pfd</w:t>
      </w:r>
      <w:proofErr w:type="spellEnd"/>
      <w:r w:rsidRPr="000A614B">
        <w:rPr>
          <w:lang w:val="en-NZ"/>
        </w:rPr>
        <w:t xml:space="preserve"> limits are proposed for both non-GSO and GSO </w:t>
      </w:r>
      <w:proofErr w:type="spellStart"/>
      <w:r w:rsidRPr="000A614B">
        <w:rPr>
          <w:lang w:val="en-NZ"/>
        </w:rPr>
        <w:t>MetSat</w:t>
      </w:r>
      <w:proofErr w:type="spellEnd"/>
      <w:r w:rsidRPr="000A614B">
        <w:rPr>
          <w:lang w:val="en-NZ"/>
        </w:rPr>
        <w:t>/EESS satellites.</w:t>
      </w:r>
    </w:p>
    <w:p w14:paraId="3E0D77EC" w14:textId="77777777" w:rsidR="000A614B" w:rsidRPr="000A614B" w:rsidRDefault="000A614B" w:rsidP="000A614B">
      <w:pPr>
        <w:jc w:val="both"/>
        <w:rPr>
          <w:lang w:val="en-NZ"/>
        </w:rPr>
      </w:pPr>
      <w:r w:rsidRPr="000A614B">
        <w:rPr>
          <w:lang w:val="en-NZ"/>
        </w:rPr>
        <w:t xml:space="preserve">In addition, RR No. 5.290 is proposed to be suppressed since </w:t>
      </w:r>
      <w:proofErr w:type="spellStart"/>
      <w:r w:rsidRPr="000A614B">
        <w:rPr>
          <w:lang w:val="en-NZ"/>
        </w:rPr>
        <w:t>MetSat</w:t>
      </w:r>
      <w:proofErr w:type="spellEnd"/>
      <w:r w:rsidRPr="000A614B">
        <w:rPr>
          <w:lang w:val="en-NZ"/>
        </w:rPr>
        <w:t xml:space="preserve"> and EESS are primary services in the frequency band.</w:t>
      </w:r>
    </w:p>
    <w:p w14:paraId="25BE75B9" w14:textId="5514A1FD" w:rsidR="000A614B" w:rsidRDefault="000A614B" w:rsidP="000A614B">
      <w:pPr>
        <w:jc w:val="both"/>
        <w:rPr>
          <w:lang w:val="en-NZ"/>
        </w:rPr>
      </w:pPr>
      <w:r w:rsidRPr="000A614B">
        <w:rPr>
          <w:lang w:val="en-NZ"/>
        </w:rPr>
        <w:t xml:space="preserve">Finally, a new Resolution is proposed to provide the transitional measures for the existing </w:t>
      </w:r>
      <w:proofErr w:type="spellStart"/>
      <w:r w:rsidRPr="000A614B">
        <w:rPr>
          <w:lang w:val="en-NZ"/>
        </w:rPr>
        <w:t>MetSat</w:t>
      </w:r>
      <w:proofErr w:type="spellEnd"/>
      <w:r w:rsidRPr="000A614B">
        <w:rPr>
          <w:lang w:val="en-NZ"/>
        </w:rPr>
        <w:t>/EESS frequency assignments.</w:t>
      </w:r>
    </w:p>
    <w:p w14:paraId="37730286" w14:textId="77777777" w:rsidR="00280C01" w:rsidRPr="00280C01" w:rsidRDefault="00280C01" w:rsidP="00280C01">
      <w:pPr>
        <w:jc w:val="both"/>
        <w:rPr>
          <w:lang w:val="en-NZ"/>
        </w:rPr>
      </w:pPr>
      <w:r w:rsidRPr="00280C01">
        <w:rPr>
          <w:lang w:val="en-NZ"/>
        </w:rPr>
        <w:t>Option 1</w:t>
      </w:r>
    </w:p>
    <w:p w14:paraId="5234AA9E" w14:textId="77777777" w:rsidR="00280C01" w:rsidRPr="00280C01" w:rsidRDefault="00280C01" w:rsidP="00280C01">
      <w:pPr>
        <w:jc w:val="both"/>
        <w:rPr>
          <w:lang w:val="en-NZ"/>
        </w:rPr>
      </w:pPr>
      <w:proofErr w:type="gramStart"/>
      <w:r w:rsidRPr="00280C01">
        <w:rPr>
          <w:lang w:val="en-NZ"/>
        </w:rPr>
        <w:t>5.A13</w:t>
      </w:r>
      <w:proofErr w:type="gramEnd"/>
      <w:r w:rsidRPr="00280C01">
        <w:rPr>
          <w:lang w:val="en-NZ"/>
        </w:rPr>
        <w:tab/>
        <w:t>In the frequency band 460-470 MHz, earth stations in the meteorological-satellite service (space-to-Earth) and Earth exploration-satellite service (space-to-Earth) shall not cause harmful interference to nor claim protection from stations of the fixed and mobile services, and shall not claim protection from broadcasting service in the adjacent bands.      (WRC 19)</w:t>
      </w:r>
    </w:p>
    <w:p w14:paraId="4982445E" w14:textId="77777777" w:rsidR="00280C01" w:rsidRPr="00280C01" w:rsidRDefault="00280C01" w:rsidP="00280C01">
      <w:pPr>
        <w:jc w:val="both"/>
        <w:rPr>
          <w:lang w:val="en-NZ"/>
        </w:rPr>
      </w:pPr>
      <w:r w:rsidRPr="00280C01">
        <w:rPr>
          <w:lang w:val="en-NZ"/>
        </w:rPr>
        <w:t>Option 2</w:t>
      </w:r>
    </w:p>
    <w:p w14:paraId="1397464C" w14:textId="2585A33D" w:rsidR="00280C01" w:rsidRPr="000A614B" w:rsidRDefault="00280C01" w:rsidP="00280C01">
      <w:pPr>
        <w:jc w:val="both"/>
        <w:rPr>
          <w:lang w:val="en-NZ"/>
        </w:rPr>
      </w:pPr>
      <w:proofErr w:type="gramStart"/>
      <w:r w:rsidRPr="00280C01">
        <w:rPr>
          <w:lang w:val="en-NZ"/>
        </w:rPr>
        <w:t>5.A13</w:t>
      </w:r>
      <w:proofErr w:type="gramEnd"/>
      <w:r w:rsidRPr="00280C01">
        <w:rPr>
          <w:lang w:val="en-NZ"/>
        </w:rPr>
        <w:tab/>
        <w:t>In the frequency band 460-470 MHz, earth stations in the meteorological-satellite service (space-to-Earth) and Earth exploration-satellite service (space-to-Earth) shall not claim protection from stations of the fixed and mobile services, and shall not claim protection from broadcasting service in the adjacent bands.      (WRC 19)</w:t>
      </w:r>
    </w:p>
    <w:p w14:paraId="29E6FA92" w14:textId="77777777" w:rsidR="000A614B" w:rsidRDefault="000A614B" w:rsidP="000A614B">
      <w:pPr>
        <w:jc w:val="both"/>
        <w:rPr>
          <w:lang w:val="en-NZ"/>
        </w:rPr>
      </w:pPr>
    </w:p>
    <w:p w14:paraId="3E80F52A" w14:textId="1790D278" w:rsidR="000A614B" w:rsidRPr="000A614B" w:rsidRDefault="000A614B" w:rsidP="000A614B">
      <w:pPr>
        <w:jc w:val="both"/>
        <w:rPr>
          <w:lang w:val="en-NZ"/>
        </w:rPr>
      </w:pPr>
      <w:r w:rsidRPr="000A614B">
        <w:rPr>
          <w:lang w:val="en-NZ"/>
        </w:rPr>
        <w:t>4/1.3/4.3</w:t>
      </w:r>
      <w:r w:rsidRPr="000A614B">
        <w:rPr>
          <w:lang w:val="en-NZ"/>
        </w:rPr>
        <w:tab/>
        <w:t xml:space="preserve">Method C </w:t>
      </w:r>
    </w:p>
    <w:p w14:paraId="744A2F16" w14:textId="77777777" w:rsidR="000A614B" w:rsidRPr="000A614B" w:rsidRDefault="000A614B" w:rsidP="000A614B">
      <w:pPr>
        <w:jc w:val="both"/>
        <w:rPr>
          <w:lang w:val="en-NZ"/>
        </w:rPr>
      </w:pPr>
      <w:r w:rsidRPr="000A614B">
        <w:rPr>
          <w:lang w:val="en-NZ"/>
        </w:rPr>
        <w:t xml:space="preserve">An upgrade of the </w:t>
      </w:r>
      <w:proofErr w:type="spellStart"/>
      <w:r w:rsidRPr="000A614B">
        <w:rPr>
          <w:lang w:val="en-NZ"/>
        </w:rPr>
        <w:t>MetSat</w:t>
      </w:r>
      <w:proofErr w:type="spellEnd"/>
      <w:r w:rsidRPr="000A614B">
        <w:rPr>
          <w:lang w:val="en-NZ"/>
        </w:rPr>
        <w:t xml:space="preserve"> (space-to-Earth) allocation from secondary to primary status and a primary EESS (space-to-Earth) allocation could be added in the frequency band 460 470 MHz provided that the priority of </w:t>
      </w:r>
      <w:proofErr w:type="spellStart"/>
      <w:r w:rsidRPr="000A614B">
        <w:rPr>
          <w:lang w:val="en-NZ"/>
        </w:rPr>
        <w:t>MetSat</w:t>
      </w:r>
      <w:proofErr w:type="spellEnd"/>
      <w:r w:rsidRPr="000A614B">
        <w:rPr>
          <w:lang w:val="en-NZ"/>
        </w:rPr>
        <w:t xml:space="preserve"> over EESS, as currently contained in the Radio Regulations, is retained and that the protection of primary services in the frequency band and in adjacent frequency bands is ensured.</w:t>
      </w:r>
    </w:p>
    <w:p w14:paraId="5CFD4F3C" w14:textId="77777777" w:rsidR="000A614B" w:rsidRPr="000A614B" w:rsidRDefault="000A614B" w:rsidP="000A614B">
      <w:pPr>
        <w:jc w:val="both"/>
        <w:rPr>
          <w:lang w:val="en-NZ"/>
        </w:rPr>
      </w:pPr>
      <w:r w:rsidRPr="000A614B">
        <w:rPr>
          <w:lang w:val="en-NZ"/>
        </w:rPr>
        <w:t xml:space="preserve">A new Resolution is proposed to protect existing terrestrial services in the band 460-470 MHz by introducing regulatory provisions, including </w:t>
      </w:r>
      <w:proofErr w:type="spellStart"/>
      <w:r w:rsidRPr="000A614B">
        <w:rPr>
          <w:lang w:val="en-NZ"/>
        </w:rPr>
        <w:t>pfd</w:t>
      </w:r>
      <w:proofErr w:type="spellEnd"/>
      <w:r w:rsidRPr="000A614B">
        <w:rPr>
          <w:lang w:val="en-NZ"/>
        </w:rPr>
        <w:t xml:space="preserve"> limits for both non GSO and GSO </w:t>
      </w:r>
      <w:proofErr w:type="spellStart"/>
      <w:r w:rsidRPr="000A614B">
        <w:rPr>
          <w:lang w:val="en-NZ"/>
        </w:rPr>
        <w:t>MetSat</w:t>
      </w:r>
      <w:proofErr w:type="spellEnd"/>
      <w:r w:rsidRPr="000A614B">
        <w:rPr>
          <w:lang w:val="en-NZ"/>
        </w:rPr>
        <w:t xml:space="preserve">/EESS satellites and also grandfathering the existing </w:t>
      </w:r>
      <w:proofErr w:type="spellStart"/>
      <w:r w:rsidRPr="000A614B">
        <w:rPr>
          <w:lang w:val="en-NZ"/>
        </w:rPr>
        <w:t>MetSat</w:t>
      </w:r>
      <w:proofErr w:type="spellEnd"/>
      <w:r w:rsidRPr="000A614B">
        <w:rPr>
          <w:lang w:val="en-NZ"/>
        </w:rPr>
        <w:t>/EESS frequency assignments.</w:t>
      </w:r>
    </w:p>
    <w:p w14:paraId="7CD58E87" w14:textId="77777777" w:rsidR="000A614B" w:rsidRPr="000A614B" w:rsidRDefault="000A614B" w:rsidP="000A614B">
      <w:pPr>
        <w:jc w:val="both"/>
        <w:rPr>
          <w:lang w:val="en-NZ"/>
        </w:rPr>
      </w:pPr>
      <w:r w:rsidRPr="000A614B">
        <w:rPr>
          <w:lang w:val="en-NZ"/>
        </w:rPr>
        <w:t xml:space="preserve">In addition, RR No. 5.290 is proposed to be suppressed since </w:t>
      </w:r>
      <w:proofErr w:type="spellStart"/>
      <w:r w:rsidRPr="000A614B">
        <w:rPr>
          <w:lang w:val="en-NZ"/>
        </w:rPr>
        <w:t>MetSat</w:t>
      </w:r>
      <w:proofErr w:type="spellEnd"/>
      <w:r w:rsidRPr="000A614B">
        <w:rPr>
          <w:lang w:val="en-NZ"/>
        </w:rPr>
        <w:t xml:space="preserve"> and EESS are primary services in the frequency band.</w:t>
      </w:r>
    </w:p>
    <w:p w14:paraId="2EF1B67E" w14:textId="77777777" w:rsidR="002A0111" w:rsidRPr="00441526" w:rsidRDefault="002A0111" w:rsidP="000A614B">
      <w:pPr>
        <w:jc w:val="both"/>
        <w:rPr>
          <w:i/>
          <w:lang w:val="en-NZ" w:eastAsia="ko-KR"/>
        </w:rPr>
      </w:pPr>
    </w:p>
    <w:p w14:paraId="09F2C2FD" w14:textId="1ECA3CA1" w:rsidR="004B075D" w:rsidRDefault="004B075D">
      <w:pPr>
        <w:rPr>
          <w:lang w:val="en-NZ"/>
        </w:rPr>
      </w:pPr>
      <w:r>
        <w:rPr>
          <w:lang w:val="en-NZ"/>
        </w:rPr>
        <w:br w:type="page"/>
      </w:r>
    </w:p>
    <w:p w14:paraId="4F84AB47" w14:textId="77777777" w:rsidR="002A0111" w:rsidRPr="00441526" w:rsidRDefault="002A0111" w:rsidP="002A0111">
      <w:pPr>
        <w:jc w:val="both"/>
        <w:rPr>
          <w:lang w:val="en-NZ"/>
        </w:rPr>
      </w:pPr>
    </w:p>
    <w:p w14:paraId="412F14C3"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594A2AC" w14:textId="77777777" w:rsidR="00564CDE" w:rsidRPr="00564CDE" w:rsidRDefault="00564CDE" w:rsidP="00564CDE">
      <w:pPr>
        <w:ind w:left="-80"/>
        <w:jc w:val="both"/>
        <w:rPr>
          <w:b/>
          <w:i/>
        </w:rPr>
      </w:pPr>
      <w:r w:rsidRPr="00564CDE">
        <w:rPr>
          <w:b/>
          <w:i/>
        </w:rPr>
        <w:t>2.1 Input Documents:</w:t>
      </w:r>
    </w:p>
    <w:p w14:paraId="0231540A" w14:textId="77777777" w:rsidR="00564CDE" w:rsidRPr="00564CDE" w:rsidRDefault="00564CDE" w:rsidP="00564CDE">
      <w:pPr>
        <w:ind w:left="-80"/>
        <w:jc w:val="both"/>
        <w:rPr>
          <w:b/>
        </w:rPr>
      </w:pPr>
    </w:p>
    <w:p w14:paraId="257C6F3F" w14:textId="70A98D24" w:rsidR="00564CDE" w:rsidRPr="00564CDE" w:rsidRDefault="00F10B3A" w:rsidP="00F10B3A">
      <w:pPr>
        <w:ind w:left="-80"/>
      </w:pPr>
      <w:r w:rsidRPr="00441526">
        <w:rPr>
          <w:lang w:val="en-NZ"/>
        </w:rPr>
        <w:t>APG19-</w:t>
      </w:r>
      <w:r>
        <w:rPr>
          <w:lang w:val="en-NZ"/>
        </w:rPr>
        <w:t>5</w:t>
      </w:r>
      <w:r w:rsidRPr="00441526">
        <w:rPr>
          <w:lang w:val="en-NZ"/>
        </w:rPr>
        <w:t>/</w:t>
      </w:r>
      <w:r w:rsidR="00564CDE">
        <w:t xml:space="preserve">INP-38 (IRN), </w:t>
      </w:r>
      <w:r w:rsidRPr="00441526">
        <w:rPr>
          <w:lang w:val="en-NZ"/>
        </w:rPr>
        <w:t>APG19-</w:t>
      </w:r>
      <w:r>
        <w:rPr>
          <w:lang w:val="en-NZ"/>
        </w:rPr>
        <w:t>5</w:t>
      </w:r>
      <w:r w:rsidRPr="00441526">
        <w:rPr>
          <w:lang w:val="en-NZ"/>
        </w:rPr>
        <w:t>/</w:t>
      </w:r>
      <w:r w:rsidR="00564CDE">
        <w:t xml:space="preserve">INP-45 (AUS), </w:t>
      </w:r>
      <w:r w:rsidRPr="00441526">
        <w:rPr>
          <w:lang w:val="en-NZ"/>
        </w:rPr>
        <w:t>APG19-</w:t>
      </w:r>
      <w:r>
        <w:rPr>
          <w:lang w:val="en-NZ"/>
        </w:rPr>
        <w:t>5</w:t>
      </w:r>
      <w:r w:rsidRPr="00441526">
        <w:rPr>
          <w:lang w:val="en-NZ"/>
        </w:rPr>
        <w:t>/</w:t>
      </w:r>
      <w:r w:rsidR="00564CDE">
        <w:t xml:space="preserve">INP-52 (INS), </w:t>
      </w:r>
      <w:r w:rsidRPr="00441526">
        <w:rPr>
          <w:lang w:val="en-NZ"/>
        </w:rPr>
        <w:t>APG19-</w:t>
      </w:r>
      <w:r>
        <w:rPr>
          <w:lang w:val="en-NZ"/>
        </w:rPr>
        <w:t>5</w:t>
      </w:r>
      <w:r w:rsidRPr="00441526">
        <w:rPr>
          <w:lang w:val="en-NZ"/>
        </w:rPr>
        <w:t>/</w:t>
      </w:r>
      <w:r w:rsidR="00564CDE">
        <w:t xml:space="preserve">INP-68 (CHN), </w:t>
      </w:r>
      <w:r w:rsidRPr="00441526">
        <w:rPr>
          <w:lang w:val="en-NZ"/>
        </w:rPr>
        <w:t>APG19-</w:t>
      </w:r>
      <w:r>
        <w:rPr>
          <w:lang w:val="en-NZ"/>
        </w:rPr>
        <w:t>5</w:t>
      </w:r>
      <w:r w:rsidRPr="00441526">
        <w:rPr>
          <w:lang w:val="en-NZ"/>
        </w:rPr>
        <w:t>/</w:t>
      </w:r>
      <w:r w:rsidR="00564CDE">
        <w:t xml:space="preserve">INP-84 (J), </w:t>
      </w:r>
      <w:r w:rsidRPr="00441526">
        <w:rPr>
          <w:lang w:val="en-NZ"/>
        </w:rPr>
        <w:t>APG19-</w:t>
      </w:r>
      <w:r>
        <w:rPr>
          <w:lang w:val="en-NZ"/>
        </w:rPr>
        <w:t>5</w:t>
      </w:r>
      <w:r w:rsidRPr="00441526">
        <w:rPr>
          <w:lang w:val="en-NZ"/>
        </w:rPr>
        <w:t>/</w:t>
      </w:r>
      <w:r w:rsidR="00564CDE">
        <w:t xml:space="preserve">INP-109 (MLA-THA), </w:t>
      </w:r>
      <w:r w:rsidRPr="00441526">
        <w:rPr>
          <w:lang w:val="en-NZ"/>
        </w:rPr>
        <w:t>APG19-</w:t>
      </w:r>
      <w:r>
        <w:rPr>
          <w:lang w:val="en-NZ"/>
        </w:rPr>
        <w:t>5</w:t>
      </w:r>
      <w:r w:rsidRPr="00441526">
        <w:rPr>
          <w:lang w:val="en-NZ"/>
        </w:rPr>
        <w:t>/</w:t>
      </w:r>
      <w:r w:rsidR="00564CDE">
        <w:t>INP-135 (IND)</w:t>
      </w:r>
    </w:p>
    <w:p w14:paraId="5A5C80EA" w14:textId="77777777" w:rsidR="00564CDE" w:rsidRPr="00564CDE" w:rsidRDefault="00564CDE" w:rsidP="00564CDE">
      <w:pPr>
        <w:ind w:left="-80"/>
        <w:jc w:val="both"/>
        <w:rPr>
          <w:b/>
        </w:rPr>
      </w:pPr>
    </w:p>
    <w:p w14:paraId="29CA769D" w14:textId="77777777" w:rsidR="00564CDE" w:rsidRPr="00564CDE" w:rsidRDefault="00564CDE" w:rsidP="00564CDE">
      <w:pPr>
        <w:ind w:left="-80"/>
        <w:jc w:val="both"/>
        <w:rPr>
          <w:b/>
          <w:i/>
        </w:rPr>
      </w:pPr>
      <w:r w:rsidRPr="00564CDE">
        <w:rPr>
          <w:b/>
          <w:i/>
        </w:rPr>
        <w:t>2.2 Information Documents:</w:t>
      </w:r>
    </w:p>
    <w:p w14:paraId="57352433" w14:textId="77777777" w:rsidR="00564CDE" w:rsidRPr="00564CDE" w:rsidRDefault="00564CDE" w:rsidP="00564CDE">
      <w:pPr>
        <w:ind w:left="-80"/>
        <w:jc w:val="both"/>
        <w:rPr>
          <w:b/>
        </w:rPr>
      </w:pPr>
    </w:p>
    <w:p w14:paraId="5B795E81" w14:textId="77777777" w:rsidR="00F10B3A" w:rsidRDefault="00F10B3A" w:rsidP="00F10B3A">
      <w:pPr>
        <w:rPr>
          <w:lang w:eastAsia="ko-KR"/>
        </w:rPr>
      </w:pPr>
      <w:r w:rsidRPr="00441526">
        <w:rPr>
          <w:lang w:val="en-NZ"/>
        </w:rPr>
        <w:t>APG19-</w:t>
      </w:r>
      <w:r>
        <w:rPr>
          <w:lang w:val="en-NZ"/>
        </w:rPr>
        <w:t>5</w:t>
      </w:r>
      <w:r w:rsidRPr="00441526">
        <w:rPr>
          <w:lang w:val="en-NZ"/>
        </w:rPr>
        <w:t>/</w:t>
      </w:r>
      <w:r>
        <w:rPr>
          <w:lang w:eastAsia="ko-KR"/>
        </w:rPr>
        <w:t xml:space="preserve">INF-01 (WMO), </w:t>
      </w:r>
      <w:r w:rsidRPr="00441526">
        <w:rPr>
          <w:lang w:val="en-NZ"/>
        </w:rPr>
        <w:t>APG19-</w:t>
      </w:r>
      <w:r>
        <w:rPr>
          <w:lang w:val="en-NZ"/>
        </w:rPr>
        <w:t>5</w:t>
      </w:r>
      <w:r w:rsidRPr="00441526">
        <w:rPr>
          <w:lang w:val="en-NZ"/>
        </w:rPr>
        <w:t>/</w:t>
      </w:r>
      <w:r>
        <w:rPr>
          <w:lang w:eastAsia="ko-KR"/>
        </w:rPr>
        <w:t xml:space="preserve">INF-18 (CEPT), </w:t>
      </w:r>
      <w:r w:rsidRPr="00441526">
        <w:rPr>
          <w:lang w:val="en-NZ"/>
        </w:rPr>
        <w:t>APG19-</w:t>
      </w:r>
      <w:r>
        <w:rPr>
          <w:lang w:val="en-NZ"/>
        </w:rPr>
        <w:t>5</w:t>
      </w:r>
      <w:r w:rsidRPr="00441526">
        <w:rPr>
          <w:lang w:val="en-NZ"/>
        </w:rPr>
        <w:t>/</w:t>
      </w:r>
      <w:r>
        <w:rPr>
          <w:lang w:eastAsia="ko-KR"/>
        </w:rPr>
        <w:t xml:space="preserve">INF-19 (ATU), </w:t>
      </w:r>
    </w:p>
    <w:p w14:paraId="05C0829B" w14:textId="31F33D09" w:rsidR="00F10B3A" w:rsidRDefault="00F10B3A" w:rsidP="00F10B3A">
      <w:pPr>
        <w:rPr>
          <w:lang w:eastAsia="ko-KR"/>
        </w:rPr>
      </w:pPr>
      <w:r w:rsidRPr="00441526">
        <w:rPr>
          <w:lang w:val="en-NZ"/>
        </w:rPr>
        <w:t>APG19-</w:t>
      </w:r>
      <w:r>
        <w:rPr>
          <w:lang w:val="en-NZ"/>
        </w:rPr>
        <w:t>5</w:t>
      </w:r>
      <w:r w:rsidRPr="00441526">
        <w:rPr>
          <w:lang w:val="en-NZ"/>
        </w:rPr>
        <w:t>/</w:t>
      </w:r>
      <w:r>
        <w:rPr>
          <w:lang w:eastAsia="ko-KR"/>
        </w:rPr>
        <w:t>INF-20 (CITEL)</w:t>
      </w:r>
    </w:p>
    <w:p w14:paraId="6D7029EE" w14:textId="77777777" w:rsidR="002A0111" w:rsidRDefault="002A0111" w:rsidP="003D3D47">
      <w:pPr>
        <w:jc w:val="both"/>
        <w:rPr>
          <w:b/>
          <w:lang w:val="en-NZ" w:eastAsia="ko-KR"/>
        </w:rPr>
      </w:pPr>
    </w:p>
    <w:p w14:paraId="03057B83" w14:textId="77777777" w:rsidR="002A0111" w:rsidRDefault="002A0111" w:rsidP="002A0111">
      <w:pPr>
        <w:rPr>
          <w:b/>
          <w:lang w:val="en-NZ" w:eastAsia="ko-KR"/>
        </w:rPr>
      </w:pPr>
    </w:p>
    <w:p w14:paraId="72215681" w14:textId="46C8C213" w:rsidR="002A0111"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4E1A8419" w14:textId="77777777" w:rsidR="00E666F2" w:rsidRPr="00441526" w:rsidRDefault="00E666F2" w:rsidP="002A0111">
      <w:pPr>
        <w:rPr>
          <w:b/>
          <w:lang w:val="en-NZ" w:eastAsia="ko-KR"/>
        </w:rPr>
      </w:pPr>
    </w:p>
    <w:p w14:paraId="1DDA5E85" w14:textId="0096E213" w:rsidR="002A0111" w:rsidRPr="00E666F2" w:rsidRDefault="002A0111" w:rsidP="00E666F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60B0A4C" w14:textId="196E24EB" w:rsidR="00E666F2" w:rsidRPr="00E666F2" w:rsidRDefault="002A0111" w:rsidP="00E666F2">
      <w:pPr>
        <w:jc w:val="both"/>
        <w:rPr>
          <w:b/>
          <w:lang w:val="en-NZ" w:eastAsia="ko-KR"/>
        </w:rPr>
      </w:pPr>
      <w:r w:rsidRPr="00441526">
        <w:rPr>
          <w:b/>
          <w:lang w:val="en-NZ" w:eastAsia="ko-KR"/>
        </w:rPr>
        <w:t xml:space="preserve">3.1.1 </w:t>
      </w:r>
      <w:r w:rsidRPr="00441526">
        <w:rPr>
          <w:b/>
          <w:lang w:val="en-NZ" w:eastAsia="ko-KR"/>
        </w:rPr>
        <w:tab/>
      </w:r>
      <w:r w:rsidR="00536007">
        <w:rPr>
          <w:b/>
          <w:lang w:val="en-NZ" w:eastAsia="ko-KR"/>
        </w:rPr>
        <w:t>Iran</w:t>
      </w:r>
      <w:r w:rsidRPr="00441526">
        <w:rPr>
          <w:b/>
          <w:lang w:val="en-NZ" w:eastAsia="ko-KR"/>
        </w:rPr>
        <w:t xml:space="preserve"> </w:t>
      </w:r>
      <w:r w:rsidRPr="00E666F2">
        <w:rPr>
          <w:b/>
          <w:lang w:val="en-NZ" w:eastAsia="ko-KR"/>
        </w:rPr>
        <w:t xml:space="preserve">- </w:t>
      </w:r>
      <w:r w:rsidRPr="00441526">
        <w:rPr>
          <w:b/>
          <w:lang w:val="en-NZ" w:eastAsia="ko-KR"/>
        </w:rPr>
        <w:t>Document APG19-</w:t>
      </w:r>
      <w:r w:rsidR="00CD256B">
        <w:rPr>
          <w:b/>
          <w:lang w:val="en-NZ" w:eastAsia="ko-KR"/>
        </w:rPr>
        <w:t>5</w:t>
      </w:r>
      <w:r w:rsidRPr="00441526">
        <w:rPr>
          <w:b/>
          <w:lang w:val="en-NZ" w:eastAsia="ko-KR"/>
        </w:rPr>
        <w:t>/INP-</w:t>
      </w:r>
      <w:r w:rsidR="00882EE1">
        <w:rPr>
          <w:b/>
          <w:lang w:val="en-NZ" w:eastAsia="ko-KR"/>
        </w:rPr>
        <w:t>38</w:t>
      </w:r>
    </w:p>
    <w:p w14:paraId="7338187C" w14:textId="77777777" w:rsidR="00E666F2" w:rsidRPr="00E666F2" w:rsidRDefault="00E666F2" w:rsidP="00E666F2">
      <w:pPr>
        <w:jc w:val="both"/>
        <w:rPr>
          <w:bCs/>
          <w:lang w:val="en-NZ" w:eastAsia="ko-KR"/>
        </w:rPr>
      </w:pPr>
      <w:r w:rsidRPr="00E666F2">
        <w:rPr>
          <w:bCs/>
          <w:lang w:val="en-NZ" w:eastAsia="ko-KR"/>
        </w:rPr>
        <w:t>In Methods B and C , the proposed limits for protection of terrestrial services apply to all space stations in the meteorological-satellite service and Earth exploration-satellite service in the frequency band 460-470 MHz for which a complete notification information or coordination request was received by the Radiocommunication Bureau after the end of WRC</w:t>
      </w:r>
      <w:r w:rsidRPr="00E666F2">
        <w:rPr>
          <w:bCs/>
          <w:lang w:val="en-NZ" w:eastAsia="ko-KR"/>
        </w:rPr>
        <w:noBreakHyphen/>
        <w:t>19.  However, in Method C, there is a distinct and important context that is not outlined in Method B.</w:t>
      </w:r>
    </w:p>
    <w:p w14:paraId="4A103E1D" w14:textId="77777777" w:rsidR="00E666F2" w:rsidRPr="00E666F2" w:rsidRDefault="00E666F2" w:rsidP="00E666F2">
      <w:pPr>
        <w:jc w:val="both"/>
        <w:rPr>
          <w:bCs/>
          <w:lang w:val="en-NZ" w:eastAsia="ko-KR"/>
        </w:rPr>
      </w:pPr>
    </w:p>
    <w:p w14:paraId="6C2BBC1E" w14:textId="77777777" w:rsidR="00E666F2" w:rsidRPr="00E666F2" w:rsidRDefault="00E666F2" w:rsidP="00E666F2">
      <w:pPr>
        <w:jc w:val="both"/>
        <w:rPr>
          <w:bCs/>
          <w:lang w:val="en-NZ" w:eastAsia="ko-KR"/>
        </w:rPr>
      </w:pPr>
      <w:r w:rsidRPr="00E666F2">
        <w:rPr>
          <w:bCs/>
          <w:lang w:val="en-NZ" w:eastAsia="ko-KR"/>
        </w:rPr>
        <w:t xml:space="preserve"> In Method C, in the draft new Resolution [B13] (refer to section 4/1.3/5.3) in the instructs to the Director of the Radiocommunication Bureau, it is outlined that " for satellite systems of </w:t>
      </w:r>
      <w:proofErr w:type="spellStart"/>
      <w:r w:rsidRPr="00E666F2">
        <w:rPr>
          <w:bCs/>
          <w:lang w:val="en-NZ" w:eastAsia="ko-KR"/>
        </w:rPr>
        <w:t>MetSat</w:t>
      </w:r>
      <w:proofErr w:type="spellEnd"/>
      <w:r w:rsidRPr="00E666F2">
        <w:rPr>
          <w:bCs/>
          <w:lang w:val="en-NZ" w:eastAsia="ko-KR"/>
        </w:rPr>
        <w:t xml:space="preserve"> (space-to-Earth) and EESS (space-to-Earth), which space stations do not meet the </w:t>
      </w:r>
      <w:proofErr w:type="spellStart"/>
      <w:r w:rsidRPr="00E666F2">
        <w:rPr>
          <w:bCs/>
          <w:lang w:val="en-NZ" w:eastAsia="ko-KR"/>
        </w:rPr>
        <w:t>pfd</w:t>
      </w:r>
      <w:proofErr w:type="spellEnd"/>
      <w:r w:rsidRPr="00E666F2">
        <w:rPr>
          <w:bCs/>
          <w:lang w:val="en-NZ" w:eastAsia="ko-KR"/>
        </w:rPr>
        <w:t xml:space="preserve"> limits given in resolves 1, the Bureau shall propose the notifying administration to provide commitment that harmful interference would not be caused to the fixed and mobile service stations". It is further included that " in case of receiving such a commitment, relevant frequency assignments shall have primary status and be published by the Bureau in relevant parts of the BR IFIC with note that the relevant administration has provided commitment not to cause harmful interference to the fixed and mobile service stations " .  Moreover, further details are included in this section if the notifying administration does not provide this commitment and request to operate under No. 4.4. </w:t>
      </w:r>
    </w:p>
    <w:p w14:paraId="64DCC614" w14:textId="77777777" w:rsidR="00E666F2" w:rsidRPr="00E666F2" w:rsidRDefault="00E666F2" w:rsidP="00E666F2">
      <w:pPr>
        <w:jc w:val="both"/>
        <w:rPr>
          <w:bCs/>
          <w:lang w:val="en-NZ" w:eastAsia="ko-KR"/>
        </w:rPr>
      </w:pPr>
    </w:p>
    <w:p w14:paraId="04A7DEC9" w14:textId="77777777" w:rsidR="00E666F2" w:rsidRPr="00E666F2" w:rsidRDefault="00E666F2" w:rsidP="00E666F2">
      <w:pPr>
        <w:jc w:val="both"/>
        <w:rPr>
          <w:bCs/>
          <w:lang w:val="en-NZ" w:eastAsia="ko-KR"/>
        </w:rPr>
      </w:pPr>
      <w:r w:rsidRPr="00E666F2">
        <w:rPr>
          <w:bCs/>
          <w:lang w:val="en-NZ" w:eastAsia="ko-KR"/>
        </w:rPr>
        <w:t xml:space="preserve">Considering the above, it seems that such procedure in Method C is some sort of relaxation or relief for those admirations who are not willing to or might not be able to observe the </w:t>
      </w:r>
      <w:proofErr w:type="spellStart"/>
      <w:r w:rsidRPr="00E666F2">
        <w:rPr>
          <w:bCs/>
          <w:lang w:val="en-NZ" w:eastAsia="ko-KR"/>
        </w:rPr>
        <w:t>pfd</w:t>
      </w:r>
      <w:proofErr w:type="spellEnd"/>
      <w:r w:rsidRPr="00E666F2">
        <w:rPr>
          <w:bCs/>
          <w:lang w:val="en-NZ" w:eastAsia="ko-KR"/>
        </w:rPr>
        <w:t xml:space="preserve"> limits for protection of terrestrial services in the frequency band 460-470 </w:t>
      </w:r>
      <w:proofErr w:type="spellStart"/>
      <w:r w:rsidRPr="00E666F2">
        <w:rPr>
          <w:bCs/>
          <w:lang w:val="en-NZ" w:eastAsia="ko-KR"/>
        </w:rPr>
        <w:t>MHz.</w:t>
      </w:r>
      <w:proofErr w:type="spellEnd"/>
    </w:p>
    <w:p w14:paraId="371A7F9D" w14:textId="77777777" w:rsidR="00E666F2" w:rsidRPr="00E666F2" w:rsidRDefault="00E666F2" w:rsidP="00E666F2">
      <w:pPr>
        <w:jc w:val="both"/>
        <w:rPr>
          <w:bCs/>
          <w:lang w:val="en-NZ" w:eastAsia="ko-KR"/>
        </w:rPr>
      </w:pPr>
    </w:p>
    <w:p w14:paraId="0E9E8587" w14:textId="77777777" w:rsidR="00E666F2" w:rsidRPr="00E666F2" w:rsidRDefault="00E666F2" w:rsidP="00E666F2">
      <w:pPr>
        <w:jc w:val="both"/>
        <w:rPr>
          <w:bCs/>
          <w:lang w:val="en-NZ" w:eastAsia="ko-KR"/>
        </w:rPr>
      </w:pPr>
      <w:r w:rsidRPr="00E666F2">
        <w:rPr>
          <w:bCs/>
          <w:lang w:val="en-NZ" w:eastAsia="ko-KR"/>
        </w:rPr>
        <w:t xml:space="preserve">Consequently, this administration prefers Method B (with option 2 for ADD 5.A13 and option 1 for ADD 5.B13). However, we may also consider method C, if there would be assurance that the commitment mentioned in the method is fully implemented. </w:t>
      </w:r>
    </w:p>
    <w:p w14:paraId="11F9803F" w14:textId="77777777" w:rsidR="002A0111" w:rsidRPr="00441526" w:rsidRDefault="002A0111" w:rsidP="003D3D47">
      <w:pPr>
        <w:jc w:val="both"/>
        <w:rPr>
          <w:lang w:val="en-NZ"/>
        </w:rPr>
      </w:pPr>
    </w:p>
    <w:p w14:paraId="1E928E23" w14:textId="27D57F5A" w:rsidR="00536007" w:rsidRDefault="002A0111" w:rsidP="00536007">
      <w:pPr>
        <w:jc w:val="both"/>
      </w:pPr>
      <w:r w:rsidRPr="00441526">
        <w:rPr>
          <w:b/>
          <w:lang w:val="en-NZ" w:eastAsia="ko-KR"/>
        </w:rPr>
        <w:t xml:space="preserve">3.1.2 </w:t>
      </w:r>
      <w:r w:rsidRPr="00441526">
        <w:rPr>
          <w:b/>
          <w:lang w:val="en-NZ" w:eastAsia="ko-KR"/>
        </w:rPr>
        <w:tab/>
      </w:r>
      <w:r w:rsidR="00536007">
        <w:rPr>
          <w:b/>
          <w:lang w:val="en-NZ" w:eastAsia="ko-KR"/>
        </w:rPr>
        <w:t>Australia</w:t>
      </w:r>
      <w:r w:rsidR="00536007" w:rsidRPr="00441526">
        <w:rPr>
          <w:b/>
          <w:lang w:val="en-NZ" w:eastAsia="ko-KR"/>
        </w:rPr>
        <w:t xml:space="preserve"> </w:t>
      </w:r>
      <w:r w:rsidR="00536007" w:rsidRPr="00441526">
        <w:t xml:space="preserve">- </w:t>
      </w:r>
      <w:r w:rsidR="00536007" w:rsidRPr="00441526">
        <w:rPr>
          <w:b/>
          <w:lang w:val="en-NZ" w:eastAsia="ko-KR"/>
        </w:rPr>
        <w:t>Document APG19-</w:t>
      </w:r>
      <w:r w:rsidR="00536007">
        <w:rPr>
          <w:b/>
          <w:lang w:val="en-NZ" w:eastAsia="ko-KR"/>
        </w:rPr>
        <w:t>5</w:t>
      </w:r>
      <w:r w:rsidR="00536007" w:rsidRPr="00441526">
        <w:rPr>
          <w:b/>
          <w:lang w:val="en-NZ" w:eastAsia="ko-KR"/>
        </w:rPr>
        <w:t>/INP-</w:t>
      </w:r>
      <w:r w:rsidR="00536007">
        <w:rPr>
          <w:b/>
          <w:lang w:val="en-NZ" w:eastAsia="ko-KR"/>
        </w:rPr>
        <w:t>45</w:t>
      </w:r>
      <w:r w:rsidR="00536007">
        <w:t xml:space="preserve"> </w:t>
      </w:r>
    </w:p>
    <w:p w14:paraId="620B048A" w14:textId="04251B3C" w:rsidR="00536007" w:rsidRDefault="00536007" w:rsidP="00536007">
      <w:pPr>
        <w:jc w:val="both"/>
      </w:pPr>
      <w:r>
        <w:t xml:space="preserve">Australia supports the upgrading of the secondary </w:t>
      </w:r>
      <w:proofErr w:type="spellStart"/>
      <w:r>
        <w:t>MetSat</w:t>
      </w:r>
      <w:proofErr w:type="spellEnd"/>
      <w:r>
        <w:t xml:space="preserve"> (space-to-Earth) allocation to primary, and adding a primary EESS (space-to-Earth) allocation in the frequency band 460-470 MHz, while providing protection and not imposing any additional constraints on existing primary services to which the frequency band is already allocated and in the adjacent frequency bands, and maintaining the conditions contained in Radio Regulations No. 5.289, subject to appropriate ITU R sharing and compatibility studies.</w:t>
      </w:r>
    </w:p>
    <w:p w14:paraId="5BBA117A" w14:textId="77777777" w:rsidR="00536007" w:rsidRDefault="00536007" w:rsidP="00536007">
      <w:pPr>
        <w:jc w:val="both"/>
      </w:pPr>
    </w:p>
    <w:p w14:paraId="0C3D4C04" w14:textId="376BABEC" w:rsidR="00536007" w:rsidRDefault="00536007" w:rsidP="00536007">
      <w:pPr>
        <w:jc w:val="both"/>
      </w:pPr>
      <w:r>
        <w:t xml:space="preserve">Australia supports Method C in the CPM Report, while noting that </w:t>
      </w:r>
      <w:r w:rsidRPr="00C2210A">
        <w:rPr>
          <w:i/>
        </w:rPr>
        <w:t>resolves</w:t>
      </w:r>
      <w:r>
        <w:t xml:space="preserve"> 5 in the associated Draft New Resolution [B13] requires further consideration as it may act to restrict future development of the </w:t>
      </w:r>
      <w:proofErr w:type="spellStart"/>
      <w:r>
        <w:t>MetSat</w:t>
      </w:r>
      <w:proofErr w:type="spellEnd"/>
      <w:r>
        <w:t xml:space="preserve"> service and EESS in the frequency band.</w:t>
      </w:r>
    </w:p>
    <w:p w14:paraId="38AF5F58" w14:textId="3AE97368" w:rsidR="00E666F2" w:rsidRDefault="00E666F2" w:rsidP="00536007">
      <w:pPr>
        <w:jc w:val="both"/>
      </w:pPr>
    </w:p>
    <w:p w14:paraId="60D83896" w14:textId="551EA0B7" w:rsidR="00E666F2" w:rsidRDefault="00E666F2" w:rsidP="00E666F2">
      <w:pPr>
        <w:jc w:val="both"/>
      </w:pPr>
      <w:r w:rsidRPr="00441526">
        <w:rPr>
          <w:b/>
          <w:lang w:val="en-NZ" w:eastAsia="ko-KR"/>
        </w:rPr>
        <w:t>3.1.</w:t>
      </w:r>
      <w:r w:rsidR="00882EE1">
        <w:rPr>
          <w:b/>
          <w:lang w:val="en-NZ" w:eastAsia="ko-KR"/>
        </w:rPr>
        <w:t>3</w:t>
      </w:r>
      <w:r w:rsidRPr="00441526">
        <w:rPr>
          <w:b/>
          <w:lang w:val="en-NZ" w:eastAsia="ko-KR"/>
        </w:rPr>
        <w:t xml:space="preserve"> </w:t>
      </w:r>
      <w:r w:rsidRPr="00441526">
        <w:rPr>
          <w:b/>
          <w:lang w:val="en-NZ" w:eastAsia="ko-KR"/>
        </w:rPr>
        <w:tab/>
      </w:r>
      <w:r w:rsidR="00782BFB">
        <w:rPr>
          <w:b/>
          <w:lang w:val="en-NZ" w:eastAsia="ko-KR"/>
        </w:rPr>
        <w:t>Indonesia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sidR="00882EE1">
        <w:rPr>
          <w:b/>
          <w:lang w:val="en-NZ" w:eastAsia="ko-KR"/>
        </w:rPr>
        <w:t>52</w:t>
      </w:r>
      <w:r>
        <w:t xml:space="preserve"> </w:t>
      </w:r>
    </w:p>
    <w:p w14:paraId="6AB6A9D0" w14:textId="77777777" w:rsidR="00782BFB" w:rsidRDefault="00782BFB" w:rsidP="00782BFB">
      <w:pPr>
        <w:jc w:val="both"/>
        <w:rPr>
          <w:bCs/>
          <w:lang w:eastAsia="ko-KR"/>
        </w:rPr>
      </w:pPr>
      <w:r>
        <w:rPr>
          <w:bCs/>
          <w:lang w:eastAsia="ko-KR"/>
        </w:rPr>
        <w:t xml:space="preserve">In the APG 19-4 Indonesia supported </w:t>
      </w:r>
      <w:r w:rsidRPr="009343EE">
        <w:rPr>
          <w:bCs/>
          <w:lang w:eastAsia="ko-KR"/>
        </w:rPr>
        <w:t xml:space="preserve">APT </w:t>
      </w:r>
      <w:r>
        <w:rPr>
          <w:bCs/>
          <w:lang w:eastAsia="ko-KR"/>
        </w:rPr>
        <w:t>views that:</w:t>
      </w:r>
    </w:p>
    <w:p w14:paraId="7C9D861F" w14:textId="77777777" w:rsidR="00782BFB" w:rsidRPr="009343EE" w:rsidRDefault="00782BFB" w:rsidP="00782BFB">
      <w:pPr>
        <w:jc w:val="both"/>
        <w:rPr>
          <w:bCs/>
          <w:lang w:eastAsia="ko-KR"/>
        </w:rPr>
      </w:pPr>
      <w:r>
        <w:rPr>
          <w:bCs/>
          <w:lang w:eastAsia="ko-KR"/>
        </w:rPr>
        <w:t>F</w:t>
      </w:r>
      <w:r w:rsidRPr="009343EE">
        <w:rPr>
          <w:bCs/>
          <w:lang w:eastAsia="ko-KR"/>
        </w:rPr>
        <w:t xml:space="preserve">urther ITU-R sharing and compatibility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w:t>
      </w:r>
      <w:proofErr w:type="spellStart"/>
      <w:r w:rsidRPr="009343EE">
        <w:rPr>
          <w:bCs/>
          <w:lang w:eastAsia="ko-KR"/>
        </w:rPr>
        <w:t>MHz.</w:t>
      </w:r>
      <w:proofErr w:type="spellEnd"/>
      <w:r w:rsidRPr="009343EE">
        <w:rPr>
          <w:bCs/>
          <w:lang w:eastAsia="ko-KR"/>
        </w:rPr>
        <w:t xml:space="preserve">  </w:t>
      </w:r>
    </w:p>
    <w:p w14:paraId="422F533D" w14:textId="77777777" w:rsidR="00782BFB" w:rsidRDefault="00782BFB" w:rsidP="00782BFB">
      <w:pPr>
        <w:jc w:val="both"/>
        <w:rPr>
          <w:bCs/>
          <w:lang w:eastAsia="ko-KR"/>
        </w:rPr>
      </w:pPr>
    </w:p>
    <w:p w14:paraId="2C992E4B" w14:textId="77777777" w:rsidR="00782BFB" w:rsidRDefault="00782BFB" w:rsidP="00782BFB">
      <w:pPr>
        <w:jc w:val="both"/>
        <w:rPr>
          <w:bCs/>
          <w:lang w:eastAsia="ko-KR"/>
        </w:rPr>
      </w:pPr>
      <w:r w:rsidRPr="009343EE">
        <w:rPr>
          <w:bCs/>
          <w:lang w:eastAsia="ko-KR"/>
        </w:rPr>
        <w:t xml:space="preserve">The appropriate measures are necessary to be taken to ensure the protection of existing fixed, mobile, and broadcasting services and not to constraint their future developments in the frequency band 460-470 MHz and in the adjacent bands, and stations of the EESS and </w:t>
      </w:r>
      <w:proofErr w:type="spellStart"/>
      <w:r w:rsidRPr="009343EE">
        <w:rPr>
          <w:bCs/>
          <w:lang w:eastAsia="ko-KR"/>
        </w:rPr>
        <w:t>MetSat</w:t>
      </w:r>
      <w:proofErr w:type="spellEnd"/>
      <w:r w:rsidRPr="009343EE">
        <w:rPr>
          <w:bCs/>
          <w:lang w:eastAsia="ko-KR"/>
        </w:rPr>
        <w:t xml:space="preserve"> services shall not claim protection from the fixed, mobile, and broadcasting services. APT members also note that the priority of </w:t>
      </w:r>
      <w:proofErr w:type="spellStart"/>
      <w:r w:rsidRPr="009343EE">
        <w:rPr>
          <w:bCs/>
          <w:lang w:eastAsia="ko-KR"/>
        </w:rPr>
        <w:t>MetSat</w:t>
      </w:r>
      <w:proofErr w:type="spellEnd"/>
      <w:r w:rsidRPr="009343EE">
        <w:rPr>
          <w:bCs/>
          <w:lang w:eastAsia="ko-KR"/>
        </w:rPr>
        <w:t xml:space="preserve"> over EESS should be maintained. </w:t>
      </w:r>
    </w:p>
    <w:p w14:paraId="0B91B2A4" w14:textId="77777777" w:rsidR="00782BFB" w:rsidRPr="009343EE" w:rsidRDefault="00782BFB" w:rsidP="00782BFB">
      <w:pPr>
        <w:jc w:val="both"/>
        <w:rPr>
          <w:bCs/>
          <w:lang w:eastAsia="ko-KR"/>
        </w:rPr>
      </w:pPr>
    </w:p>
    <w:p w14:paraId="6F7EE450" w14:textId="64EAA437" w:rsidR="00782BFB" w:rsidRDefault="00A856AC" w:rsidP="00782BFB">
      <w:pPr>
        <w:jc w:val="both"/>
        <w:rPr>
          <w:bCs/>
          <w:lang w:eastAsia="ko-KR"/>
        </w:rPr>
      </w:pPr>
      <w:r>
        <w:rPr>
          <w:bCs/>
          <w:lang w:eastAsia="ko-KR"/>
        </w:rPr>
        <w:t>APT M</w:t>
      </w:r>
      <w:r w:rsidR="00782BFB" w:rsidRPr="009343EE">
        <w:rPr>
          <w:bCs/>
          <w:lang w:eastAsia="ko-KR"/>
        </w:rPr>
        <w:t xml:space="preserve">embers note that further studies are required to address appropriate </w:t>
      </w:r>
      <w:proofErr w:type="gramStart"/>
      <w:r w:rsidR="00782BFB" w:rsidRPr="009343EE">
        <w:rPr>
          <w:bCs/>
          <w:lang w:eastAsia="ko-KR"/>
        </w:rPr>
        <w:t>I/N</w:t>
      </w:r>
      <w:proofErr w:type="gramEnd"/>
      <w:r w:rsidR="00782BFB" w:rsidRPr="009343EE">
        <w:rPr>
          <w:bCs/>
          <w:lang w:eastAsia="ko-KR"/>
        </w:rPr>
        <w:t xml:space="preserve"> protection criteria with regard to the PPDR systems. The decision on which Method to adopt will depend on the outcome of those studies.</w:t>
      </w:r>
    </w:p>
    <w:p w14:paraId="7209CDBE" w14:textId="77777777" w:rsidR="00782BFB" w:rsidRPr="009343EE" w:rsidRDefault="00782BFB" w:rsidP="00782BFB">
      <w:pPr>
        <w:jc w:val="both"/>
        <w:rPr>
          <w:bCs/>
          <w:lang w:eastAsia="ko-KR"/>
        </w:rPr>
      </w:pPr>
    </w:p>
    <w:p w14:paraId="7D26D573" w14:textId="67ED192E" w:rsidR="00782BFB" w:rsidRDefault="00782BFB" w:rsidP="00782BFB">
      <w:pPr>
        <w:jc w:val="both"/>
        <w:rPr>
          <w:bCs/>
          <w:lang w:eastAsia="ko-KR"/>
        </w:rPr>
      </w:pPr>
      <w:r w:rsidRPr="009343EE">
        <w:rPr>
          <w:bCs/>
          <w:lang w:eastAsia="ko-KR"/>
        </w:rPr>
        <w:t xml:space="preserve">Stations of the EESS and </w:t>
      </w:r>
      <w:proofErr w:type="spellStart"/>
      <w:r w:rsidRPr="009343EE">
        <w:rPr>
          <w:bCs/>
          <w:lang w:eastAsia="ko-KR"/>
        </w:rPr>
        <w:t>MetSat</w:t>
      </w:r>
      <w:proofErr w:type="spellEnd"/>
      <w:r w:rsidRPr="009343EE">
        <w:rPr>
          <w:bCs/>
          <w:lang w:eastAsia="ko-KR"/>
        </w:rPr>
        <w:t xml:space="preserve"> services shall not cause harmful interference to fixed, mobile, and broadcasting services in 460-4</w:t>
      </w:r>
      <w:r w:rsidR="00A856AC">
        <w:rPr>
          <w:bCs/>
          <w:lang w:eastAsia="ko-KR"/>
        </w:rPr>
        <w:t>70 MHz and adjacent bands. APT M</w:t>
      </w:r>
      <w:r w:rsidRPr="009343EE">
        <w:rPr>
          <w:bCs/>
          <w:lang w:eastAsia="ko-KR"/>
        </w:rPr>
        <w:t xml:space="preserve">embers note that further studies are required to address appropriate </w:t>
      </w:r>
      <w:proofErr w:type="spellStart"/>
      <w:r w:rsidRPr="009343EE">
        <w:rPr>
          <w:bCs/>
          <w:lang w:eastAsia="ko-KR"/>
        </w:rPr>
        <w:t>pfd</w:t>
      </w:r>
      <w:proofErr w:type="spellEnd"/>
      <w:r w:rsidRPr="009343EE">
        <w:rPr>
          <w:bCs/>
          <w:lang w:eastAsia="ko-KR"/>
        </w:rPr>
        <w:t xml:space="preserve"> limits for GSO and non-GSO satellites to ensure this. </w:t>
      </w:r>
    </w:p>
    <w:p w14:paraId="55D79E7A" w14:textId="77777777" w:rsidR="00782BFB" w:rsidRDefault="00782BFB" w:rsidP="00782BFB">
      <w:pPr>
        <w:jc w:val="both"/>
        <w:rPr>
          <w:bCs/>
          <w:lang w:eastAsia="ko-KR"/>
        </w:rPr>
      </w:pPr>
    </w:p>
    <w:p w14:paraId="4BE79858" w14:textId="35D992C1" w:rsidR="00782BFB" w:rsidRDefault="00782BFB" w:rsidP="00782BFB">
      <w:pPr>
        <w:jc w:val="both"/>
        <w:rPr>
          <w:bCs/>
          <w:lang w:eastAsia="ko-KR"/>
        </w:rPr>
      </w:pPr>
      <w:r>
        <w:rPr>
          <w:bCs/>
          <w:lang w:eastAsia="ko-KR"/>
        </w:rPr>
        <w:t xml:space="preserve">Therefore, Indonesia prefers to support </w:t>
      </w:r>
      <w:r w:rsidRPr="00882EE1">
        <w:rPr>
          <w:bCs/>
          <w:lang w:eastAsia="ko-KR"/>
        </w:rPr>
        <w:t>Method C,</w:t>
      </w:r>
      <w:r>
        <w:rPr>
          <w:bCs/>
          <w:lang w:eastAsia="ko-KR"/>
        </w:rPr>
        <w:t xml:space="preserve"> which in essence is:</w:t>
      </w:r>
    </w:p>
    <w:p w14:paraId="0DEBF56C" w14:textId="77777777" w:rsidR="00A856AC" w:rsidRDefault="00A856AC" w:rsidP="00782BFB">
      <w:pPr>
        <w:spacing w:after="120"/>
        <w:jc w:val="both"/>
        <w:rPr>
          <w:bCs/>
          <w:lang w:eastAsia="ko-KR"/>
        </w:rPr>
      </w:pPr>
    </w:p>
    <w:p w14:paraId="0ECC42A3" w14:textId="77777777" w:rsidR="00782BFB" w:rsidRPr="006074E6" w:rsidRDefault="00782BFB" w:rsidP="00782BFB">
      <w:pPr>
        <w:spacing w:after="120"/>
        <w:jc w:val="both"/>
        <w:rPr>
          <w:bCs/>
          <w:lang w:eastAsia="ko-KR"/>
        </w:rPr>
      </w:pPr>
      <w:r w:rsidRPr="006074E6">
        <w:rPr>
          <w:bCs/>
          <w:lang w:eastAsia="ko-KR"/>
        </w:rPr>
        <w:t xml:space="preserve">An upgrade of the </w:t>
      </w:r>
      <w:proofErr w:type="spellStart"/>
      <w:r w:rsidRPr="006074E6">
        <w:rPr>
          <w:bCs/>
          <w:lang w:eastAsia="ko-KR"/>
        </w:rPr>
        <w:t>MetSat</w:t>
      </w:r>
      <w:proofErr w:type="spellEnd"/>
      <w:r w:rsidRPr="006074E6">
        <w:rPr>
          <w:bCs/>
          <w:lang w:eastAsia="ko-KR"/>
        </w:rPr>
        <w:t xml:space="preserve"> (space-to-Earth) allocation from secondary to primary status and a primary EESS (space-to-Earth) allocation could be added in the frequency band 460</w:t>
      </w:r>
      <w:r w:rsidRPr="006074E6">
        <w:rPr>
          <w:bCs/>
          <w:lang w:eastAsia="ko-KR"/>
        </w:rPr>
        <w:noBreakHyphen/>
        <w:t xml:space="preserve">470 MHz provided that the priority of </w:t>
      </w:r>
      <w:proofErr w:type="spellStart"/>
      <w:r w:rsidRPr="006074E6">
        <w:rPr>
          <w:bCs/>
          <w:lang w:eastAsia="ko-KR"/>
        </w:rPr>
        <w:t>MetSat</w:t>
      </w:r>
      <w:proofErr w:type="spellEnd"/>
      <w:r w:rsidRPr="006074E6">
        <w:rPr>
          <w:bCs/>
          <w:lang w:eastAsia="ko-KR"/>
        </w:rPr>
        <w:t xml:space="preserve"> over EESS, as currently contained in the Radio Regulations, is retained and that the protection of primary services in the frequency band and in adjacent frequency bands is ensured.</w:t>
      </w:r>
    </w:p>
    <w:p w14:paraId="76245600" w14:textId="5F4C83BF" w:rsidR="00882EE1" w:rsidRPr="00B92AEA" w:rsidRDefault="00882EE1" w:rsidP="00882EE1">
      <w:pPr>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00B92AEA">
        <w:rPr>
          <w:b/>
          <w:lang w:val="en-NZ" w:eastAsia="ko-KR"/>
        </w:rPr>
        <w:t>China</w:t>
      </w:r>
      <w:r w:rsidRPr="00441526">
        <w:rPr>
          <w:b/>
          <w:lang w:val="en-NZ" w:eastAsia="ko-KR"/>
        </w:rPr>
        <w:t xml:space="preserve"> </w:t>
      </w:r>
      <w:r w:rsidRPr="00B92AEA">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sidR="00B92AEA">
        <w:rPr>
          <w:b/>
          <w:lang w:val="en-NZ" w:eastAsia="ko-KR"/>
        </w:rPr>
        <w:t>68</w:t>
      </w:r>
      <w:r w:rsidRPr="00B92AEA">
        <w:rPr>
          <w:b/>
          <w:lang w:val="en-NZ" w:eastAsia="ko-KR"/>
        </w:rPr>
        <w:t xml:space="preserve"> </w:t>
      </w:r>
    </w:p>
    <w:p w14:paraId="047B9218" w14:textId="77777777" w:rsidR="00B92AEA" w:rsidRPr="00B92AEA" w:rsidRDefault="00B92AEA" w:rsidP="00B92AEA">
      <w:pPr>
        <w:jc w:val="both"/>
        <w:rPr>
          <w:bCs/>
          <w:lang w:val="en-NZ" w:eastAsia="ko-KR"/>
        </w:rPr>
      </w:pPr>
      <w:r w:rsidRPr="00B92AEA">
        <w:rPr>
          <w:rFonts w:hint="eastAsia"/>
          <w:bCs/>
          <w:lang w:val="en-NZ" w:eastAsia="ko-KR"/>
        </w:rPr>
        <w:t xml:space="preserve">Taking into account </w:t>
      </w:r>
      <w:r w:rsidRPr="00B92AEA">
        <w:rPr>
          <w:bCs/>
          <w:lang w:val="en-NZ" w:eastAsia="ko-KR"/>
        </w:rPr>
        <w:t xml:space="preserve">the results </w:t>
      </w:r>
      <w:r w:rsidRPr="00B92AEA">
        <w:rPr>
          <w:rFonts w:hint="eastAsia"/>
          <w:bCs/>
          <w:lang w:val="en-NZ" w:eastAsia="ko-KR"/>
        </w:rPr>
        <w:t xml:space="preserve">of </w:t>
      </w:r>
      <w:r w:rsidRPr="00B92AEA">
        <w:rPr>
          <w:bCs/>
          <w:lang w:val="en-NZ" w:eastAsia="ko-KR"/>
        </w:rPr>
        <w:t>stud</w:t>
      </w:r>
      <w:r w:rsidRPr="00B92AEA">
        <w:rPr>
          <w:rFonts w:hint="eastAsia"/>
          <w:bCs/>
          <w:lang w:val="en-NZ" w:eastAsia="ko-KR"/>
        </w:rPr>
        <w:t>ies</w:t>
      </w:r>
      <w:r w:rsidRPr="00B92AEA">
        <w:rPr>
          <w:bCs/>
          <w:lang w:val="en-NZ" w:eastAsia="ko-KR"/>
        </w:rPr>
        <w:t xml:space="preserve"> conducted by ITU-R with regard to WRC-1</w:t>
      </w:r>
      <w:r w:rsidRPr="00B92AEA">
        <w:rPr>
          <w:rFonts w:hint="eastAsia"/>
          <w:bCs/>
          <w:lang w:val="en-NZ" w:eastAsia="ko-KR"/>
        </w:rPr>
        <w:t>9</w:t>
      </w:r>
      <w:r w:rsidRPr="00B92AEA">
        <w:rPr>
          <w:bCs/>
          <w:lang w:val="en-NZ" w:eastAsia="ko-KR"/>
        </w:rPr>
        <w:t xml:space="preserve"> Agenda item </w:t>
      </w:r>
      <w:r w:rsidRPr="00B92AEA">
        <w:rPr>
          <w:rFonts w:hint="eastAsia"/>
          <w:bCs/>
          <w:lang w:val="en-NZ" w:eastAsia="ko-KR"/>
        </w:rPr>
        <w:t>1</w:t>
      </w:r>
      <w:r w:rsidRPr="00B92AEA">
        <w:rPr>
          <w:bCs/>
          <w:lang w:val="en-NZ" w:eastAsia="ko-KR"/>
        </w:rPr>
        <w:t>.3</w:t>
      </w:r>
      <w:r w:rsidRPr="00B92AEA">
        <w:rPr>
          <w:rFonts w:hint="eastAsia"/>
          <w:bCs/>
          <w:lang w:val="en-NZ" w:eastAsia="ko-KR"/>
        </w:rPr>
        <w:t xml:space="preserve"> and APT Preliminary Views</w:t>
      </w:r>
      <w:r w:rsidRPr="00B92AEA">
        <w:rPr>
          <w:bCs/>
          <w:lang w:val="en-NZ" w:eastAsia="ko-KR"/>
        </w:rPr>
        <w:t>,</w:t>
      </w:r>
      <w:r w:rsidRPr="00B92AEA">
        <w:rPr>
          <w:rFonts w:hint="eastAsia"/>
          <w:bCs/>
          <w:lang w:val="en-NZ" w:eastAsia="ko-KR"/>
        </w:rPr>
        <w:t xml:space="preserve"> </w:t>
      </w:r>
      <w:r w:rsidRPr="00B92AEA">
        <w:rPr>
          <w:bCs/>
          <w:lang w:val="en-NZ" w:eastAsia="ko-KR"/>
        </w:rPr>
        <w:t>China does not oppose Method C.</w:t>
      </w:r>
    </w:p>
    <w:p w14:paraId="28FD3EB7" w14:textId="77777777" w:rsidR="00E666F2" w:rsidRDefault="00E666F2" w:rsidP="00536007">
      <w:pPr>
        <w:jc w:val="both"/>
      </w:pPr>
    </w:p>
    <w:p w14:paraId="7A58F2AC" w14:textId="2FC11CED" w:rsidR="00B92AEA" w:rsidRDefault="00B92AEA" w:rsidP="00B92AEA">
      <w:pPr>
        <w:jc w:val="both"/>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sidR="00B76D71">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sidR="00C405F5">
        <w:rPr>
          <w:b/>
          <w:lang w:val="en-NZ" w:eastAsia="ko-KR"/>
        </w:rPr>
        <w:t>84</w:t>
      </w:r>
      <w:r>
        <w:t xml:space="preserve"> </w:t>
      </w:r>
    </w:p>
    <w:p w14:paraId="1AB39691" w14:textId="77777777" w:rsidR="00B76D71" w:rsidRDefault="00B76D71" w:rsidP="00B76D71">
      <w:pPr>
        <w:rPr>
          <w:rFonts w:eastAsiaTheme="minorEastAsia"/>
          <w:lang w:eastAsia="ja-JP"/>
        </w:rPr>
      </w:pPr>
      <w:r>
        <w:rPr>
          <w:rFonts w:eastAsiaTheme="minorEastAsia"/>
          <w:lang w:eastAsia="ja-JP"/>
        </w:rPr>
        <w:t xml:space="preserve">Japan </w:t>
      </w:r>
      <w:r>
        <w:rPr>
          <w:rFonts w:eastAsiaTheme="minorEastAsia" w:hint="eastAsia"/>
          <w:lang w:eastAsia="ja-JP"/>
        </w:rPr>
        <w:t xml:space="preserve">is of the view that the existing systems of the </w:t>
      </w:r>
      <w:proofErr w:type="spellStart"/>
      <w:r>
        <w:rPr>
          <w:rFonts w:eastAsiaTheme="minorEastAsia" w:hint="eastAsia"/>
          <w:lang w:eastAsia="ja-JP"/>
        </w:rPr>
        <w:t>MetSat</w:t>
      </w:r>
      <w:proofErr w:type="spellEnd"/>
      <w:r>
        <w:rPr>
          <w:rFonts w:eastAsiaTheme="minorEastAsia" w:hint="eastAsia"/>
          <w:lang w:eastAsia="ja-JP"/>
        </w:rPr>
        <w:t xml:space="preserve"> (space-to-Earth) and the EESS (space-to-Earth) in the frequency band 460 </w:t>
      </w:r>
      <w:r w:rsidRPr="00392EF2">
        <w:rPr>
          <w:rFonts w:eastAsiaTheme="minorEastAsia"/>
          <w:lang w:eastAsia="ja-JP"/>
        </w:rPr>
        <w:t>-</w:t>
      </w:r>
      <w:r w:rsidRPr="00392EF2">
        <w:rPr>
          <w:rFonts w:eastAsiaTheme="minorEastAsia" w:hint="eastAsia"/>
          <w:lang w:eastAsia="ja-JP"/>
        </w:rPr>
        <w:t xml:space="preserve"> 470 MHz should be ensured</w:t>
      </w:r>
      <w:r w:rsidRPr="00392EF2">
        <w:rPr>
          <w:rFonts w:eastAsiaTheme="minorEastAsia"/>
          <w:lang w:eastAsia="ja-JP"/>
        </w:rPr>
        <w:t xml:space="preserve"> to operate continuously</w:t>
      </w:r>
      <w:r w:rsidRPr="00392EF2">
        <w:rPr>
          <w:rFonts w:eastAsiaTheme="minorEastAsia" w:hint="eastAsia"/>
          <w:lang w:eastAsia="ja-JP"/>
        </w:rPr>
        <w:t xml:space="preserve"> while</w:t>
      </w:r>
      <w:r>
        <w:rPr>
          <w:rFonts w:eastAsiaTheme="minorEastAsia" w:hint="eastAsia"/>
          <w:lang w:eastAsia="ja-JP"/>
        </w:rPr>
        <w:t xml:space="preserve"> protecting adequately </w:t>
      </w:r>
      <w:r>
        <w:rPr>
          <w:rFonts w:eastAsiaTheme="minorEastAsia"/>
          <w:lang w:eastAsia="ja-JP"/>
        </w:rPr>
        <w:t xml:space="preserve">the </w:t>
      </w:r>
      <w:r>
        <w:rPr>
          <w:rFonts w:eastAsiaTheme="minorEastAsia" w:hint="eastAsia"/>
          <w:lang w:eastAsia="ja-JP"/>
        </w:rPr>
        <w:t xml:space="preserve">incumbent </w:t>
      </w:r>
      <w:r>
        <w:rPr>
          <w:rFonts w:eastAsiaTheme="minorEastAsia"/>
          <w:lang w:eastAsia="ja-JP"/>
        </w:rPr>
        <w:t xml:space="preserve">primary services in the </w:t>
      </w:r>
      <w:r>
        <w:rPr>
          <w:rFonts w:eastAsiaTheme="minorEastAsia" w:hint="eastAsia"/>
          <w:lang w:eastAsia="ja-JP"/>
        </w:rPr>
        <w:t>band</w:t>
      </w:r>
      <w:r>
        <w:rPr>
          <w:rFonts w:eastAsiaTheme="minorEastAsia"/>
          <w:lang w:eastAsia="ja-JP"/>
        </w:rPr>
        <w:t xml:space="preserve"> from </w:t>
      </w:r>
      <w:r>
        <w:rPr>
          <w:rFonts w:eastAsiaTheme="minorEastAsia" w:hint="eastAsia"/>
          <w:lang w:eastAsia="ja-JP"/>
        </w:rPr>
        <w:t>new primary allocation</w:t>
      </w:r>
      <w:r>
        <w:rPr>
          <w:rFonts w:eastAsiaTheme="minorEastAsia"/>
          <w:lang w:eastAsia="ja-JP"/>
        </w:rPr>
        <w:t xml:space="preserve"> </w:t>
      </w:r>
      <w:r>
        <w:rPr>
          <w:rFonts w:eastAsiaTheme="minorEastAsia" w:hint="eastAsia"/>
          <w:lang w:eastAsia="ja-JP"/>
        </w:rPr>
        <w:t xml:space="preserve">to </w:t>
      </w:r>
      <w:r>
        <w:rPr>
          <w:rFonts w:eastAsiaTheme="minorEastAsia"/>
          <w:lang w:eastAsia="ja-JP"/>
        </w:rPr>
        <w:t>EESS</w:t>
      </w:r>
      <w:r>
        <w:rPr>
          <w:rFonts w:eastAsiaTheme="minorEastAsia" w:hint="eastAsia"/>
          <w:lang w:eastAsia="ja-JP"/>
        </w:rPr>
        <w:t xml:space="preserve"> </w:t>
      </w:r>
      <w:r>
        <w:rPr>
          <w:rFonts w:eastAsiaTheme="minorEastAsia"/>
          <w:lang w:eastAsia="ja-JP"/>
        </w:rPr>
        <w:t>(space-to-Earth) and upgrading</w:t>
      </w:r>
      <w:r>
        <w:rPr>
          <w:rFonts w:eastAsiaTheme="minorEastAsia" w:hint="eastAsia"/>
          <w:lang w:eastAsia="ja-JP"/>
        </w:rPr>
        <w:t xml:space="preserve"> allocation to the </w:t>
      </w:r>
      <w:proofErr w:type="spellStart"/>
      <w:r>
        <w:rPr>
          <w:rFonts w:eastAsiaTheme="minorEastAsia"/>
          <w:lang w:eastAsia="ja-JP"/>
        </w:rPr>
        <w:t>MetSat</w:t>
      </w:r>
      <w:proofErr w:type="spellEnd"/>
      <w:r>
        <w:rPr>
          <w:rFonts w:eastAsiaTheme="minorEastAsia"/>
          <w:lang w:eastAsia="ja-JP"/>
        </w:rPr>
        <w:t xml:space="preserve"> (space-to-Earth) to primary status</w:t>
      </w:r>
      <w:r>
        <w:rPr>
          <w:rFonts w:eastAsiaTheme="minorEastAsia" w:hint="eastAsia"/>
          <w:lang w:eastAsia="ja-JP"/>
        </w:rPr>
        <w:t>.</w:t>
      </w:r>
      <w:r>
        <w:rPr>
          <w:rFonts w:eastAsiaTheme="minorEastAsia"/>
          <w:lang w:eastAsia="ja-JP"/>
        </w:rPr>
        <w:t xml:space="preserve"> </w:t>
      </w:r>
      <w:r>
        <w:rPr>
          <w:rFonts w:eastAsiaTheme="minorEastAsia" w:hint="eastAsia"/>
          <w:lang w:eastAsia="ja-JP"/>
        </w:rPr>
        <w:t xml:space="preserve">Taking into account this view, any Method in the CPM report for Agenda Item 1.3 is acceptable. In particular, under the condition that </w:t>
      </w:r>
      <w:r>
        <w:rPr>
          <w:rFonts w:eastAsiaTheme="minorEastAsia"/>
          <w:lang w:eastAsia="ja-JP"/>
        </w:rPr>
        <w:t>restriction</w:t>
      </w:r>
      <w:r>
        <w:rPr>
          <w:rFonts w:eastAsiaTheme="minorEastAsia" w:hint="eastAsia"/>
          <w:lang w:eastAsia="ja-JP"/>
        </w:rPr>
        <w:t xml:space="preserve">s are not imposed on existing systems in operation under the </w:t>
      </w:r>
      <w:proofErr w:type="spellStart"/>
      <w:r>
        <w:rPr>
          <w:rFonts w:eastAsiaTheme="minorEastAsia" w:hint="eastAsia"/>
          <w:lang w:eastAsia="ja-JP"/>
        </w:rPr>
        <w:t>MetSat</w:t>
      </w:r>
      <w:proofErr w:type="spellEnd"/>
      <w:r>
        <w:rPr>
          <w:rFonts w:eastAsiaTheme="minorEastAsia" w:hint="eastAsia"/>
          <w:lang w:eastAsia="ja-JP"/>
        </w:rPr>
        <w:t xml:space="preserve"> (space-to-Earth) and the EESS (space-to-Earth), </w:t>
      </w:r>
      <w:r>
        <w:rPr>
          <w:rFonts w:eastAsiaTheme="minorEastAsia"/>
          <w:lang w:eastAsia="ja-JP"/>
        </w:rPr>
        <w:t>Japan supports the Method B or</w:t>
      </w:r>
      <w:r>
        <w:rPr>
          <w:rFonts w:eastAsiaTheme="minorEastAsia" w:hint="eastAsia"/>
          <w:lang w:eastAsia="ja-JP"/>
        </w:rPr>
        <w:t xml:space="preserve"> Method</w:t>
      </w:r>
      <w:r>
        <w:rPr>
          <w:rFonts w:eastAsiaTheme="minorEastAsia"/>
          <w:lang w:eastAsia="ja-JP"/>
        </w:rPr>
        <w:t xml:space="preserve"> C</w:t>
      </w:r>
      <w:r>
        <w:rPr>
          <w:rFonts w:eastAsiaTheme="minorEastAsia" w:hint="eastAsia"/>
          <w:lang w:eastAsia="ja-JP"/>
        </w:rPr>
        <w:t>.</w:t>
      </w:r>
    </w:p>
    <w:p w14:paraId="76A3E63B" w14:textId="77777777" w:rsidR="00B76D71" w:rsidRDefault="00B76D71" w:rsidP="00B76D71">
      <w:pPr>
        <w:jc w:val="both"/>
        <w:rPr>
          <w:rFonts w:eastAsiaTheme="minorEastAsia"/>
          <w:lang w:eastAsia="ja-JP"/>
        </w:rPr>
      </w:pPr>
    </w:p>
    <w:p w14:paraId="393EEFF7" w14:textId="7E3A00D9" w:rsidR="002D4C8D" w:rsidRDefault="002D4C8D" w:rsidP="002D4C8D">
      <w:pPr>
        <w:jc w:val="both"/>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sidR="00927845">
        <w:rPr>
          <w:b/>
          <w:lang w:val="en-NZ" w:eastAsia="ko-KR"/>
        </w:rPr>
        <w:t>Malaysia-Thailand</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sidR="00927845" w:rsidRPr="00927845">
        <w:rPr>
          <w:b/>
          <w:lang w:val="en-NZ" w:eastAsia="ko-KR"/>
        </w:rPr>
        <w:t>109</w:t>
      </w:r>
    </w:p>
    <w:p w14:paraId="00EA8949" w14:textId="77777777" w:rsidR="00927845" w:rsidRDefault="00927845" w:rsidP="00927845">
      <w:pPr>
        <w:jc w:val="both"/>
      </w:pPr>
      <w:r>
        <w:lastRenderedPageBreak/>
        <w:t xml:space="preserve">Since the studies contained in the ITU-R Report SA.2429-0 has determined the </w:t>
      </w:r>
      <w:proofErr w:type="spellStart"/>
      <w:r>
        <w:t>pfd</w:t>
      </w:r>
      <w:proofErr w:type="spellEnd"/>
      <w:r>
        <w:t xml:space="preserve"> limits for both  non-GSO and GSO </w:t>
      </w:r>
      <w:proofErr w:type="spellStart"/>
      <w:r>
        <w:t>MetSat</w:t>
      </w:r>
      <w:proofErr w:type="spellEnd"/>
      <w:r>
        <w:t xml:space="preserve"> and EESS satellites in the frequency band 460-470 MHz which will ensure the protection of incumbent primary allocated services in this band and adjacent bands, Malaysia and Thailand support the proposal to upgrade the allocation for </w:t>
      </w:r>
      <w:proofErr w:type="spellStart"/>
      <w:r>
        <w:t>MetSat</w:t>
      </w:r>
      <w:proofErr w:type="spellEnd"/>
      <w:r>
        <w:t xml:space="preserve"> (space-to-Earth) from secondary to primary status and addition of primary allocation for EESS (space-to-Earth) in the frequency band 460-470 MHz, provided that the priority of </w:t>
      </w:r>
      <w:proofErr w:type="spellStart"/>
      <w:r>
        <w:t>MetSat</w:t>
      </w:r>
      <w:proofErr w:type="spellEnd"/>
      <w:r>
        <w:t xml:space="preserve"> over EESS is retained as currently contained in the Radio Regulations.  In addition, earth stations in the </w:t>
      </w:r>
      <w:proofErr w:type="spellStart"/>
      <w:r>
        <w:t>MetSat</w:t>
      </w:r>
      <w:proofErr w:type="spellEnd"/>
      <w:r>
        <w:t xml:space="preserve"> (space-to-Earth) and EESS (space-to-Earth) shall not claim protection from stations of the fixed and mobile services in the frequency band 460-470 MHz, and shall not claim protection from stations of the broadcasting service operating in the adjacent band.  Finally, Malaysia and </w:t>
      </w:r>
      <w:proofErr w:type="gramStart"/>
      <w:r>
        <w:t>Thailand  also</w:t>
      </w:r>
      <w:proofErr w:type="gramEnd"/>
      <w:r>
        <w:t xml:space="preserve"> support the introduction of a new Resolution to address all regulatory actions and procedures in order to simply the footnote in RR.</w:t>
      </w:r>
    </w:p>
    <w:p w14:paraId="40A15C68" w14:textId="77777777" w:rsidR="00927845" w:rsidRDefault="00927845" w:rsidP="00927845">
      <w:pPr>
        <w:jc w:val="both"/>
      </w:pPr>
    </w:p>
    <w:p w14:paraId="0962E60A" w14:textId="623FB74E" w:rsidR="00927845" w:rsidRDefault="00927845" w:rsidP="00927845">
      <w:pPr>
        <w:jc w:val="both"/>
      </w:pPr>
      <w:r>
        <w:t>Therefore, Malaysia and Thailand support Method C of the CPM Report.</w:t>
      </w:r>
    </w:p>
    <w:p w14:paraId="416825C5" w14:textId="44190EF4" w:rsidR="00600094" w:rsidRDefault="00600094" w:rsidP="00927845">
      <w:pPr>
        <w:jc w:val="both"/>
      </w:pPr>
    </w:p>
    <w:p w14:paraId="3BF0336C" w14:textId="5B3AB72A" w:rsidR="00600094" w:rsidRPr="00B92AEA" w:rsidRDefault="00600094" w:rsidP="00600094">
      <w:pPr>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Pr>
          <w:b/>
          <w:lang w:val="en-NZ" w:eastAsia="ko-KR"/>
        </w:rPr>
        <w:t>India</w:t>
      </w:r>
      <w:r w:rsidRPr="00441526">
        <w:rPr>
          <w:b/>
          <w:lang w:val="en-NZ" w:eastAsia="ko-KR"/>
        </w:rPr>
        <w:t xml:space="preserve"> </w:t>
      </w:r>
      <w:r w:rsidRPr="00B92AEA">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135</w:t>
      </w:r>
      <w:r w:rsidRPr="00B92AEA">
        <w:rPr>
          <w:b/>
          <w:lang w:val="en-NZ" w:eastAsia="ko-KR"/>
        </w:rPr>
        <w:t xml:space="preserve"> </w:t>
      </w:r>
    </w:p>
    <w:p w14:paraId="01A827D3" w14:textId="77777777" w:rsidR="00497C19" w:rsidRDefault="00497C19" w:rsidP="00497C19">
      <w:r w:rsidRPr="0042498F">
        <w:t xml:space="preserve">In order to protect terrestrial services, </w:t>
      </w:r>
      <w:proofErr w:type="spellStart"/>
      <w:r w:rsidRPr="0042498F">
        <w:t>pfd</w:t>
      </w:r>
      <w:proofErr w:type="spellEnd"/>
      <w:r w:rsidRPr="0042498F">
        <w:t xml:space="preserve"> limits are </w:t>
      </w:r>
      <w:r>
        <w:t>to be revised</w:t>
      </w:r>
      <w:r w:rsidRPr="0042498F">
        <w:t xml:space="preserve"> for both non-GSO</w:t>
      </w:r>
      <w:r>
        <w:t xml:space="preserve"> and GSO </w:t>
      </w:r>
      <w:proofErr w:type="spellStart"/>
      <w:r>
        <w:t>MetSat</w:t>
      </w:r>
      <w:proofErr w:type="spellEnd"/>
      <w:r>
        <w:t>/EESS satellites. Hence, preliminary view proposed is as below.</w:t>
      </w:r>
    </w:p>
    <w:p w14:paraId="147EA1A3" w14:textId="77777777" w:rsidR="00497C19" w:rsidRPr="00AD0A13" w:rsidRDefault="00497C19" w:rsidP="00497C19">
      <w:pPr>
        <w:tabs>
          <w:tab w:val="left" w:pos="600"/>
        </w:tabs>
        <w:rPr>
          <w:b/>
          <w:bCs/>
        </w:rPr>
      </w:pPr>
      <w:r w:rsidRPr="00AD0A13">
        <w:rPr>
          <w:b/>
          <w:bCs/>
        </w:rPr>
        <w:t xml:space="preserve">Method </w:t>
      </w:r>
      <w:proofErr w:type="gramStart"/>
      <w:r w:rsidRPr="00AD0A13">
        <w:rPr>
          <w:b/>
          <w:bCs/>
        </w:rPr>
        <w:t>B</w:t>
      </w:r>
      <w:r>
        <w:rPr>
          <w:b/>
          <w:bCs/>
        </w:rPr>
        <w:t xml:space="preserve">  (</w:t>
      </w:r>
      <w:proofErr w:type="gramEnd"/>
      <w:r>
        <w:rPr>
          <w:b/>
          <w:bCs/>
        </w:rPr>
        <w:t>Option 2)</w:t>
      </w:r>
    </w:p>
    <w:p w14:paraId="0C3F5152" w14:textId="77777777" w:rsidR="002A0111" w:rsidRPr="00441526" w:rsidRDefault="002A0111" w:rsidP="003D3D47">
      <w:pPr>
        <w:jc w:val="both"/>
        <w:rPr>
          <w:lang w:val="en-NZ"/>
        </w:rPr>
      </w:pPr>
    </w:p>
    <w:p w14:paraId="741F7F64" w14:textId="77777777" w:rsidR="002A0111" w:rsidRPr="00441526" w:rsidRDefault="002A0111" w:rsidP="002A0111">
      <w:pPr>
        <w:rPr>
          <w:lang w:val="en-NZ"/>
        </w:rPr>
      </w:pPr>
    </w:p>
    <w:p w14:paraId="4A3FD56E" w14:textId="78E1423A" w:rsidR="002A0111" w:rsidRPr="00441526" w:rsidRDefault="002A0111" w:rsidP="00B760F7">
      <w:pPr>
        <w:spacing w:after="120"/>
        <w:jc w:val="both"/>
        <w:rPr>
          <w:i/>
          <w:u w:val="single"/>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E3434AB" w14:textId="61926A20" w:rsidR="002A0111" w:rsidRDefault="009A1015" w:rsidP="00B760F7">
      <w:pPr>
        <w:jc w:val="both"/>
        <w:rPr>
          <w:lang w:val="en-NZ"/>
        </w:rPr>
      </w:pPr>
      <w:r>
        <w:rPr>
          <w:lang w:val="en-NZ"/>
        </w:rPr>
        <w:t xml:space="preserve">The discussion about Method to satisfy the Agenda Item, and </w:t>
      </w:r>
      <w:r w:rsidR="006C68F9">
        <w:rPr>
          <w:lang w:val="en-NZ"/>
        </w:rPr>
        <w:t xml:space="preserve">the </w:t>
      </w:r>
      <w:r>
        <w:rPr>
          <w:lang w:val="en-NZ"/>
        </w:rPr>
        <w:t xml:space="preserve">comments on each Method </w:t>
      </w:r>
      <w:r w:rsidR="006C68F9">
        <w:rPr>
          <w:lang w:val="en-NZ"/>
        </w:rPr>
        <w:t>are</w:t>
      </w:r>
      <w:r>
        <w:rPr>
          <w:lang w:val="en-NZ"/>
        </w:rPr>
        <w:t xml:space="preserve"> listed in the following table:</w:t>
      </w:r>
    </w:p>
    <w:p w14:paraId="24C3F2FC" w14:textId="0C4D7854" w:rsidR="00567FD8" w:rsidRDefault="00567FD8" w:rsidP="00567FD8">
      <w:pPr>
        <w:jc w:val="both"/>
        <w:rPr>
          <w:lang w:val="en-NZ"/>
        </w:rPr>
      </w:pPr>
    </w:p>
    <w:tbl>
      <w:tblPr>
        <w:tblStyle w:val="TableGrid"/>
        <w:tblW w:w="9214" w:type="dxa"/>
        <w:tblInd w:w="-5" w:type="dxa"/>
        <w:tblLook w:val="04A0" w:firstRow="1" w:lastRow="0" w:firstColumn="1" w:lastColumn="0" w:noHBand="0" w:noVBand="1"/>
      </w:tblPr>
      <w:tblGrid>
        <w:gridCol w:w="704"/>
        <w:gridCol w:w="3102"/>
        <w:gridCol w:w="5408"/>
      </w:tblGrid>
      <w:tr w:rsidR="00E93EC5" w14:paraId="4A79F09B" w14:textId="77777777" w:rsidTr="00BB48B9">
        <w:tc>
          <w:tcPr>
            <w:tcW w:w="704" w:type="dxa"/>
            <w:vAlign w:val="center"/>
          </w:tcPr>
          <w:p w14:paraId="66450FFB" w14:textId="77777777" w:rsidR="00BB7850" w:rsidRPr="00BB48B9" w:rsidRDefault="00BB7850" w:rsidP="00E93EC5">
            <w:pPr>
              <w:jc w:val="center"/>
              <w:rPr>
                <w:b/>
                <w:bCs/>
                <w:lang w:val="en-NZ"/>
              </w:rPr>
            </w:pPr>
          </w:p>
        </w:tc>
        <w:tc>
          <w:tcPr>
            <w:tcW w:w="3102" w:type="dxa"/>
            <w:vAlign w:val="center"/>
          </w:tcPr>
          <w:p w14:paraId="02830FF1" w14:textId="6245D73A" w:rsidR="00BB7850" w:rsidRPr="00BB48B9" w:rsidRDefault="00BB7850" w:rsidP="00355F30">
            <w:pPr>
              <w:jc w:val="center"/>
              <w:rPr>
                <w:b/>
                <w:bCs/>
                <w:lang w:val="en-NZ"/>
              </w:rPr>
            </w:pPr>
            <w:r w:rsidRPr="00BB48B9">
              <w:rPr>
                <w:b/>
                <w:bCs/>
                <w:lang w:val="en-NZ"/>
              </w:rPr>
              <w:t>Method</w:t>
            </w:r>
            <w:r w:rsidR="00BB48B9">
              <w:rPr>
                <w:b/>
                <w:bCs/>
                <w:lang w:val="en-NZ"/>
              </w:rPr>
              <w:t>s</w:t>
            </w:r>
          </w:p>
        </w:tc>
        <w:tc>
          <w:tcPr>
            <w:tcW w:w="5408" w:type="dxa"/>
            <w:vAlign w:val="center"/>
          </w:tcPr>
          <w:p w14:paraId="79073869" w14:textId="198BD556" w:rsidR="00BB7850" w:rsidRPr="00BB48B9" w:rsidRDefault="00355F30" w:rsidP="00355F30">
            <w:pPr>
              <w:jc w:val="center"/>
              <w:rPr>
                <w:b/>
                <w:bCs/>
                <w:lang w:val="en-NZ"/>
              </w:rPr>
            </w:pPr>
            <w:r w:rsidRPr="00BB48B9">
              <w:rPr>
                <w:b/>
                <w:bCs/>
                <w:lang w:val="en-NZ"/>
              </w:rPr>
              <w:t>A</w:t>
            </w:r>
            <w:r w:rsidR="00BB48B9">
              <w:rPr>
                <w:b/>
                <w:bCs/>
                <w:lang w:val="en-NZ"/>
              </w:rPr>
              <w:t>PT members</w:t>
            </w:r>
          </w:p>
        </w:tc>
      </w:tr>
      <w:tr w:rsidR="00E93EC5" w14:paraId="126579B3" w14:textId="77777777" w:rsidTr="00BB48B9">
        <w:tc>
          <w:tcPr>
            <w:tcW w:w="704" w:type="dxa"/>
            <w:vAlign w:val="center"/>
          </w:tcPr>
          <w:p w14:paraId="46A986B0" w14:textId="2483F566" w:rsidR="00BB7850" w:rsidRDefault="00BB48B9" w:rsidP="00E93EC5">
            <w:pPr>
              <w:jc w:val="center"/>
              <w:rPr>
                <w:lang w:val="en-NZ"/>
              </w:rPr>
            </w:pPr>
            <w:r>
              <w:rPr>
                <w:lang w:val="en-NZ"/>
              </w:rPr>
              <w:t>1</w:t>
            </w:r>
          </w:p>
        </w:tc>
        <w:tc>
          <w:tcPr>
            <w:tcW w:w="3102" w:type="dxa"/>
            <w:vAlign w:val="center"/>
          </w:tcPr>
          <w:p w14:paraId="70A0F722" w14:textId="756A0386" w:rsidR="00BB7850" w:rsidRDefault="00E93EC5" w:rsidP="00355F30">
            <w:pPr>
              <w:jc w:val="center"/>
              <w:rPr>
                <w:lang w:val="en-NZ"/>
              </w:rPr>
            </w:pPr>
            <w:r>
              <w:rPr>
                <w:lang w:val="en-NZ"/>
              </w:rPr>
              <w:t>Method A</w:t>
            </w:r>
            <w:r w:rsidDel="00E93EC5">
              <w:rPr>
                <w:lang w:val="en-NZ"/>
              </w:rPr>
              <w:t xml:space="preserve"> </w:t>
            </w:r>
          </w:p>
        </w:tc>
        <w:tc>
          <w:tcPr>
            <w:tcW w:w="5408" w:type="dxa"/>
            <w:vAlign w:val="center"/>
          </w:tcPr>
          <w:p w14:paraId="6A35D473" w14:textId="0CB31C10" w:rsidR="00BB7850" w:rsidRDefault="00BB48B9" w:rsidP="00355F30">
            <w:pPr>
              <w:jc w:val="center"/>
              <w:rPr>
                <w:lang w:val="en-NZ"/>
              </w:rPr>
            </w:pPr>
            <w:r>
              <w:rPr>
                <w:lang w:val="en-NZ"/>
              </w:rPr>
              <w:t>-</w:t>
            </w:r>
          </w:p>
        </w:tc>
      </w:tr>
      <w:tr w:rsidR="00E93EC5" w14:paraId="02D4404D" w14:textId="77777777" w:rsidTr="00BB48B9">
        <w:tc>
          <w:tcPr>
            <w:tcW w:w="704" w:type="dxa"/>
            <w:vAlign w:val="center"/>
          </w:tcPr>
          <w:p w14:paraId="59FA9042" w14:textId="2FC3EB1A" w:rsidR="00BB7850" w:rsidRDefault="006075AD" w:rsidP="00E93EC5">
            <w:pPr>
              <w:jc w:val="center"/>
              <w:rPr>
                <w:lang w:val="en-NZ"/>
              </w:rPr>
            </w:pPr>
            <w:r>
              <w:rPr>
                <w:lang w:val="en-NZ"/>
              </w:rPr>
              <w:t>2</w:t>
            </w:r>
          </w:p>
        </w:tc>
        <w:tc>
          <w:tcPr>
            <w:tcW w:w="3102" w:type="dxa"/>
            <w:vAlign w:val="center"/>
          </w:tcPr>
          <w:p w14:paraId="7C7D11B5" w14:textId="0A1F1DB0" w:rsidR="00BB7850" w:rsidRDefault="00BB7850" w:rsidP="00355F30">
            <w:pPr>
              <w:jc w:val="center"/>
              <w:rPr>
                <w:lang w:val="en-NZ"/>
              </w:rPr>
            </w:pPr>
            <w:r>
              <w:rPr>
                <w:lang w:val="en-NZ"/>
              </w:rPr>
              <w:t>Method B</w:t>
            </w:r>
          </w:p>
        </w:tc>
        <w:tc>
          <w:tcPr>
            <w:tcW w:w="5408" w:type="dxa"/>
            <w:vAlign w:val="center"/>
          </w:tcPr>
          <w:p w14:paraId="651D55DF" w14:textId="486C4E80" w:rsidR="00BB7850" w:rsidRDefault="00355F30" w:rsidP="00355F30">
            <w:pPr>
              <w:jc w:val="center"/>
              <w:rPr>
                <w:lang w:val="en-NZ"/>
              </w:rPr>
            </w:pPr>
            <w:proofErr w:type="gramStart"/>
            <w:r>
              <w:rPr>
                <w:lang w:val="en-NZ"/>
              </w:rPr>
              <w:t>IND</w:t>
            </w:r>
            <w:r w:rsidR="00BD0462">
              <w:rPr>
                <w:lang w:val="en-NZ"/>
              </w:rPr>
              <w:t>(</w:t>
            </w:r>
            <w:proofErr w:type="gramEnd"/>
            <w:r w:rsidR="00BD0462">
              <w:rPr>
                <w:lang w:val="en-NZ"/>
              </w:rPr>
              <w:t>+notes</w:t>
            </w:r>
            <w:r w:rsidR="00BD3BB1" w:rsidRPr="0042498F">
              <w:t xml:space="preserve"> </w:t>
            </w:r>
            <w:r w:rsidR="00BD3BB1">
              <w:t xml:space="preserve">option </w:t>
            </w:r>
            <w:r w:rsidR="006676F5">
              <w:t>2, and i</w:t>
            </w:r>
            <w:r w:rsidR="00BD3BB1" w:rsidRPr="0042498F">
              <w:t xml:space="preserve">n order to protect terrestrial services, </w:t>
            </w:r>
            <w:proofErr w:type="spellStart"/>
            <w:r w:rsidR="00BD3BB1" w:rsidRPr="0042498F">
              <w:t>pfd</w:t>
            </w:r>
            <w:proofErr w:type="spellEnd"/>
            <w:r w:rsidR="00BD3BB1" w:rsidRPr="0042498F">
              <w:t xml:space="preserve"> limits are </w:t>
            </w:r>
            <w:r w:rsidR="00BD3BB1">
              <w:t>to be revised</w:t>
            </w:r>
            <w:r w:rsidR="00BD3BB1" w:rsidRPr="0042498F">
              <w:t xml:space="preserve"> for both non-GSO</w:t>
            </w:r>
            <w:r w:rsidR="00BD3BB1">
              <w:t xml:space="preserve"> and GSO </w:t>
            </w:r>
            <w:proofErr w:type="spellStart"/>
            <w:r w:rsidR="00BD3BB1">
              <w:t>MetSat</w:t>
            </w:r>
            <w:proofErr w:type="spellEnd"/>
            <w:r w:rsidR="00BD3BB1">
              <w:t>/EESS satellites.</w:t>
            </w:r>
            <w:r w:rsidR="0037010A">
              <w:rPr>
                <w:lang w:val="en-NZ"/>
              </w:rPr>
              <w:t xml:space="preserve"> </w:t>
            </w:r>
            <w:r w:rsidR="00BD0462">
              <w:rPr>
                <w:lang w:val="en-NZ"/>
              </w:rPr>
              <w:t>)</w:t>
            </w:r>
          </w:p>
        </w:tc>
      </w:tr>
      <w:tr w:rsidR="00E93EC5" w14:paraId="56CF66B9" w14:textId="77777777" w:rsidTr="00BB48B9">
        <w:tc>
          <w:tcPr>
            <w:tcW w:w="704" w:type="dxa"/>
            <w:vAlign w:val="center"/>
          </w:tcPr>
          <w:p w14:paraId="23B37309" w14:textId="66C2A939" w:rsidR="00BB7850" w:rsidRDefault="006075AD" w:rsidP="00E93EC5">
            <w:pPr>
              <w:jc w:val="center"/>
              <w:rPr>
                <w:lang w:val="en-NZ"/>
              </w:rPr>
            </w:pPr>
            <w:r>
              <w:rPr>
                <w:lang w:val="en-NZ"/>
              </w:rPr>
              <w:t>3</w:t>
            </w:r>
          </w:p>
        </w:tc>
        <w:tc>
          <w:tcPr>
            <w:tcW w:w="3102" w:type="dxa"/>
            <w:vAlign w:val="center"/>
          </w:tcPr>
          <w:p w14:paraId="3650E86E" w14:textId="7AE59BB8" w:rsidR="00BB7850" w:rsidRDefault="00BB7850" w:rsidP="00355F30">
            <w:pPr>
              <w:jc w:val="center"/>
              <w:rPr>
                <w:lang w:val="en-NZ"/>
              </w:rPr>
            </w:pPr>
            <w:r>
              <w:rPr>
                <w:lang w:val="en-NZ"/>
              </w:rPr>
              <w:t>Method C</w:t>
            </w:r>
          </w:p>
        </w:tc>
        <w:tc>
          <w:tcPr>
            <w:tcW w:w="5408" w:type="dxa"/>
            <w:vAlign w:val="center"/>
          </w:tcPr>
          <w:p w14:paraId="79BFAC21" w14:textId="3EBC372E" w:rsidR="00BB7850" w:rsidRDefault="00BB7850" w:rsidP="00355F30">
            <w:pPr>
              <w:jc w:val="center"/>
              <w:rPr>
                <w:lang w:val="en-NZ"/>
              </w:rPr>
            </w:pPr>
            <w:r>
              <w:rPr>
                <w:lang w:val="en-NZ"/>
              </w:rPr>
              <w:t>IRN</w:t>
            </w:r>
          </w:p>
          <w:p w14:paraId="75090B60" w14:textId="559DAF5C" w:rsidR="00BB7850" w:rsidRDefault="00BB7850" w:rsidP="00355F30">
            <w:pPr>
              <w:jc w:val="center"/>
              <w:rPr>
                <w:lang w:val="en-NZ"/>
              </w:rPr>
            </w:pPr>
            <w:r>
              <w:rPr>
                <w:lang w:val="en-NZ"/>
              </w:rPr>
              <w:t>AUS</w:t>
            </w:r>
          </w:p>
          <w:p w14:paraId="24084A88" w14:textId="77777777" w:rsidR="00BB7850" w:rsidRDefault="00BB7850" w:rsidP="00355F30">
            <w:pPr>
              <w:jc w:val="center"/>
              <w:rPr>
                <w:lang w:val="en-NZ"/>
              </w:rPr>
            </w:pPr>
            <w:r>
              <w:rPr>
                <w:lang w:val="en-NZ"/>
              </w:rPr>
              <w:t>INS</w:t>
            </w:r>
          </w:p>
          <w:p w14:paraId="063B0E39" w14:textId="2626163F" w:rsidR="00355F30" w:rsidRDefault="00355F30" w:rsidP="00355F30">
            <w:pPr>
              <w:jc w:val="center"/>
              <w:rPr>
                <w:lang w:val="en-NZ"/>
              </w:rPr>
            </w:pPr>
            <w:r>
              <w:rPr>
                <w:lang w:val="en-NZ"/>
              </w:rPr>
              <w:t>CHN</w:t>
            </w:r>
          </w:p>
          <w:p w14:paraId="3310605B" w14:textId="14EF1F49" w:rsidR="00355F30" w:rsidRDefault="00355F30" w:rsidP="00355F30">
            <w:pPr>
              <w:jc w:val="center"/>
              <w:rPr>
                <w:lang w:val="en-NZ"/>
              </w:rPr>
            </w:pPr>
            <w:r>
              <w:rPr>
                <w:lang w:val="en-NZ"/>
              </w:rPr>
              <w:t>J</w:t>
            </w:r>
          </w:p>
          <w:p w14:paraId="1B4192E3" w14:textId="77777777" w:rsidR="00355F30" w:rsidRDefault="00355F30" w:rsidP="00355F30">
            <w:pPr>
              <w:jc w:val="center"/>
              <w:rPr>
                <w:lang w:val="en-NZ"/>
              </w:rPr>
            </w:pPr>
            <w:r>
              <w:rPr>
                <w:lang w:val="en-NZ"/>
              </w:rPr>
              <w:t>MLA-THA</w:t>
            </w:r>
          </w:p>
          <w:p w14:paraId="58F18B5E" w14:textId="7783EDAA" w:rsidR="00355F30" w:rsidRDefault="00355F30" w:rsidP="00355F30">
            <w:pPr>
              <w:jc w:val="center"/>
              <w:rPr>
                <w:lang w:val="en-NZ"/>
              </w:rPr>
            </w:pPr>
          </w:p>
        </w:tc>
      </w:tr>
    </w:tbl>
    <w:p w14:paraId="43D55F16" w14:textId="77777777" w:rsidR="009465A6" w:rsidRDefault="009465A6" w:rsidP="003D3D47">
      <w:pPr>
        <w:jc w:val="both"/>
        <w:rPr>
          <w:lang w:val="en-NZ"/>
        </w:rPr>
      </w:pPr>
    </w:p>
    <w:p w14:paraId="6BAD9619" w14:textId="2949606F" w:rsidR="005206E9" w:rsidRPr="008C6276" w:rsidRDefault="005206E9" w:rsidP="00B760F7">
      <w:pPr>
        <w:rPr>
          <w:rFonts w:eastAsiaTheme="minorEastAsia"/>
          <w:lang w:val="en-NZ" w:eastAsia="zh-CN"/>
        </w:rPr>
      </w:pPr>
    </w:p>
    <w:p w14:paraId="03C7854F" w14:textId="77777777" w:rsidR="009B676D" w:rsidRDefault="009B676D">
      <w:pPr>
        <w:rPr>
          <w:b/>
          <w:lang w:val="en-NZ" w:eastAsia="ko-KR"/>
        </w:rPr>
      </w:pPr>
    </w:p>
    <w:p w14:paraId="05FAF473" w14:textId="187F3579" w:rsidR="002A0111" w:rsidRPr="00441526" w:rsidRDefault="002A0111" w:rsidP="00B760F7">
      <w:pPr>
        <w:spacing w:after="120"/>
        <w:jc w:val="both"/>
        <w:rPr>
          <w:i/>
          <w:u w:val="single"/>
          <w:lang w:val="en-NZ"/>
        </w:rPr>
      </w:pPr>
      <w:r w:rsidRPr="00441526">
        <w:rPr>
          <w:b/>
          <w:lang w:val="en-NZ" w:eastAsia="ko-KR"/>
        </w:rPr>
        <w:t xml:space="preserve">4. </w:t>
      </w:r>
      <w:r w:rsidRPr="00441526">
        <w:rPr>
          <w:b/>
          <w:lang w:val="en-NZ" w:eastAsia="ko-KR"/>
        </w:rPr>
        <w:tab/>
        <w:t>APT View(s)</w:t>
      </w:r>
    </w:p>
    <w:p w14:paraId="3747933E" w14:textId="07CE4387" w:rsidR="00E765D4" w:rsidRDefault="00333403" w:rsidP="001A717C">
      <w:pPr>
        <w:jc w:val="both"/>
        <w:rPr>
          <w:lang w:val="en-NZ"/>
        </w:rPr>
      </w:pPr>
      <w:r>
        <w:rPr>
          <w:lang w:val="en-NZ"/>
        </w:rPr>
        <w:t xml:space="preserve">Some </w:t>
      </w:r>
      <w:r w:rsidR="006A73F2">
        <w:rPr>
          <w:lang w:val="en-NZ"/>
        </w:rPr>
        <w:t xml:space="preserve">APT </w:t>
      </w:r>
      <w:r w:rsidR="00A856AC">
        <w:rPr>
          <w:lang w:val="en-NZ"/>
        </w:rPr>
        <w:t>M</w:t>
      </w:r>
      <w:r w:rsidR="006A73F2">
        <w:rPr>
          <w:lang w:val="en-NZ"/>
        </w:rPr>
        <w:t>embers support Method C</w:t>
      </w:r>
      <w:r>
        <w:rPr>
          <w:lang w:val="en-NZ"/>
        </w:rPr>
        <w:t xml:space="preserve"> while </w:t>
      </w:r>
      <w:r w:rsidR="00DE3719">
        <w:rPr>
          <w:lang w:val="en-NZ"/>
        </w:rPr>
        <w:t>some other</w:t>
      </w:r>
      <w:r w:rsidR="00A856AC">
        <w:rPr>
          <w:lang w:val="en-NZ"/>
        </w:rPr>
        <w:t xml:space="preserve"> APT M</w:t>
      </w:r>
      <w:r>
        <w:rPr>
          <w:lang w:val="en-NZ"/>
        </w:rPr>
        <w:t>ember</w:t>
      </w:r>
      <w:r w:rsidR="00A856AC">
        <w:rPr>
          <w:lang w:val="en-NZ"/>
        </w:rPr>
        <w:t>s</w:t>
      </w:r>
      <w:r>
        <w:rPr>
          <w:lang w:val="en-NZ"/>
        </w:rPr>
        <w:t xml:space="preserve"> support </w:t>
      </w:r>
      <w:r w:rsidR="006075AD">
        <w:rPr>
          <w:lang w:val="en-NZ"/>
        </w:rPr>
        <w:t>M</w:t>
      </w:r>
      <w:r>
        <w:rPr>
          <w:lang w:val="en-NZ"/>
        </w:rPr>
        <w:t>ethod B</w:t>
      </w:r>
      <w:r w:rsidR="006075AD">
        <w:rPr>
          <w:lang w:val="en-NZ"/>
        </w:rPr>
        <w:t xml:space="preserve"> </w:t>
      </w:r>
      <w:r w:rsidR="00DD2CF6">
        <w:rPr>
          <w:lang w:val="en-NZ"/>
        </w:rPr>
        <w:t xml:space="preserve">of the </w:t>
      </w:r>
      <w:r w:rsidR="001557FF">
        <w:rPr>
          <w:lang w:val="en-NZ"/>
        </w:rPr>
        <w:t>CPM Report</w:t>
      </w:r>
      <w:r w:rsidR="00DE3719">
        <w:rPr>
          <w:lang w:val="en-NZ"/>
        </w:rPr>
        <w:t>.</w:t>
      </w:r>
    </w:p>
    <w:p w14:paraId="1186894A" w14:textId="173FF2B5" w:rsidR="006E0B0F" w:rsidRPr="00B760F7" w:rsidRDefault="00A856AC" w:rsidP="00A856AC">
      <w:pPr>
        <w:pStyle w:val="Proposal"/>
        <w:jc w:val="both"/>
        <w:rPr>
          <w:b w:val="0"/>
          <w:bCs/>
          <w:lang w:val="en-US"/>
        </w:rPr>
      </w:pPr>
      <w:r>
        <w:rPr>
          <w:b w:val="0"/>
          <w:bCs/>
          <w:lang w:val="en-NZ"/>
        </w:rPr>
        <w:t xml:space="preserve">Some </w:t>
      </w:r>
      <w:r w:rsidR="00E765D4" w:rsidRPr="00B760F7">
        <w:rPr>
          <w:b w:val="0"/>
          <w:bCs/>
          <w:lang w:val="en-NZ"/>
        </w:rPr>
        <w:t xml:space="preserve">APT </w:t>
      </w:r>
      <w:r>
        <w:rPr>
          <w:b w:val="0"/>
          <w:bCs/>
          <w:lang w:val="en-NZ"/>
        </w:rPr>
        <w:t>M</w:t>
      </w:r>
      <w:r w:rsidR="00E765D4" w:rsidRPr="00B760F7">
        <w:rPr>
          <w:b w:val="0"/>
          <w:bCs/>
          <w:lang w:val="en-NZ"/>
        </w:rPr>
        <w:t>ember</w:t>
      </w:r>
      <w:r>
        <w:rPr>
          <w:b w:val="0"/>
          <w:bCs/>
          <w:lang w:val="en-NZ"/>
        </w:rPr>
        <w:t>s are</w:t>
      </w:r>
      <w:r w:rsidR="00CD7F6F" w:rsidRPr="00B760F7">
        <w:rPr>
          <w:b w:val="0"/>
          <w:bCs/>
          <w:lang w:val="en-NZ"/>
        </w:rPr>
        <w:t xml:space="preserve"> of the view that </w:t>
      </w:r>
      <w:proofErr w:type="spellStart"/>
      <w:r w:rsidR="00CD7F6F" w:rsidRPr="00B760F7">
        <w:rPr>
          <w:b w:val="0"/>
          <w:bCs/>
        </w:rPr>
        <w:t>pfd</w:t>
      </w:r>
      <w:proofErr w:type="spellEnd"/>
      <w:r w:rsidR="00CD7F6F" w:rsidRPr="00B760F7">
        <w:rPr>
          <w:b w:val="0"/>
          <w:bCs/>
        </w:rPr>
        <w:t xml:space="preserve"> limits are to be revised for both non-GSO and GSO </w:t>
      </w:r>
      <w:proofErr w:type="spellStart"/>
      <w:r w:rsidR="00CD7F6F" w:rsidRPr="00B760F7">
        <w:rPr>
          <w:b w:val="0"/>
          <w:bCs/>
        </w:rPr>
        <w:t>MetSat</w:t>
      </w:r>
      <w:proofErr w:type="spellEnd"/>
      <w:r w:rsidR="00CD7F6F" w:rsidRPr="00B760F7">
        <w:rPr>
          <w:b w:val="0"/>
          <w:bCs/>
        </w:rPr>
        <w:t>/EESS satellites</w:t>
      </w:r>
      <w:r w:rsidR="006E0B0F" w:rsidRPr="00B760F7">
        <w:rPr>
          <w:b w:val="0"/>
          <w:bCs/>
        </w:rPr>
        <w:t xml:space="preserve"> </w:t>
      </w:r>
      <w:r w:rsidR="006E0B0F">
        <w:rPr>
          <w:b w:val="0"/>
          <w:bCs/>
        </w:rPr>
        <w:t xml:space="preserve">to give </w:t>
      </w:r>
      <w:r w:rsidR="006E0B0F" w:rsidRPr="00B760F7">
        <w:rPr>
          <w:b w:val="0"/>
          <w:bCs/>
          <w:lang w:val="en-US"/>
        </w:rPr>
        <w:t>additional protection need</w:t>
      </w:r>
      <w:r w:rsidR="006E0B0F">
        <w:rPr>
          <w:b w:val="0"/>
          <w:bCs/>
          <w:lang w:val="en-US"/>
        </w:rPr>
        <w:t>ed</w:t>
      </w:r>
      <w:r w:rsidR="006E0B0F" w:rsidRPr="00B760F7">
        <w:rPr>
          <w:b w:val="0"/>
          <w:bCs/>
          <w:lang w:val="en-US"/>
        </w:rPr>
        <w:t xml:space="preserve"> </w:t>
      </w:r>
      <w:r w:rsidR="006E0B0F">
        <w:rPr>
          <w:b w:val="0"/>
          <w:bCs/>
          <w:lang w:val="en-US"/>
        </w:rPr>
        <w:t>by</w:t>
      </w:r>
      <w:r w:rsidR="006E0B0F" w:rsidRPr="00B760F7">
        <w:rPr>
          <w:b w:val="0"/>
          <w:bCs/>
          <w:lang w:val="en-US"/>
        </w:rPr>
        <w:t xml:space="preserve"> mobile services that require higher pro</w:t>
      </w:r>
      <w:r w:rsidR="006E0B0F">
        <w:rPr>
          <w:b w:val="0"/>
          <w:bCs/>
          <w:lang w:val="en-US"/>
        </w:rPr>
        <w:t>t</w:t>
      </w:r>
      <w:r w:rsidR="006E0B0F" w:rsidRPr="00B760F7">
        <w:rPr>
          <w:b w:val="0"/>
          <w:bCs/>
          <w:lang w:val="en-US"/>
        </w:rPr>
        <w:t>ection based on further ITU-R studies</w:t>
      </w:r>
      <w:r w:rsidR="008C6276">
        <w:rPr>
          <w:b w:val="0"/>
          <w:bCs/>
          <w:lang w:val="en-US"/>
        </w:rPr>
        <w:t>.</w:t>
      </w:r>
      <w:bookmarkStart w:id="0" w:name="_GoBack"/>
      <w:bookmarkEnd w:id="0"/>
    </w:p>
    <w:p w14:paraId="6C196536" w14:textId="77777777" w:rsidR="002A0111" w:rsidRPr="00647064" w:rsidRDefault="002A0111" w:rsidP="00B760F7">
      <w:pPr>
        <w:pStyle w:val="ListParagraph"/>
        <w:ind w:left="0"/>
        <w:rPr>
          <w:lang w:val="en-NZ"/>
        </w:rPr>
      </w:pPr>
    </w:p>
    <w:p w14:paraId="254CC17A" w14:textId="2CC90DA4" w:rsidR="00805FD1" w:rsidRDefault="00805FD1">
      <w:pPr>
        <w:rPr>
          <w:lang w:val="en-NZ"/>
        </w:rPr>
      </w:pPr>
      <w:r>
        <w:rPr>
          <w:lang w:val="en-NZ"/>
        </w:rPr>
        <w:br w:type="page"/>
      </w:r>
    </w:p>
    <w:p w14:paraId="381D120A" w14:textId="77777777" w:rsidR="002A0111" w:rsidRPr="00441526" w:rsidRDefault="002A0111" w:rsidP="002A0111">
      <w:pPr>
        <w:rPr>
          <w:lang w:val="en-NZ"/>
        </w:rPr>
      </w:pPr>
    </w:p>
    <w:p w14:paraId="0CA73EB7"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14:paraId="0B0BF887" w14:textId="77777777" w:rsidR="004579BE" w:rsidRDefault="004579BE">
      <w:pPr>
        <w:rPr>
          <w:b/>
          <w:highlight w:val="yellow"/>
          <w:lang w:val="en-NZ"/>
        </w:rPr>
      </w:pPr>
    </w:p>
    <w:bookmarkStart w:id="1" w:name="_MON_1626531255"/>
    <w:bookmarkEnd w:id="1"/>
    <w:p w14:paraId="799F31C8" w14:textId="43FF1FE7" w:rsidR="0086592B" w:rsidRDefault="00B63272">
      <w:pPr>
        <w:rPr>
          <w:b/>
          <w:lang w:val="en-NZ"/>
        </w:rPr>
      </w:pPr>
      <w:r>
        <w:rPr>
          <w:b/>
          <w:noProof/>
          <w:lang w:val="en-NZ"/>
        </w:rPr>
        <w:object w:dxaOrig="1497" w:dyaOrig="935" w14:anchorId="1F411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6.5pt" o:ole="">
            <v:imagedata r:id="rId10" o:title=""/>
          </v:shape>
          <o:OLEObject Type="Embed" ProgID="Word.Document.12" ShapeID="_x0000_i1025" DrawAspect="Icon" ObjectID="_1626810273" r:id="rId11">
            <o:FieldCodes>\s</o:FieldCodes>
          </o:OLEObject>
        </w:object>
      </w:r>
    </w:p>
    <w:sectPr w:rsidR="0086592B"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7493" w14:textId="77777777" w:rsidR="00823570" w:rsidRDefault="00823570">
      <w:r>
        <w:separator/>
      </w:r>
    </w:p>
  </w:endnote>
  <w:endnote w:type="continuationSeparator" w:id="0">
    <w:p w14:paraId="57DB659F" w14:textId="77777777" w:rsidR="00823570" w:rsidRDefault="0082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8C1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CA387"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BE08" w14:textId="62834D0E"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2B6412">
      <w:rPr>
        <w:lang w:eastAsia="ko-KR"/>
      </w:rPr>
      <w:t>OUT-32</w:t>
    </w:r>
    <w:r w:rsidR="00A856AC">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63272">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63272">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7ACA294B" w14:textId="77777777" w:rsidTr="00214673">
      <w:trPr>
        <w:trHeight w:val="406"/>
      </w:trPr>
      <w:tc>
        <w:tcPr>
          <w:tcW w:w="1296" w:type="dxa"/>
          <w:tcBorders>
            <w:top w:val="single" w:sz="8" w:space="0" w:color="auto"/>
            <w:bottom w:val="nil"/>
            <w:right w:val="nil"/>
          </w:tcBorders>
        </w:tcPr>
        <w:p w14:paraId="3D275659"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9285EF6" w14:textId="03E33D74" w:rsidR="0092727B" w:rsidRDefault="00ED22CA" w:rsidP="0092727B">
          <w:pPr>
            <w:pStyle w:val="Footer"/>
            <w:tabs>
              <w:tab w:val="clear" w:pos="4320"/>
              <w:tab w:val="clear" w:pos="8640"/>
            </w:tabs>
          </w:pPr>
          <w:r>
            <w:t xml:space="preserve">Amalia </w:t>
          </w:r>
          <w:proofErr w:type="spellStart"/>
          <w:r>
            <w:t>Syahra</w:t>
          </w:r>
          <w:proofErr w:type="spellEnd"/>
          <w:r w:rsidR="002A0111">
            <w:t>/</w:t>
          </w:r>
          <w:r>
            <w:t>Atmadji W Soewito</w:t>
          </w:r>
        </w:p>
        <w:p w14:paraId="0CCFD9EA" w14:textId="3678E220" w:rsidR="002A0111" w:rsidRPr="002A0111" w:rsidRDefault="002A0111" w:rsidP="0092727B">
          <w:pPr>
            <w:pStyle w:val="Footer"/>
            <w:tabs>
              <w:tab w:val="clear" w:pos="4320"/>
              <w:tab w:val="clear" w:pos="8640"/>
            </w:tabs>
          </w:pPr>
          <w:r>
            <w:t>Chairman, DG AI1.</w:t>
          </w:r>
          <w:r w:rsidR="00ED22CA">
            <w:t>3</w:t>
          </w:r>
          <w:r>
            <w:t xml:space="preserve">/WP </w:t>
          </w:r>
          <w:r w:rsidR="00ED22CA">
            <w:t>4</w:t>
          </w:r>
        </w:p>
      </w:tc>
      <w:tc>
        <w:tcPr>
          <w:tcW w:w="2880" w:type="dxa"/>
          <w:tcBorders>
            <w:top w:val="single" w:sz="8" w:space="0" w:color="auto"/>
            <w:left w:val="nil"/>
            <w:bottom w:val="nil"/>
          </w:tcBorders>
        </w:tcPr>
        <w:p w14:paraId="1CE7919E" w14:textId="36FF0152" w:rsidR="0092727B" w:rsidRPr="0092727B" w:rsidRDefault="0092727B" w:rsidP="0092727B">
          <w:pPr>
            <w:pStyle w:val="Footer"/>
            <w:tabs>
              <w:tab w:val="clear" w:pos="4320"/>
              <w:tab w:val="clear" w:pos="8640"/>
            </w:tabs>
          </w:pPr>
          <w:proofErr w:type="spellStart"/>
          <w:r>
            <w:t>E-mail:</w:t>
          </w:r>
          <w:r w:rsidR="00ED22CA">
            <w:t>amalia@postel.go.id</w:t>
          </w:r>
          <w:proofErr w:type="spellEnd"/>
          <w:r w:rsidR="00ED22CA">
            <w:t>/</w:t>
          </w:r>
        </w:p>
      </w:tc>
    </w:tr>
  </w:tbl>
  <w:p w14:paraId="389F2CB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16990" w14:textId="77777777" w:rsidR="00823570" w:rsidRDefault="00823570">
      <w:r>
        <w:separator/>
      </w:r>
    </w:p>
  </w:footnote>
  <w:footnote w:type="continuationSeparator" w:id="0">
    <w:p w14:paraId="4FFA5010" w14:textId="77777777" w:rsidR="00823570" w:rsidRDefault="0082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BE0C" w14:textId="77777777" w:rsidR="0097693B" w:rsidRDefault="0097693B" w:rsidP="0092727B">
    <w:pPr>
      <w:pStyle w:val="Header"/>
      <w:tabs>
        <w:tab w:val="clear" w:pos="4320"/>
        <w:tab w:val="clear" w:pos="8640"/>
      </w:tabs>
      <w:rPr>
        <w:lang w:eastAsia="ko-KR"/>
      </w:rPr>
    </w:pPr>
  </w:p>
  <w:p w14:paraId="374389CF"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4F16"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36718C3"/>
    <w:multiLevelType w:val="hybridMultilevel"/>
    <w:tmpl w:val="DF7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2354EAD"/>
    <w:multiLevelType w:val="hybridMultilevel"/>
    <w:tmpl w:val="F6E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2167917"/>
    <w:multiLevelType w:val="hybridMultilevel"/>
    <w:tmpl w:val="CB5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3"/>
  </w:num>
  <w:num w:numId="8">
    <w:abstractNumId w:val="1"/>
  </w:num>
  <w:num w:numId="9">
    <w:abstractNumId w:val="21"/>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14"/>
  </w:num>
  <w:num w:numId="18">
    <w:abstractNumId w:val="12"/>
  </w:num>
  <w:num w:numId="19">
    <w:abstractNumId w:val="20"/>
  </w:num>
  <w:num w:numId="20">
    <w:abstractNumId w:val="8"/>
  </w:num>
  <w:num w:numId="21">
    <w:abstractNumId w:val="19"/>
  </w:num>
  <w:num w:numId="22">
    <w:abstractNumId w:val="23"/>
  </w:num>
  <w:num w:numId="23">
    <w:abstractNumId w:val="16"/>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595B"/>
    <w:rsid w:val="00036517"/>
    <w:rsid w:val="00036CC9"/>
    <w:rsid w:val="00040149"/>
    <w:rsid w:val="00070642"/>
    <w:rsid w:val="000713CF"/>
    <w:rsid w:val="00075C14"/>
    <w:rsid w:val="000822B5"/>
    <w:rsid w:val="00094B87"/>
    <w:rsid w:val="00097DC0"/>
    <w:rsid w:val="000A012B"/>
    <w:rsid w:val="000A5418"/>
    <w:rsid w:val="000A614B"/>
    <w:rsid w:val="000D47FB"/>
    <w:rsid w:val="000F345F"/>
    <w:rsid w:val="000F517C"/>
    <w:rsid w:val="000F5540"/>
    <w:rsid w:val="000F7D6C"/>
    <w:rsid w:val="00105F1A"/>
    <w:rsid w:val="001154AE"/>
    <w:rsid w:val="00125FBD"/>
    <w:rsid w:val="001409B2"/>
    <w:rsid w:val="00152636"/>
    <w:rsid w:val="001539DD"/>
    <w:rsid w:val="001557FF"/>
    <w:rsid w:val="00156751"/>
    <w:rsid w:val="00156782"/>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5D7E"/>
    <w:rsid w:val="001E6881"/>
    <w:rsid w:val="001F5947"/>
    <w:rsid w:val="001F7178"/>
    <w:rsid w:val="00202410"/>
    <w:rsid w:val="00214673"/>
    <w:rsid w:val="00214A0C"/>
    <w:rsid w:val="0021588B"/>
    <w:rsid w:val="002161B6"/>
    <w:rsid w:val="002216AC"/>
    <w:rsid w:val="002258C1"/>
    <w:rsid w:val="0023212E"/>
    <w:rsid w:val="00233DF3"/>
    <w:rsid w:val="002475E2"/>
    <w:rsid w:val="002506D2"/>
    <w:rsid w:val="00250DE2"/>
    <w:rsid w:val="00254A1B"/>
    <w:rsid w:val="0026064A"/>
    <w:rsid w:val="00264566"/>
    <w:rsid w:val="00280C01"/>
    <w:rsid w:val="00283CFA"/>
    <w:rsid w:val="0028454D"/>
    <w:rsid w:val="00291C9E"/>
    <w:rsid w:val="002926D4"/>
    <w:rsid w:val="002955C0"/>
    <w:rsid w:val="0029734E"/>
    <w:rsid w:val="002A0111"/>
    <w:rsid w:val="002A3CF5"/>
    <w:rsid w:val="002B06A3"/>
    <w:rsid w:val="002B435C"/>
    <w:rsid w:val="002B447F"/>
    <w:rsid w:val="002B6412"/>
    <w:rsid w:val="002C07DA"/>
    <w:rsid w:val="002C2A49"/>
    <w:rsid w:val="002C7EA9"/>
    <w:rsid w:val="002D4C8D"/>
    <w:rsid w:val="002F575D"/>
    <w:rsid w:val="003113D7"/>
    <w:rsid w:val="00311E8A"/>
    <w:rsid w:val="00333403"/>
    <w:rsid w:val="00342F20"/>
    <w:rsid w:val="003522C1"/>
    <w:rsid w:val="00355F30"/>
    <w:rsid w:val="00360377"/>
    <w:rsid w:val="00366548"/>
    <w:rsid w:val="0037010A"/>
    <w:rsid w:val="0038005B"/>
    <w:rsid w:val="003809C7"/>
    <w:rsid w:val="0038236C"/>
    <w:rsid w:val="0038443A"/>
    <w:rsid w:val="00393DCD"/>
    <w:rsid w:val="00395B40"/>
    <w:rsid w:val="00397FEA"/>
    <w:rsid w:val="003A2006"/>
    <w:rsid w:val="003A6568"/>
    <w:rsid w:val="003A73A9"/>
    <w:rsid w:val="003B4FD1"/>
    <w:rsid w:val="003B6263"/>
    <w:rsid w:val="003B7A82"/>
    <w:rsid w:val="003C29E6"/>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5458F"/>
    <w:rsid w:val="004579BE"/>
    <w:rsid w:val="00462EB8"/>
    <w:rsid w:val="004633B4"/>
    <w:rsid w:val="00473D66"/>
    <w:rsid w:val="00475096"/>
    <w:rsid w:val="00495CED"/>
    <w:rsid w:val="00497C19"/>
    <w:rsid w:val="004A29EE"/>
    <w:rsid w:val="004A2F96"/>
    <w:rsid w:val="004A4BDF"/>
    <w:rsid w:val="004B075D"/>
    <w:rsid w:val="004B3553"/>
    <w:rsid w:val="004B3F4B"/>
    <w:rsid w:val="004C23A3"/>
    <w:rsid w:val="004E1FCA"/>
    <w:rsid w:val="004E47D6"/>
    <w:rsid w:val="004E7E75"/>
    <w:rsid w:val="004F477A"/>
    <w:rsid w:val="00503189"/>
    <w:rsid w:val="00504750"/>
    <w:rsid w:val="00516BD1"/>
    <w:rsid w:val="005206E9"/>
    <w:rsid w:val="0052356A"/>
    <w:rsid w:val="00526D01"/>
    <w:rsid w:val="00530E8C"/>
    <w:rsid w:val="00535D34"/>
    <w:rsid w:val="00536007"/>
    <w:rsid w:val="00545933"/>
    <w:rsid w:val="00552105"/>
    <w:rsid w:val="005562F2"/>
    <w:rsid w:val="00557544"/>
    <w:rsid w:val="00564CDE"/>
    <w:rsid w:val="00565BBB"/>
    <w:rsid w:val="00567FD8"/>
    <w:rsid w:val="005811B6"/>
    <w:rsid w:val="00585F3C"/>
    <w:rsid w:val="00586CA0"/>
    <w:rsid w:val="00587875"/>
    <w:rsid w:val="005A3DBE"/>
    <w:rsid w:val="005A63EB"/>
    <w:rsid w:val="005B0876"/>
    <w:rsid w:val="005B3CFC"/>
    <w:rsid w:val="005C33B6"/>
    <w:rsid w:val="005D6202"/>
    <w:rsid w:val="005D6E98"/>
    <w:rsid w:val="005F5A99"/>
    <w:rsid w:val="00600094"/>
    <w:rsid w:val="006065C5"/>
    <w:rsid w:val="006075AD"/>
    <w:rsid w:val="00607E2B"/>
    <w:rsid w:val="006139D6"/>
    <w:rsid w:val="00616D1B"/>
    <w:rsid w:val="00623CE1"/>
    <w:rsid w:val="00627880"/>
    <w:rsid w:val="0063062B"/>
    <w:rsid w:val="00634A82"/>
    <w:rsid w:val="00637351"/>
    <w:rsid w:val="00646166"/>
    <w:rsid w:val="00647064"/>
    <w:rsid w:val="00647532"/>
    <w:rsid w:val="00654896"/>
    <w:rsid w:val="006621F0"/>
    <w:rsid w:val="006647BA"/>
    <w:rsid w:val="00667229"/>
    <w:rsid w:val="006676F5"/>
    <w:rsid w:val="00682BE5"/>
    <w:rsid w:val="00683846"/>
    <w:rsid w:val="006840DD"/>
    <w:rsid w:val="00690FED"/>
    <w:rsid w:val="006939A5"/>
    <w:rsid w:val="00695CEE"/>
    <w:rsid w:val="006A73F2"/>
    <w:rsid w:val="006B1BAF"/>
    <w:rsid w:val="006C68F9"/>
    <w:rsid w:val="006D5223"/>
    <w:rsid w:val="006D5970"/>
    <w:rsid w:val="006E0B0F"/>
    <w:rsid w:val="006E12FC"/>
    <w:rsid w:val="006F0F24"/>
    <w:rsid w:val="006F2B2E"/>
    <w:rsid w:val="006F6A5C"/>
    <w:rsid w:val="00703F6F"/>
    <w:rsid w:val="007052B3"/>
    <w:rsid w:val="00705962"/>
    <w:rsid w:val="00707C21"/>
    <w:rsid w:val="00712451"/>
    <w:rsid w:val="00717DE9"/>
    <w:rsid w:val="00720E44"/>
    <w:rsid w:val="0072518B"/>
    <w:rsid w:val="00731041"/>
    <w:rsid w:val="007329E4"/>
    <w:rsid w:val="00732F08"/>
    <w:rsid w:val="007342F0"/>
    <w:rsid w:val="00736725"/>
    <w:rsid w:val="0074190C"/>
    <w:rsid w:val="00746D8E"/>
    <w:rsid w:val="0075493D"/>
    <w:rsid w:val="00762576"/>
    <w:rsid w:val="007673CA"/>
    <w:rsid w:val="007736E1"/>
    <w:rsid w:val="00782BFB"/>
    <w:rsid w:val="00791060"/>
    <w:rsid w:val="007926EA"/>
    <w:rsid w:val="007B4CEE"/>
    <w:rsid w:val="007B5626"/>
    <w:rsid w:val="007B6124"/>
    <w:rsid w:val="007D3C53"/>
    <w:rsid w:val="007E3A0F"/>
    <w:rsid w:val="007F2628"/>
    <w:rsid w:val="007F2FBA"/>
    <w:rsid w:val="007F32F9"/>
    <w:rsid w:val="00800C3A"/>
    <w:rsid w:val="0080570B"/>
    <w:rsid w:val="00805FD1"/>
    <w:rsid w:val="008148E1"/>
    <w:rsid w:val="00823570"/>
    <w:rsid w:val="008319BF"/>
    <w:rsid w:val="00837E99"/>
    <w:rsid w:val="008415F0"/>
    <w:rsid w:val="008433C2"/>
    <w:rsid w:val="00844457"/>
    <w:rsid w:val="00844F2F"/>
    <w:rsid w:val="008454C8"/>
    <w:rsid w:val="00851D78"/>
    <w:rsid w:val="0086592B"/>
    <w:rsid w:val="008662DF"/>
    <w:rsid w:val="00881C44"/>
    <w:rsid w:val="00882EE1"/>
    <w:rsid w:val="008A016F"/>
    <w:rsid w:val="008A1A0D"/>
    <w:rsid w:val="008A72E1"/>
    <w:rsid w:val="008A7328"/>
    <w:rsid w:val="008A76ED"/>
    <w:rsid w:val="008B3C72"/>
    <w:rsid w:val="008B611E"/>
    <w:rsid w:val="008C5FED"/>
    <w:rsid w:val="008C6276"/>
    <w:rsid w:val="008D0E09"/>
    <w:rsid w:val="008E0AB4"/>
    <w:rsid w:val="008F617E"/>
    <w:rsid w:val="00903007"/>
    <w:rsid w:val="00923816"/>
    <w:rsid w:val="0092727B"/>
    <w:rsid w:val="00927845"/>
    <w:rsid w:val="0093074B"/>
    <w:rsid w:val="00930E64"/>
    <w:rsid w:val="009369CF"/>
    <w:rsid w:val="00943CF9"/>
    <w:rsid w:val="009465A6"/>
    <w:rsid w:val="00953846"/>
    <w:rsid w:val="00956F8C"/>
    <w:rsid w:val="00961D57"/>
    <w:rsid w:val="00976716"/>
    <w:rsid w:val="0097693B"/>
    <w:rsid w:val="009775B2"/>
    <w:rsid w:val="00986020"/>
    <w:rsid w:val="00993355"/>
    <w:rsid w:val="009963F7"/>
    <w:rsid w:val="009A1015"/>
    <w:rsid w:val="009A11CB"/>
    <w:rsid w:val="009A4A6D"/>
    <w:rsid w:val="009B44DD"/>
    <w:rsid w:val="009B676D"/>
    <w:rsid w:val="009B6BD5"/>
    <w:rsid w:val="009B7E42"/>
    <w:rsid w:val="009C4CCF"/>
    <w:rsid w:val="009C7235"/>
    <w:rsid w:val="009D46CE"/>
    <w:rsid w:val="009D4ADA"/>
    <w:rsid w:val="009E13DD"/>
    <w:rsid w:val="009E5C4C"/>
    <w:rsid w:val="009F33E8"/>
    <w:rsid w:val="009F547A"/>
    <w:rsid w:val="00A03D78"/>
    <w:rsid w:val="00A0503B"/>
    <w:rsid w:val="00A059CD"/>
    <w:rsid w:val="00A106EE"/>
    <w:rsid w:val="00A13265"/>
    <w:rsid w:val="00A14900"/>
    <w:rsid w:val="00A2159F"/>
    <w:rsid w:val="00A30D39"/>
    <w:rsid w:val="00A324FF"/>
    <w:rsid w:val="00A42908"/>
    <w:rsid w:val="00A529BC"/>
    <w:rsid w:val="00A5346C"/>
    <w:rsid w:val="00A53F51"/>
    <w:rsid w:val="00A562F0"/>
    <w:rsid w:val="00A564FB"/>
    <w:rsid w:val="00A614C1"/>
    <w:rsid w:val="00A61EA6"/>
    <w:rsid w:val="00A657BF"/>
    <w:rsid w:val="00A71136"/>
    <w:rsid w:val="00A856AC"/>
    <w:rsid w:val="00A92578"/>
    <w:rsid w:val="00AA474C"/>
    <w:rsid w:val="00AC35EF"/>
    <w:rsid w:val="00AC4D5B"/>
    <w:rsid w:val="00AD1DDB"/>
    <w:rsid w:val="00AD2697"/>
    <w:rsid w:val="00AD7E5F"/>
    <w:rsid w:val="00AE3066"/>
    <w:rsid w:val="00AE3F7C"/>
    <w:rsid w:val="00AF68E4"/>
    <w:rsid w:val="00B00A87"/>
    <w:rsid w:val="00B01AA1"/>
    <w:rsid w:val="00B023E0"/>
    <w:rsid w:val="00B06025"/>
    <w:rsid w:val="00B30C81"/>
    <w:rsid w:val="00B30DA1"/>
    <w:rsid w:val="00B4793B"/>
    <w:rsid w:val="00B56099"/>
    <w:rsid w:val="00B57D77"/>
    <w:rsid w:val="00B63272"/>
    <w:rsid w:val="00B64A60"/>
    <w:rsid w:val="00B661AC"/>
    <w:rsid w:val="00B730DA"/>
    <w:rsid w:val="00B760F7"/>
    <w:rsid w:val="00B76D71"/>
    <w:rsid w:val="00B8468D"/>
    <w:rsid w:val="00B92AEA"/>
    <w:rsid w:val="00B937D7"/>
    <w:rsid w:val="00B96B67"/>
    <w:rsid w:val="00BB0EA4"/>
    <w:rsid w:val="00BB48B9"/>
    <w:rsid w:val="00BB7850"/>
    <w:rsid w:val="00BC57EF"/>
    <w:rsid w:val="00BC69DB"/>
    <w:rsid w:val="00BD0462"/>
    <w:rsid w:val="00BD3BB1"/>
    <w:rsid w:val="00BD4AEE"/>
    <w:rsid w:val="00BE6B6B"/>
    <w:rsid w:val="00BF25F9"/>
    <w:rsid w:val="00C00B04"/>
    <w:rsid w:val="00C13FD5"/>
    <w:rsid w:val="00C15633"/>
    <w:rsid w:val="00C15799"/>
    <w:rsid w:val="00C239A0"/>
    <w:rsid w:val="00C32E84"/>
    <w:rsid w:val="00C35415"/>
    <w:rsid w:val="00C357AD"/>
    <w:rsid w:val="00C405F5"/>
    <w:rsid w:val="00C516C7"/>
    <w:rsid w:val="00C51C5F"/>
    <w:rsid w:val="00C554CC"/>
    <w:rsid w:val="00C6069C"/>
    <w:rsid w:val="00C70477"/>
    <w:rsid w:val="00C74745"/>
    <w:rsid w:val="00C85119"/>
    <w:rsid w:val="00C95572"/>
    <w:rsid w:val="00C95C48"/>
    <w:rsid w:val="00CA41E7"/>
    <w:rsid w:val="00CD170C"/>
    <w:rsid w:val="00CD256B"/>
    <w:rsid w:val="00CD320B"/>
    <w:rsid w:val="00CD3F37"/>
    <w:rsid w:val="00CD5431"/>
    <w:rsid w:val="00CD7F6F"/>
    <w:rsid w:val="00CE4B93"/>
    <w:rsid w:val="00CF2491"/>
    <w:rsid w:val="00CF3963"/>
    <w:rsid w:val="00D00828"/>
    <w:rsid w:val="00D03A4F"/>
    <w:rsid w:val="00D1252E"/>
    <w:rsid w:val="00D13D9D"/>
    <w:rsid w:val="00D13E3A"/>
    <w:rsid w:val="00D14AFE"/>
    <w:rsid w:val="00D416A3"/>
    <w:rsid w:val="00D459A2"/>
    <w:rsid w:val="00D530FF"/>
    <w:rsid w:val="00D53688"/>
    <w:rsid w:val="00D5407A"/>
    <w:rsid w:val="00D57772"/>
    <w:rsid w:val="00D632CF"/>
    <w:rsid w:val="00D72AE3"/>
    <w:rsid w:val="00D75A4D"/>
    <w:rsid w:val="00D80DB5"/>
    <w:rsid w:val="00D8478B"/>
    <w:rsid w:val="00D86151"/>
    <w:rsid w:val="00D9172D"/>
    <w:rsid w:val="00D97E84"/>
    <w:rsid w:val="00DA5641"/>
    <w:rsid w:val="00DA7595"/>
    <w:rsid w:val="00DB0A68"/>
    <w:rsid w:val="00DC43A3"/>
    <w:rsid w:val="00DC4CF3"/>
    <w:rsid w:val="00DC5C01"/>
    <w:rsid w:val="00DD2CF6"/>
    <w:rsid w:val="00DD7C09"/>
    <w:rsid w:val="00DE3719"/>
    <w:rsid w:val="00DE485E"/>
    <w:rsid w:val="00DF0EB4"/>
    <w:rsid w:val="00DF111E"/>
    <w:rsid w:val="00E0124F"/>
    <w:rsid w:val="00E126F1"/>
    <w:rsid w:val="00E27C63"/>
    <w:rsid w:val="00E5762A"/>
    <w:rsid w:val="00E666F2"/>
    <w:rsid w:val="00E674D3"/>
    <w:rsid w:val="00E70FD0"/>
    <w:rsid w:val="00E72B2C"/>
    <w:rsid w:val="00E7309D"/>
    <w:rsid w:val="00E765D4"/>
    <w:rsid w:val="00E77C4B"/>
    <w:rsid w:val="00E9301F"/>
    <w:rsid w:val="00E93EC5"/>
    <w:rsid w:val="00E9690A"/>
    <w:rsid w:val="00E97DC7"/>
    <w:rsid w:val="00EA4A81"/>
    <w:rsid w:val="00ED176E"/>
    <w:rsid w:val="00ED22CA"/>
    <w:rsid w:val="00EE07BC"/>
    <w:rsid w:val="00EE5249"/>
    <w:rsid w:val="00F000EF"/>
    <w:rsid w:val="00F07CE9"/>
    <w:rsid w:val="00F10B3A"/>
    <w:rsid w:val="00F2504E"/>
    <w:rsid w:val="00F2585B"/>
    <w:rsid w:val="00F4053F"/>
    <w:rsid w:val="00F516E7"/>
    <w:rsid w:val="00F57BF7"/>
    <w:rsid w:val="00F6263E"/>
    <w:rsid w:val="00F627C2"/>
    <w:rsid w:val="00F67E4D"/>
    <w:rsid w:val="00F736FD"/>
    <w:rsid w:val="00F8025A"/>
    <w:rsid w:val="00F84067"/>
    <w:rsid w:val="00FA1A32"/>
    <w:rsid w:val="00FA50B4"/>
    <w:rsid w:val="00FB1B1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E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A61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64CDE"/>
    <w:rPr>
      <w:rFonts w:eastAsia="BatangChe"/>
      <w:sz w:val="24"/>
      <w:szCs w:val="24"/>
    </w:rPr>
  </w:style>
  <w:style w:type="paragraph" w:styleId="Revision">
    <w:name w:val="Revision"/>
    <w:hidden/>
    <w:uiPriority w:val="99"/>
    <w:semiHidden/>
    <w:rsid w:val="0086592B"/>
    <w:rPr>
      <w:rFonts w:eastAsia="BatangChe"/>
      <w:sz w:val="24"/>
      <w:szCs w:val="24"/>
    </w:rPr>
  </w:style>
  <w:style w:type="character" w:customStyle="1" w:styleId="Heading2Char">
    <w:name w:val="Heading 2 Char"/>
    <w:basedOn w:val="DefaultParagraphFont"/>
    <w:link w:val="Heading2"/>
    <w:semiHidden/>
    <w:rsid w:val="000A614B"/>
    <w:rPr>
      <w:rFonts w:asciiTheme="majorHAnsi" w:eastAsiaTheme="majorEastAsia" w:hAnsiTheme="majorHAnsi" w:cstheme="majorBidi"/>
      <w:color w:val="365F91" w:themeColor="accent1" w:themeShade="BF"/>
      <w:sz w:val="26"/>
      <w:szCs w:val="26"/>
    </w:rPr>
  </w:style>
  <w:style w:type="paragraph" w:customStyle="1" w:styleId="Proposal">
    <w:name w:val="Proposal"/>
    <w:basedOn w:val="Normal"/>
    <w:next w:val="Normal"/>
    <w:link w:val="ProposalChar"/>
    <w:qFormat/>
    <w:rsid w:val="00CD7F6F"/>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character" w:customStyle="1" w:styleId="ProposalChar">
    <w:name w:val="Proposal Char"/>
    <w:basedOn w:val="DefaultParagraphFont"/>
    <w:link w:val="Proposal"/>
    <w:qFormat/>
    <w:locked/>
    <w:rsid w:val="00CD7F6F"/>
    <w:rPr>
      <w:rFonts w:eastAsia="MS Mincho" w:hAnsi="Times New Roman Bold"/>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A61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64CDE"/>
    <w:rPr>
      <w:rFonts w:eastAsia="BatangChe"/>
      <w:sz w:val="24"/>
      <w:szCs w:val="24"/>
    </w:rPr>
  </w:style>
  <w:style w:type="paragraph" w:styleId="Revision">
    <w:name w:val="Revision"/>
    <w:hidden/>
    <w:uiPriority w:val="99"/>
    <w:semiHidden/>
    <w:rsid w:val="0086592B"/>
    <w:rPr>
      <w:rFonts w:eastAsia="BatangChe"/>
      <w:sz w:val="24"/>
      <w:szCs w:val="24"/>
    </w:rPr>
  </w:style>
  <w:style w:type="character" w:customStyle="1" w:styleId="Heading2Char">
    <w:name w:val="Heading 2 Char"/>
    <w:basedOn w:val="DefaultParagraphFont"/>
    <w:link w:val="Heading2"/>
    <w:semiHidden/>
    <w:rsid w:val="000A614B"/>
    <w:rPr>
      <w:rFonts w:asciiTheme="majorHAnsi" w:eastAsiaTheme="majorEastAsia" w:hAnsiTheme="majorHAnsi" w:cstheme="majorBidi"/>
      <w:color w:val="365F91" w:themeColor="accent1" w:themeShade="BF"/>
      <w:sz w:val="26"/>
      <w:szCs w:val="26"/>
    </w:rPr>
  </w:style>
  <w:style w:type="paragraph" w:customStyle="1" w:styleId="Proposal">
    <w:name w:val="Proposal"/>
    <w:basedOn w:val="Normal"/>
    <w:next w:val="Normal"/>
    <w:link w:val="ProposalChar"/>
    <w:qFormat/>
    <w:rsid w:val="00CD7F6F"/>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character" w:customStyle="1" w:styleId="ProposalChar">
    <w:name w:val="Proposal Char"/>
    <w:basedOn w:val="DefaultParagraphFont"/>
    <w:link w:val="Proposal"/>
    <w:qFormat/>
    <w:locked/>
    <w:rsid w:val="00CD7F6F"/>
    <w:rPr>
      <w:rFonts w:eastAsia="MS Mincho" w:hAnsi="Times New Roman Bold"/>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C165-A5BA-48B7-8AC2-577ECEED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1992</Words>
  <Characters>11360</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8</cp:revision>
  <cp:lastPrinted>2015-02-02T07:28:00Z</cp:lastPrinted>
  <dcterms:created xsi:type="dcterms:W3CDTF">2019-08-08T10:52:00Z</dcterms:created>
  <dcterms:modified xsi:type="dcterms:W3CDTF">2019-08-08T10:58:00Z</dcterms:modified>
</cp:coreProperties>
</file>