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rsidTr="00D45C09">
        <w:trPr>
          <w:cantSplit/>
          <w:trHeight w:val="288"/>
        </w:trPr>
        <w:tc>
          <w:tcPr>
            <w:tcW w:w="1399" w:type="dxa"/>
            <w:vMerge w:val="restart"/>
          </w:tcPr>
          <w:p w:rsidR="00C516C7" w:rsidRPr="00891D0B" w:rsidRDefault="00C516C7" w:rsidP="00D45C09">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val="en-NZ" w:eastAsia="zh-CN"/>
              </w:rPr>
              <w:drawing>
                <wp:inline distT="0" distB="0" distL="0" distR="0" wp14:anchorId="6BAB8B34" wp14:editId="2F08471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rsidR="00C516C7" w:rsidRPr="00E86131" w:rsidRDefault="00C516C7" w:rsidP="00D45C09">
            <w:r w:rsidRPr="00E86131">
              <w:t>ASIA-PACIFIC TELECOMMUNITY</w:t>
            </w:r>
          </w:p>
        </w:tc>
        <w:tc>
          <w:tcPr>
            <w:tcW w:w="2160" w:type="dxa"/>
          </w:tcPr>
          <w:p w:rsidR="00C516C7" w:rsidRPr="00723BE9" w:rsidRDefault="00C516C7" w:rsidP="00D45C09">
            <w:pPr>
              <w:rPr>
                <w:b/>
                <w:sz w:val="22"/>
                <w:szCs w:val="22"/>
              </w:rPr>
            </w:pPr>
            <w:r w:rsidRPr="00723BE9">
              <w:rPr>
                <w:b/>
              </w:rPr>
              <w:t>Document No:</w:t>
            </w:r>
          </w:p>
        </w:tc>
      </w:tr>
      <w:tr w:rsidR="00C516C7" w:rsidRPr="00C15799" w:rsidTr="00D45C09">
        <w:trPr>
          <w:cantSplit/>
          <w:trHeight w:val="504"/>
        </w:trPr>
        <w:tc>
          <w:tcPr>
            <w:tcW w:w="1399" w:type="dxa"/>
            <w:vMerge/>
          </w:tcPr>
          <w:p w:rsidR="00C516C7" w:rsidRPr="00891D0B" w:rsidRDefault="00C516C7" w:rsidP="00D45C09"/>
        </w:tc>
        <w:tc>
          <w:tcPr>
            <w:tcW w:w="5760" w:type="dxa"/>
          </w:tcPr>
          <w:p w:rsidR="00C516C7" w:rsidRDefault="00C516C7" w:rsidP="00D45C09">
            <w:pPr>
              <w:spacing w:line="0" w:lineRule="atLeast"/>
              <w:rPr>
                <w:b/>
              </w:rPr>
            </w:pPr>
            <w:r>
              <w:rPr>
                <w:b/>
              </w:rPr>
              <w:t xml:space="preserve">The </w:t>
            </w:r>
            <w:r w:rsidR="00CD256B">
              <w:rPr>
                <w:b/>
              </w:rPr>
              <w:t>5</w:t>
            </w:r>
            <w:r>
              <w:rPr>
                <w:b/>
              </w:rPr>
              <w:t>th Meeting of the APT Conference Preparatory</w:t>
            </w:r>
          </w:p>
          <w:p w:rsidR="00C516C7" w:rsidRPr="00891D0B" w:rsidRDefault="00C516C7" w:rsidP="00CD256B">
            <w:pPr>
              <w:spacing w:line="0" w:lineRule="atLeast"/>
            </w:pPr>
            <w:r>
              <w:rPr>
                <w:b/>
              </w:rPr>
              <w:t>Group for WRC-19 (APG19-</w:t>
            </w:r>
            <w:r w:rsidR="00CD256B">
              <w:rPr>
                <w:b/>
              </w:rPr>
              <w:t>5</w:t>
            </w:r>
            <w:r>
              <w:rPr>
                <w:b/>
              </w:rPr>
              <w:t>)</w:t>
            </w:r>
          </w:p>
        </w:tc>
        <w:tc>
          <w:tcPr>
            <w:tcW w:w="2160" w:type="dxa"/>
          </w:tcPr>
          <w:p w:rsidR="00C516C7" w:rsidRDefault="00C516C7" w:rsidP="004E177F">
            <w:pPr>
              <w:rPr>
                <w:b/>
              </w:rPr>
            </w:pPr>
            <w:r w:rsidRPr="00C96104">
              <w:rPr>
                <w:b/>
                <w:bCs/>
                <w:lang w:val="fr-FR"/>
              </w:rPr>
              <w:t>AP</w:t>
            </w:r>
            <w:r>
              <w:rPr>
                <w:b/>
                <w:bCs/>
                <w:lang w:val="fr-FR"/>
              </w:rPr>
              <w:t>G19-</w:t>
            </w:r>
            <w:r w:rsidR="00CD256B">
              <w:rPr>
                <w:b/>
                <w:bCs/>
                <w:lang w:val="fr-FR"/>
              </w:rPr>
              <w:t>5</w:t>
            </w:r>
            <w:r>
              <w:rPr>
                <w:b/>
                <w:bCs/>
                <w:lang w:val="fr-FR"/>
              </w:rPr>
              <w:t>/</w:t>
            </w:r>
            <w:r w:rsidR="004E177F">
              <w:rPr>
                <w:b/>
                <w:bCs/>
                <w:lang w:val="fr-FR"/>
              </w:rPr>
              <w:t>OUT-33</w:t>
            </w:r>
          </w:p>
        </w:tc>
      </w:tr>
      <w:tr w:rsidR="00C516C7" w:rsidRPr="00891D0B" w:rsidTr="00D45C09">
        <w:trPr>
          <w:cantSplit/>
          <w:trHeight w:val="288"/>
        </w:trPr>
        <w:tc>
          <w:tcPr>
            <w:tcW w:w="1399" w:type="dxa"/>
            <w:vMerge/>
          </w:tcPr>
          <w:p w:rsidR="00C516C7" w:rsidRPr="007E1FDD" w:rsidRDefault="00C516C7" w:rsidP="00D45C09">
            <w:pPr>
              <w:rPr>
                <w:lang w:val="en-GB"/>
              </w:rPr>
            </w:pPr>
          </w:p>
        </w:tc>
        <w:tc>
          <w:tcPr>
            <w:tcW w:w="5760" w:type="dxa"/>
            <w:vAlign w:val="bottom"/>
          </w:tcPr>
          <w:p w:rsidR="00C516C7" w:rsidRPr="00712451" w:rsidRDefault="00CD256B" w:rsidP="00CD256B">
            <w:pPr>
              <w:rPr>
                <w:b/>
              </w:rPr>
            </w:pPr>
            <w:r>
              <w:t>31</w:t>
            </w:r>
            <w:r w:rsidR="00C516C7">
              <w:t xml:space="preserve"> </w:t>
            </w:r>
            <w:r>
              <w:t xml:space="preserve">July </w:t>
            </w:r>
            <w:r w:rsidR="00C516C7">
              <w:t xml:space="preserve">– </w:t>
            </w:r>
            <w:r>
              <w:t>6</w:t>
            </w:r>
            <w:r w:rsidR="00C516C7">
              <w:t xml:space="preserve"> </w:t>
            </w:r>
            <w:r>
              <w:t>August</w:t>
            </w:r>
            <w:r w:rsidR="00C516C7">
              <w:t xml:space="preserve"> 2019</w:t>
            </w:r>
            <w:r w:rsidR="00C516C7" w:rsidRPr="00891D0B">
              <w:t xml:space="preserve">, </w:t>
            </w:r>
            <w:r>
              <w:t>Tokyo</w:t>
            </w:r>
            <w:r w:rsidR="00C516C7">
              <w:t xml:space="preserve">, </w:t>
            </w:r>
            <w:r>
              <w:t>J</w:t>
            </w:r>
            <w:r w:rsidR="00C516C7">
              <w:t>a</w:t>
            </w:r>
            <w:r>
              <w:t>pan</w:t>
            </w:r>
          </w:p>
        </w:tc>
        <w:tc>
          <w:tcPr>
            <w:tcW w:w="2160" w:type="dxa"/>
            <w:vAlign w:val="bottom"/>
          </w:tcPr>
          <w:p w:rsidR="00C516C7" w:rsidRDefault="004E177F" w:rsidP="00C95572">
            <w:r>
              <w:rPr>
                <w:bCs/>
              </w:rPr>
              <w:t>5</w:t>
            </w:r>
            <w:r w:rsidR="00C516C7" w:rsidRPr="007E1FDD">
              <w:rPr>
                <w:bCs/>
              </w:rPr>
              <w:t xml:space="preserve"> </w:t>
            </w:r>
            <w:r w:rsidR="00C95572">
              <w:rPr>
                <w:bCs/>
              </w:rPr>
              <w:t>August</w:t>
            </w:r>
            <w:r w:rsidR="00C516C7">
              <w:rPr>
                <w:bCs/>
              </w:rPr>
              <w:t xml:space="preserve"> </w:t>
            </w:r>
            <w:r w:rsidR="00C516C7" w:rsidRPr="007E1FDD">
              <w:rPr>
                <w:bCs/>
              </w:rPr>
              <w:t>201</w:t>
            </w:r>
            <w:r w:rsidR="00C516C7">
              <w:rPr>
                <w:bCs/>
              </w:rPr>
              <w:t>9</w:t>
            </w:r>
          </w:p>
        </w:tc>
      </w:tr>
    </w:tbl>
    <w:p w:rsidR="00311E8A" w:rsidRDefault="00311E8A" w:rsidP="0072518B">
      <w:pPr>
        <w:jc w:val="center"/>
        <w:rPr>
          <w:lang w:val="en-NZ"/>
        </w:rPr>
      </w:pPr>
    </w:p>
    <w:p w:rsidR="00944FDB" w:rsidRDefault="00944FDB" w:rsidP="0072518B">
      <w:pPr>
        <w:jc w:val="center"/>
        <w:rPr>
          <w:lang w:val="en-NZ"/>
        </w:rPr>
      </w:pPr>
    </w:p>
    <w:p w:rsidR="00B64A60" w:rsidRPr="002A0111" w:rsidRDefault="004E177F" w:rsidP="00B64A60">
      <w:pPr>
        <w:jc w:val="center"/>
        <w:rPr>
          <w:lang w:val="en-NZ" w:eastAsia="ko-KR"/>
        </w:rPr>
      </w:pPr>
      <w:r>
        <w:rPr>
          <w:lang w:val="en-NZ" w:eastAsia="ko-KR"/>
        </w:rPr>
        <w:t>Working Party 4</w:t>
      </w:r>
    </w:p>
    <w:p w:rsidR="00B64A60" w:rsidRPr="002A0111" w:rsidRDefault="00B64A60" w:rsidP="00B64A60">
      <w:pPr>
        <w:jc w:val="center"/>
        <w:rPr>
          <w:bCs/>
          <w:caps/>
          <w:lang w:val="en-NZ"/>
        </w:rPr>
      </w:pPr>
    </w:p>
    <w:p w:rsidR="009465A6" w:rsidRDefault="009465A6" w:rsidP="00B64A60">
      <w:pPr>
        <w:jc w:val="center"/>
        <w:rPr>
          <w:b/>
          <w:bCs/>
          <w:caps/>
          <w:lang w:val="en-NZ"/>
        </w:rPr>
      </w:pPr>
      <w:r>
        <w:rPr>
          <w:b/>
          <w:bCs/>
          <w:caps/>
          <w:lang w:val="en-NZ"/>
        </w:rPr>
        <w:t xml:space="preserve">APT VIEW AND </w:t>
      </w:r>
      <w:r w:rsidR="005811B6">
        <w:rPr>
          <w:b/>
          <w:bCs/>
          <w:caps/>
          <w:lang w:val="en-NZ"/>
        </w:rPr>
        <w:t>PRELIMINARY APT COMMON PROPOSAL</w:t>
      </w:r>
      <w:r w:rsidR="00C516C7">
        <w:rPr>
          <w:b/>
          <w:bCs/>
          <w:caps/>
          <w:lang w:val="en-NZ"/>
        </w:rPr>
        <w:t xml:space="preserve"> </w:t>
      </w:r>
    </w:p>
    <w:p w:rsidR="00B64A60" w:rsidRPr="00441526" w:rsidRDefault="00B64A60" w:rsidP="00B64A60">
      <w:pPr>
        <w:jc w:val="center"/>
        <w:rPr>
          <w:b/>
          <w:bCs/>
          <w:caps/>
          <w:lang w:val="en-NZ"/>
        </w:rPr>
      </w:pPr>
      <w:r w:rsidRPr="00441526">
        <w:rPr>
          <w:b/>
          <w:bCs/>
          <w:caps/>
          <w:lang w:val="en-NZ"/>
        </w:rPr>
        <w:t>on WRC-19 agenda item 1.</w:t>
      </w:r>
      <w:r w:rsidR="00106B1A">
        <w:rPr>
          <w:b/>
          <w:bCs/>
          <w:caps/>
          <w:lang w:val="en-NZ"/>
        </w:rPr>
        <w:t>7</w:t>
      </w:r>
    </w:p>
    <w:p w:rsidR="00B64A60" w:rsidRPr="00441526" w:rsidRDefault="00B64A60" w:rsidP="00264566">
      <w:pPr>
        <w:spacing w:after="120"/>
        <w:rPr>
          <w:lang w:val="en-NZ"/>
        </w:rPr>
      </w:pPr>
    </w:p>
    <w:p w:rsidR="002A0111" w:rsidRPr="00441526" w:rsidRDefault="002A0111" w:rsidP="00030115">
      <w:pPr>
        <w:spacing w:before="240" w:after="240"/>
        <w:jc w:val="both"/>
        <w:rPr>
          <w:lang w:val="en-NZ"/>
        </w:rPr>
      </w:pPr>
      <w:r w:rsidRPr="00441526">
        <w:rPr>
          <w:b/>
          <w:lang w:val="en-NZ"/>
        </w:rPr>
        <w:t>Agenda Item 1.</w:t>
      </w:r>
      <w:r w:rsidR="00106B1A">
        <w:rPr>
          <w:b/>
          <w:lang w:val="en-NZ"/>
        </w:rPr>
        <w:t>7</w:t>
      </w:r>
      <w:r w:rsidRPr="00441526">
        <w:rPr>
          <w:b/>
          <w:lang w:val="en-NZ"/>
        </w:rPr>
        <w:t xml:space="preserve">: </w:t>
      </w:r>
    </w:p>
    <w:p w:rsidR="002A0111" w:rsidRPr="00441526" w:rsidRDefault="00106B1A" w:rsidP="00030115">
      <w:pPr>
        <w:spacing w:before="240" w:after="240"/>
        <w:jc w:val="both"/>
        <w:rPr>
          <w:i/>
          <w:lang w:val="en-NZ"/>
        </w:rPr>
      </w:pPr>
      <w:r w:rsidRPr="009C29EE">
        <w:rPr>
          <w:i/>
        </w:rPr>
        <w:t xml:space="preserve">to study the spectrum needs for telemetry, tracking and command in the space operation service for non-GSO satellites with short duration missions, to assess the suitability of existing allocations to the space operation service and, if necessary, to consider new allocations, in accordance with Resolution </w:t>
      </w:r>
      <w:r w:rsidRPr="009C29EE">
        <w:rPr>
          <w:b/>
          <w:i/>
        </w:rPr>
        <w:t>659 (WRC-15)</w:t>
      </w:r>
      <w:r w:rsidRPr="009C29EE">
        <w:rPr>
          <w:i/>
        </w:rPr>
        <w:t>;</w:t>
      </w:r>
    </w:p>
    <w:p w:rsidR="002A0111" w:rsidRPr="00441526" w:rsidRDefault="002A0111" w:rsidP="00030115">
      <w:pPr>
        <w:spacing w:before="240" w:after="240"/>
        <w:jc w:val="both"/>
        <w:rPr>
          <w:b/>
          <w:lang w:val="en-NZ" w:eastAsia="ko-KR"/>
        </w:rPr>
      </w:pPr>
      <w:r w:rsidRPr="00441526">
        <w:rPr>
          <w:b/>
          <w:lang w:val="en-NZ" w:eastAsia="ko-KR"/>
        </w:rPr>
        <w:t xml:space="preserve">1. </w:t>
      </w:r>
      <w:r w:rsidRPr="00441526">
        <w:rPr>
          <w:b/>
          <w:lang w:val="en-NZ" w:eastAsia="ko-KR"/>
        </w:rPr>
        <w:tab/>
        <w:t>Background</w:t>
      </w:r>
    </w:p>
    <w:p w:rsidR="00106B1A" w:rsidRDefault="00106B1A" w:rsidP="003573BF">
      <w:pPr>
        <w:spacing w:before="240" w:after="240"/>
        <w:jc w:val="both"/>
        <w:rPr>
          <w:lang w:val="en-NZ"/>
        </w:rPr>
      </w:pPr>
      <w:r w:rsidRPr="009C29EE">
        <w:t xml:space="preserve">Resolution </w:t>
      </w:r>
      <w:r w:rsidRPr="009C29EE">
        <w:rPr>
          <w:b/>
          <w:bCs/>
        </w:rPr>
        <w:t>659 (WRC-15)</w:t>
      </w:r>
      <w:r w:rsidRPr="009C29EE">
        <w:t xml:space="preserve"> calls to study the spectrum needs for telemetry, tracking and command in the space operation service for NGSO satellites with short duration missions, to assess the suitability of existing allocations to the space operation service and, if necessary, to consider new allocations.</w:t>
      </w:r>
      <w:r w:rsidRPr="009C29EE">
        <w:rPr>
          <w:lang w:val="en-NZ"/>
        </w:rPr>
        <w:t xml:space="preserve"> Typical short duration missions are understood in this context to have a maximum lifetime of three years.</w:t>
      </w:r>
    </w:p>
    <w:p w:rsidR="007C5E45" w:rsidRDefault="007C5E45" w:rsidP="003573BF">
      <w:pPr>
        <w:spacing w:afterLines="50" w:after="120"/>
        <w:jc w:val="both"/>
      </w:pPr>
      <w:r>
        <w:t>WRC-19 agenda item 1.7 invites studies to accommodate spectrum requirements for TT&amp;C in the SOS for the growing number of non-GSO satellites with short duration missions, taking into account RR No. 1.23 and assess</w:t>
      </w:r>
      <w:r>
        <w:rPr>
          <w:rFonts w:eastAsia="SimSun"/>
          <w:lang w:eastAsia="zh-CN"/>
        </w:rPr>
        <w:t>ment of</w:t>
      </w:r>
      <w:r>
        <w:t xml:space="preserve"> the suitability of existing allocations to the space operation service in the frequency range below 1 GHz, </w:t>
      </w:r>
      <w:r>
        <w:rPr>
          <w:rFonts w:ascii="SimSun" w:eastAsia="SimSun" w:hAnsi="SimSun" w:hint="eastAsia"/>
          <w:lang w:eastAsia="zh-CN"/>
        </w:rPr>
        <w:t xml:space="preserve">and </w:t>
      </w:r>
      <w:r>
        <w:t>taking into account current use</w:t>
      </w:r>
      <w:r>
        <w:rPr>
          <w:rFonts w:eastAsia="SimSun"/>
          <w:lang w:eastAsia="zh-CN"/>
        </w:rPr>
        <w:t>.</w:t>
      </w:r>
      <w:r>
        <w:t xml:space="preserve"> </w:t>
      </w:r>
      <w:r>
        <w:rPr>
          <w:rFonts w:eastAsia="SimSun"/>
          <w:lang w:eastAsia="zh-CN"/>
        </w:rPr>
        <w:t>It is also indicated</w:t>
      </w:r>
      <w:r>
        <w:t xml:space="preserve"> that the existing allocations to the space operation service below 1 GHz, where RR No. 9.21 applies, are not suitable for non-GSO satellites with short duration missions.</w:t>
      </w:r>
    </w:p>
    <w:p w:rsidR="005D3044" w:rsidRDefault="005D3044" w:rsidP="003573BF">
      <w:pPr>
        <w:jc w:val="both"/>
      </w:pPr>
      <w:r w:rsidRPr="0042498F">
        <w:t>The two frequency bands below 1 GHz under consideration for new or upgraded allocation (150.05</w:t>
      </w:r>
      <w:r w:rsidRPr="0042498F">
        <w:noBreakHyphen/>
        <w:t>174 MHz and 400.15-420 MHz) are used for a wide variety of terrestrial and space applications, and some are heavily used on a consistent basis.</w:t>
      </w:r>
      <w:r>
        <w:t xml:space="preserve"> </w:t>
      </w:r>
      <w:r w:rsidRPr="0042498F">
        <w:t>All studies conducted in the frequency range</w:t>
      </w:r>
      <w:r>
        <w:t>s</w:t>
      </w:r>
      <w:r w:rsidRPr="0042498F">
        <w:t xml:space="preserve"> 150.05-174 MHz</w:t>
      </w:r>
      <w:r>
        <w:t>/400.15-403 MHz/</w:t>
      </w:r>
      <w:r w:rsidRPr="0042498F">
        <w:t>406-420 MHz show that sharing between non-GSO SD systems (Earth-to-space and space-to-Earth) and the existing incumbent services in this frequency band is not feasible</w:t>
      </w:r>
      <w:r>
        <w:t>.</w:t>
      </w:r>
    </w:p>
    <w:p w:rsidR="005D3044" w:rsidRDefault="005D3044" w:rsidP="003573BF">
      <w:pPr>
        <w:jc w:val="both"/>
        <w:rPr>
          <w:lang w:eastAsia="zh-CN"/>
        </w:rPr>
      </w:pPr>
      <w:r w:rsidRPr="0042498F">
        <w:rPr>
          <w:lang w:eastAsia="zh-CN"/>
        </w:rPr>
        <w:t xml:space="preserve">An examination of the telemetry downlink (space-to-Earth) summary shows that currently there are three frequency bands below 1 GHz that are allocated to the SOS on a primary basis: 137-138 MHz, 272-273 MHz and 401-402 </w:t>
      </w:r>
      <w:proofErr w:type="spellStart"/>
      <w:r w:rsidRPr="0042498F">
        <w:rPr>
          <w:lang w:eastAsia="zh-CN"/>
        </w:rPr>
        <w:t>MHz.</w:t>
      </w:r>
      <w:proofErr w:type="spellEnd"/>
      <w:r w:rsidRPr="0042498F">
        <w:rPr>
          <w:lang w:eastAsia="zh-CN"/>
        </w:rPr>
        <w:t xml:space="preserve"> However, the frequency bands 272-273 MHz and 401-402 MHz are heavily used by existing systems. The 137-138 MHz SOS (space-to-Earth) allocation could accommodate the spectrum needs for short duration </w:t>
      </w:r>
      <w:proofErr w:type="gramStart"/>
      <w:r w:rsidRPr="0042498F">
        <w:rPr>
          <w:lang w:eastAsia="zh-CN"/>
        </w:rPr>
        <w:t>missions,</w:t>
      </w:r>
      <w:proofErr w:type="gramEnd"/>
      <w:r w:rsidRPr="0042498F">
        <w:rPr>
          <w:lang w:eastAsia="zh-CN"/>
        </w:rPr>
        <w:t xml:space="preserve"> however consideration of this band for short duration missions needs further regulatory and technical studies.</w:t>
      </w:r>
    </w:p>
    <w:p w:rsidR="00E04352" w:rsidRDefault="00E04352" w:rsidP="003573BF">
      <w:pPr>
        <w:jc w:val="both"/>
        <w:rPr>
          <w:lang w:eastAsia="zh-CN"/>
        </w:rPr>
      </w:pPr>
    </w:p>
    <w:p w:rsidR="00E04352" w:rsidRDefault="00E04352" w:rsidP="003573BF">
      <w:pPr>
        <w:jc w:val="both"/>
        <w:rPr>
          <w:lang w:eastAsia="zh-CN"/>
        </w:rPr>
      </w:pPr>
    </w:p>
    <w:p w:rsidR="00E04352" w:rsidRPr="0042498F" w:rsidRDefault="00E04352" w:rsidP="003573BF">
      <w:pPr>
        <w:jc w:val="both"/>
      </w:pPr>
    </w:p>
    <w:p w:rsidR="00106B1A" w:rsidRDefault="00106B1A" w:rsidP="00030115">
      <w:pPr>
        <w:spacing w:before="240" w:after="240"/>
        <w:jc w:val="both"/>
        <w:rPr>
          <w:b/>
          <w:lang w:val="en-NZ"/>
        </w:rPr>
      </w:pPr>
      <w:r>
        <w:rPr>
          <w:b/>
          <w:lang w:val="en-NZ"/>
        </w:rPr>
        <w:lastRenderedPageBreak/>
        <w:t>T</w:t>
      </w:r>
      <w:r w:rsidRPr="00352878">
        <w:rPr>
          <w:b/>
          <w:lang w:val="en-NZ"/>
        </w:rPr>
        <w:t>he CPM Method</w:t>
      </w:r>
      <w:r>
        <w:rPr>
          <w:b/>
          <w:lang w:val="en-NZ"/>
        </w:rPr>
        <w:t>s</w:t>
      </w:r>
    </w:p>
    <w:p w:rsidR="00106B1A" w:rsidRDefault="00106B1A" w:rsidP="00030115">
      <w:pPr>
        <w:spacing w:before="240" w:after="240"/>
        <w:jc w:val="both"/>
      </w:pPr>
      <w:r w:rsidRPr="0046687E">
        <w:t>Four methods and associated regulatory texts were developed to satisfy this agenda item. Methods B1 and B2 propose a new allocation and Method C proposes to use existing allocations</w:t>
      </w:r>
      <w:r>
        <w:t>:</w:t>
      </w:r>
    </w:p>
    <w:p w:rsidR="00106B1A" w:rsidRPr="00CE3B43" w:rsidRDefault="00106B1A" w:rsidP="00030115">
      <w:pPr>
        <w:pStyle w:val="ListParagraph"/>
        <w:numPr>
          <w:ilvl w:val="0"/>
          <w:numId w:val="23"/>
        </w:numPr>
        <w:spacing w:before="240" w:after="240"/>
        <w:jc w:val="both"/>
        <w:rPr>
          <w:lang w:val="en-NZ"/>
        </w:rPr>
      </w:pPr>
      <w:r w:rsidRPr="00CE3B43">
        <w:rPr>
          <w:lang w:val="en-NZ"/>
        </w:rPr>
        <w:t>Method A proposes no change to the Radio Regulations;</w:t>
      </w:r>
    </w:p>
    <w:p w:rsidR="00106B1A" w:rsidRPr="00352878" w:rsidRDefault="00106B1A" w:rsidP="00030115">
      <w:pPr>
        <w:pStyle w:val="ListParagraph"/>
        <w:numPr>
          <w:ilvl w:val="0"/>
          <w:numId w:val="23"/>
        </w:numPr>
        <w:spacing w:before="240" w:after="240"/>
        <w:jc w:val="both"/>
        <w:rPr>
          <w:lang w:val="en-NZ"/>
        </w:rPr>
      </w:pPr>
      <w:r w:rsidRPr="00352878">
        <w:rPr>
          <w:lang w:val="en-NZ"/>
        </w:rPr>
        <w:t>Method B1 proposes a new SOS (Earth-to-space) allocation for non-GSO SD systems in the frequency range 403-404 MHz;</w:t>
      </w:r>
    </w:p>
    <w:p w:rsidR="00106B1A" w:rsidRDefault="00106B1A" w:rsidP="00030115">
      <w:pPr>
        <w:pStyle w:val="ListParagraph"/>
        <w:numPr>
          <w:ilvl w:val="0"/>
          <w:numId w:val="23"/>
        </w:numPr>
        <w:spacing w:before="240" w:after="240"/>
        <w:jc w:val="both"/>
        <w:rPr>
          <w:lang w:val="en-NZ"/>
        </w:rPr>
      </w:pPr>
      <w:r w:rsidRPr="00106B1A">
        <w:rPr>
          <w:lang w:val="en-NZ"/>
        </w:rPr>
        <w:t>Method B2 proposes a new SOS (Earth-to-space) allocation for non-GSO SD systems in the frequency range 404-405 MHz;</w:t>
      </w:r>
    </w:p>
    <w:p w:rsidR="00106B1A" w:rsidRPr="00106B1A" w:rsidRDefault="00106B1A" w:rsidP="00030115">
      <w:pPr>
        <w:pStyle w:val="ListParagraph"/>
        <w:numPr>
          <w:ilvl w:val="0"/>
          <w:numId w:val="23"/>
        </w:numPr>
        <w:spacing w:before="240" w:after="240"/>
        <w:jc w:val="both"/>
        <w:rPr>
          <w:lang w:val="en-NZ"/>
        </w:rPr>
      </w:pPr>
      <w:r w:rsidRPr="00106B1A">
        <w:rPr>
          <w:lang w:val="en-NZ"/>
        </w:rPr>
        <w:t>Method C proposes to use the SOS allocation in the frequency band 137-138 MHz for downlink and the band 148-149.9 MHz for uplink and to provide appropriate associated regulatory provisions in the Radio Regulations for telecommand links of non-GSO SD missions.</w:t>
      </w:r>
    </w:p>
    <w:p w:rsidR="002A0111" w:rsidRPr="00441526" w:rsidRDefault="002A0111" w:rsidP="00030115">
      <w:pPr>
        <w:spacing w:before="240" w:after="240"/>
        <w:jc w:val="both"/>
        <w:rPr>
          <w:b/>
          <w:lang w:val="en-NZ" w:eastAsia="ko-KR"/>
        </w:rPr>
      </w:pPr>
      <w:r w:rsidRPr="00441526">
        <w:rPr>
          <w:b/>
          <w:lang w:val="en-NZ" w:eastAsia="ko-KR"/>
        </w:rPr>
        <w:t xml:space="preserve">2. </w:t>
      </w:r>
      <w:r w:rsidRPr="00441526">
        <w:rPr>
          <w:b/>
          <w:lang w:val="en-NZ" w:eastAsia="ko-KR"/>
        </w:rPr>
        <w:tab/>
        <w:t>Documents</w:t>
      </w:r>
    </w:p>
    <w:p w:rsidR="00106B1A" w:rsidRPr="00106B1A" w:rsidRDefault="002A0111" w:rsidP="00030115">
      <w:pPr>
        <w:numPr>
          <w:ilvl w:val="0"/>
          <w:numId w:val="18"/>
        </w:numPr>
        <w:spacing w:before="240" w:after="240"/>
        <w:ind w:leftChars="145" w:left="708"/>
        <w:jc w:val="both"/>
        <w:rPr>
          <w:lang w:val="en-NZ"/>
        </w:rPr>
      </w:pPr>
      <w:r w:rsidRPr="00441526">
        <w:rPr>
          <w:lang w:val="en-NZ"/>
        </w:rPr>
        <w:t>Input Documents</w:t>
      </w:r>
      <w:r w:rsidR="00106B1A">
        <w:rPr>
          <w:lang w:val="en-NZ"/>
        </w:rPr>
        <w:t xml:space="preserve">: </w:t>
      </w:r>
      <w:r w:rsidR="00106B1A" w:rsidRPr="00441526">
        <w:rPr>
          <w:lang w:val="en-NZ"/>
        </w:rPr>
        <w:t>APG19-</w:t>
      </w:r>
      <w:r w:rsidR="00106B1A">
        <w:rPr>
          <w:lang w:val="en-NZ"/>
        </w:rPr>
        <w:t>5</w:t>
      </w:r>
      <w:r w:rsidR="00106B1A" w:rsidRPr="00441526">
        <w:rPr>
          <w:lang w:val="en-NZ"/>
        </w:rPr>
        <w:t>/</w:t>
      </w:r>
      <w:r w:rsidR="00106B1A" w:rsidRPr="00106B1A">
        <w:rPr>
          <w:lang w:val="en-NZ"/>
        </w:rPr>
        <w:t>INP-19 (NZ</w:t>
      </w:r>
      <w:r w:rsidR="00310D4F">
        <w:rPr>
          <w:lang w:val="en-NZ"/>
        </w:rPr>
        <w:t>L</w:t>
      </w:r>
      <w:r w:rsidR="00106B1A" w:rsidRPr="00106B1A">
        <w:rPr>
          <w:lang w:val="en-NZ"/>
        </w:rPr>
        <w:t xml:space="preserve">), </w:t>
      </w:r>
      <w:r w:rsidR="00106B1A" w:rsidRPr="00441526">
        <w:rPr>
          <w:lang w:val="en-NZ"/>
        </w:rPr>
        <w:t>APG19-</w:t>
      </w:r>
      <w:r w:rsidR="00106B1A">
        <w:rPr>
          <w:lang w:val="en-NZ"/>
        </w:rPr>
        <w:t>5</w:t>
      </w:r>
      <w:r w:rsidR="00106B1A" w:rsidRPr="00441526">
        <w:rPr>
          <w:lang w:val="en-NZ"/>
        </w:rPr>
        <w:t>/</w:t>
      </w:r>
      <w:r w:rsidR="00106B1A" w:rsidRPr="00106B1A">
        <w:rPr>
          <w:lang w:val="en-NZ"/>
        </w:rPr>
        <w:t xml:space="preserve">INP-38 (IRN), </w:t>
      </w:r>
      <w:r w:rsidR="00106B1A" w:rsidRPr="00441526">
        <w:rPr>
          <w:lang w:val="en-NZ"/>
        </w:rPr>
        <w:t>APG19-</w:t>
      </w:r>
      <w:r w:rsidR="00106B1A">
        <w:rPr>
          <w:lang w:val="en-NZ"/>
        </w:rPr>
        <w:t>5</w:t>
      </w:r>
      <w:r w:rsidR="00106B1A" w:rsidRPr="00441526">
        <w:rPr>
          <w:lang w:val="en-NZ"/>
        </w:rPr>
        <w:t>/</w:t>
      </w:r>
      <w:r w:rsidR="00106B1A" w:rsidRPr="00106B1A">
        <w:rPr>
          <w:lang w:val="en-NZ"/>
        </w:rPr>
        <w:t xml:space="preserve">INP-45 (AUS), </w:t>
      </w:r>
      <w:r w:rsidR="00106B1A" w:rsidRPr="00441526">
        <w:rPr>
          <w:lang w:val="en-NZ"/>
        </w:rPr>
        <w:t>APG19-</w:t>
      </w:r>
      <w:r w:rsidR="00106B1A">
        <w:rPr>
          <w:lang w:val="en-NZ"/>
        </w:rPr>
        <w:t>5</w:t>
      </w:r>
      <w:r w:rsidR="00106B1A" w:rsidRPr="00441526">
        <w:rPr>
          <w:lang w:val="en-NZ"/>
        </w:rPr>
        <w:t>/</w:t>
      </w:r>
      <w:r w:rsidR="00106B1A" w:rsidRPr="00106B1A">
        <w:rPr>
          <w:lang w:val="en-NZ"/>
        </w:rPr>
        <w:t xml:space="preserve">INP-52 (INS), </w:t>
      </w:r>
      <w:r w:rsidR="00106B1A" w:rsidRPr="00441526">
        <w:rPr>
          <w:lang w:val="en-NZ"/>
        </w:rPr>
        <w:t>APG19-</w:t>
      </w:r>
      <w:r w:rsidR="00106B1A">
        <w:rPr>
          <w:lang w:val="en-NZ"/>
        </w:rPr>
        <w:t>5</w:t>
      </w:r>
      <w:r w:rsidR="00106B1A" w:rsidRPr="00441526">
        <w:rPr>
          <w:lang w:val="en-NZ"/>
        </w:rPr>
        <w:t>/</w:t>
      </w:r>
      <w:r w:rsidR="00106B1A" w:rsidRPr="00106B1A">
        <w:rPr>
          <w:lang w:val="en-NZ"/>
        </w:rPr>
        <w:t xml:space="preserve">INP-59 (SNG), </w:t>
      </w:r>
      <w:r w:rsidR="00106B1A" w:rsidRPr="00441526">
        <w:rPr>
          <w:lang w:val="en-NZ"/>
        </w:rPr>
        <w:t>APG19-</w:t>
      </w:r>
      <w:r w:rsidR="00106B1A">
        <w:rPr>
          <w:lang w:val="en-NZ"/>
        </w:rPr>
        <w:t>5</w:t>
      </w:r>
      <w:r w:rsidR="00106B1A" w:rsidRPr="00441526">
        <w:rPr>
          <w:lang w:val="en-NZ"/>
        </w:rPr>
        <w:t>/</w:t>
      </w:r>
      <w:r w:rsidR="00106B1A" w:rsidRPr="00106B1A">
        <w:rPr>
          <w:lang w:val="en-NZ"/>
        </w:rPr>
        <w:t xml:space="preserve">INP-68 (CHN), </w:t>
      </w:r>
      <w:r w:rsidR="00106B1A" w:rsidRPr="00441526">
        <w:rPr>
          <w:lang w:val="en-NZ"/>
        </w:rPr>
        <w:t>APG19-</w:t>
      </w:r>
      <w:r w:rsidR="00106B1A">
        <w:rPr>
          <w:lang w:val="en-NZ"/>
        </w:rPr>
        <w:t>5</w:t>
      </w:r>
      <w:r w:rsidR="00106B1A" w:rsidRPr="00441526">
        <w:rPr>
          <w:lang w:val="en-NZ"/>
        </w:rPr>
        <w:t>/</w:t>
      </w:r>
      <w:r w:rsidR="00106B1A" w:rsidRPr="00106B1A">
        <w:rPr>
          <w:lang w:val="en-NZ"/>
        </w:rPr>
        <w:t xml:space="preserve">INP-83 (J), </w:t>
      </w:r>
      <w:r w:rsidR="00106B1A" w:rsidRPr="00441526">
        <w:rPr>
          <w:lang w:val="en-NZ"/>
        </w:rPr>
        <w:t>APG19-</w:t>
      </w:r>
      <w:r w:rsidR="00106B1A">
        <w:rPr>
          <w:lang w:val="en-NZ"/>
        </w:rPr>
        <w:t>5</w:t>
      </w:r>
      <w:r w:rsidR="00106B1A" w:rsidRPr="00441526">
        <w:rPr>
          <w:lang w:val="en-NZ"/>
        </w:rPr>
        <w:t>/</w:t>
      </w:r>
      <w:r w:rsidR="00106B1A" w:rsidRPr="00106B1A">
        <w:rPr>
          <w:lang w:val="en-NZ"/>
        </w:rPr>
        <w:t xml:space="preserve">INP-109 (MLA-THA), </w:t>
      </w:r>
      <w:r w:rsidR="00106B1A" w:rsidRPr="00441526">
        <w:rPr>
          <w:lang w:val="en-NZ"/>
        </w:rPr>
        <w:t>APG19-</w:t>
      </w:r>
      <w:r w:rsidR="00106B1A">
        <w:rPr>
          <w:lang w:val="en-NZ"/>
        </w:rPr>
        <w:t>5</w:t>
      </w:r>
      <w:r w:rsidR="00106B1A" w:rsidRPr="00441526">
        <w:rPr>
          <w:lang w:val="en-NZ"/>
        </w:rPr>
        <w:t>/</w:t>
      </w:r>
      <w:r w:rsidR="00106B1A" w:rsidRPr="00106B1A">
        <w:rPr>
          <w:lang w:val="en-NZ"/>
        </w:rPr>
        <w:t xml:space="preserve">INP-120 (VTN), </w:t>
      </w:r>
      <w:r w:rsidR="00106B1A" w:rsidRPr="00441526">
        <w:rPr>
          <w:lang w:val="en-NZ"/>
        </w:rPr>
        <w:t>APG19-</w:t>
      </w:r>
      <w:r w:rsidR="00106B1A">
        <w:rPr>
          <w:lang w:val="en-NZ"/>
        </w:rPr>
        <w:t>5</w:t>
      </w:r>
      <w:r w:rsidR="00106B1A" w:rsidRPr="00441526">
        <w:rPr>
          <w:lang w:val="en-NZ"/>
        </w:rPr>
        <w:t>/</w:t>
      </w:r>
      <w:r w:rsidR="00106B1A" w:rsidRPr="00106B1A">
        <w:rPr>
          <w:lang w:val="en-NZ"/>
        </w:rPr>
        <w:t xml:space="preserve">INP-130 (KOR), </w:t>
      </w:r>
      <w:r w:rsidR="00106B1A" w:rsidRPr="00441526">
        <w:rPr>
          <w:lang w:val="en-NZ"/>
        </w:rPr>
        <w:t>APG19-</w:t>
      </w:r>
      <w:r w:rsidR="00106B1A">
        <w:rPr>
          <w:lang w:val="en-NZ"/>
        </w:rPr>
        <w:t>5</w:t>
      </w:r>
      <w:r w:rsidR="00106B1A" w:rsidRPr="00441526">
        <w:rPr>
          <w:lang w:val="en-NZ"/>
        </w:rPr>
        <w:t>/</w:t>
      </w:r>
      <w:r w:rsidR="00106B1A" w:rsidRPr="00106B1A">
        <w:rPr>
          <w:lang w:val="en-NZ"/>
        </w:rPr>
        <w:t>INP-1</w:t>
      </w:r>
      <w:r w:rsidR="003573BF">
        <w:rPr>
          <w:lang w:val="en-NZ"/>
        </w:rPr>
        <w:t>35 (IND).</w:t>
      </w:r>
    </w:p>
    <w:p w:rsidR="00106B1A" w:rsidRPr="00106B1A" w:rsidRDefault="002A0111" w:rsidP="00CA25F5">
      <w:pPr>
        <w:numPr>
          <w:ilvl w:val="0"/>
          <w:numId w:val="18"/>
        </w:numPr>
        <w:spacing w:before="240" w:after="240"/>
        <w:ind w:leftChars="145" w:left="708"/>
        <w:jc w:val="both"/>
        <w:rPr>
          <w:lang w:val="en-NZ"/>
        </w:rPr>
      </w:pPr>
      <w:r w:rsidRPr="00441526">
        <w:rPr>
          <w:lang w:val="en-NZ"/>
        </w:rPr>
        <w:t>Information Documents</w:t>
      </w:r>
      <w:r w:rsidR="00106B1A">
        <w:rPr>
          <w:lang w:val="en-NZ"/>
        </w:rPr>
        <w:t xml:space="preserve">: </w:t>
      </w:r>
      <w:r w:rsidRPr="00441526">
        <w:rPr>
          <w:lang w:val="en-NZ"/>
        </w:rPr>
        <w:t xml:space="preserve"> </w:t>
      </w:r>
      <w:r w:rsidR="00CA25F5" w:rsidRPr="00CA25F5">
        <w:rPr>
          <w:lang w:val="en-NZ"/>
        </w:rPr>
        <w:t>APG19-4-OUT-31</w:t>
      </w:r>
      <w:r w:rsidR="00CA25F5">
        <w:rPr>
          <w:lang w:val="en-NZ"/>
        </w:rPr>
        <w:t xml:space="preserve">, </w:t>
      </w:r>
      <w:r w:rsidRPr="00441526">
        <w:rPr>
          <w:lang w:val="en-NZ"/>
        </w:rPr>
        <w:t>APG19-</w:t>
      </w:r>
      <w:r w:rsidR="009B6BD5">
        <w:rPr>
          <w:lang w:val="en-NZ"/>
        </w:rPr>
        <w:t>5/</w:t>
      </w:r>
      <w:r w:rsidR="00106B1A">
        <w:rPr>
          <w:lang w:val="en-NZ"/>
        </w:rPr>
        <w:t>INF-01</w:t>
      </w:r>
      <w:r w:rsidR="00106B1A" w:rsidRPr="00106B1A">
        <w:rPr>
          <w:lang w:val="en-NZ"/>
        </w:rPr>
        <w:t xml:space="preserve"> (WMO)</w:t>
      </w:r>
      <w:r w:rsidR="00106B1A">
        <w:rPr>
          <w:lang w:val="en-NZ"/>
        </w:rPr>
        <w:t xml:space="preserve">, </w:t>
      </w:r>
      <w:r w:rsidR="00106B1A" w:rsidRPr="00441526">
        <w:rPr>
          <w:lang w:val="en-NZ"/>
        </w:rPr>
        <w:t>APG19-</w:t>
      </w:r>
      <w:r w:rsidR="00106B1A">
        <w:rPr>
          <w:lang w:val="en-NZ"/>
        </w:rPr>
        <w:t>5/</w:t>
      </w:r>
      <w:r w:rsidR="00106B1A" w:rsidRPr="00106B1A">
        <w:rPr>
          <w:lang w:val="en-NZ"/>
        </w:rPr>
        <w:t>INF-0</w:t>
      </w:r>
      <w:r w:rsidR="00106B1A">
        <w:rPr>
          <w:lang w:val="en-NZ"/>
        </w:rPr>
        <w:t>2</w:t>
      </w:r>
      <w:r w:rsidR="00106B1A" w:rsidRPr="00106B1A">
        <w:rPr>
          <w:lang w:val="en-NZ"/>
        </w:rPr>
        <w:t xml:space="preserve"> (ICAO), </w:t>
      </w:r>
      <w:r w:rsidR="00106B1A" w:rsidRPr="00441526">
        <w:rPr>
          <w:lang w:val="en-NZ"/>
        </w:rPr>
        <w:t>APG19-</w:t>
      </w:r>
      <w:r w:rsidR="00106B1A">
        <w:rPr>
          <w:lang w:val="en-NZ"/>
        </w:rPr>
        <w:t>5/INF-03</w:t>
      </w:r>
      <w:r w:rsidR="00106B1A" w:rsidRPr="00106B1A">
        <w:rPr>
          <w:lang w:val="en-NZ"/>
        </w:rPr>
        <w:t xml:space="preserve"> </w:t>
      </w:r>
      <w:r w:rsidR="00310D4F">
        <w:rPr>
          <w:lang w:val="en-NZ"/>
        </w:rPr>
        <w:t xml:space="preserve">Rev-1 </w:t>
      </w:r>
      <w:r w:rsidR="00106B1A" w:rsidRPr="00106B1A">
        <w:rPr>
          <w:lang w:val="en-NZ"/>
        </w:rPr>
        <w:t>(</w:t>
      </w:r>
      <w:r w:rsidR="00106B1A" w:rsidRPr="003573BF">
        <w:rPr>
          <w:lang w:val="en-NZ"/>
        </w:rPr>
        <w:t>IARU</w:t>
      </w:r>
      <w:r w:rsidR="00106B1A" w:rsidRPr="00106B1A">
        <w:rPr>
          <w:lang w:val="en-NZ"/>
        </w:rPr>
        <w:t xml:space="preserve">), </w:t>
      </w:r>
      <w:r w:rsidR="00106B1A" w:rsidRPr="00441526">
        <w:rPr>
          <w:lang w:val="en-NZ"/>
        </w:rPr>
        <w:t>APG19-</w:t>
      </w:r>
      <w:r w:rsidR="00106B1A">
        <w:rPr>
          <w:lang w:val="en-NZ"/>
        </w:rPr>
        <w:t>5/</w:t>
      </w:r>
      <w:r w:rsidR="00106B1A" w:rsidRPr="00106B1A">
        <w:rPr>
          <w:lang w:val="en-NZ"/>
        </w:rPr>
        <w:t xml:space="preserve">INF-18 (CEPT), </w:t>
      </w:r>
      <w:r w:rsidR="00106B1A" w:rsidRPr="00441526">
        <w:rPr>
          <w:lang w:val="en-NZ"/>
        </w:rPr>
        <w:t>APG19-</w:t>
      </w:r>
      <w:r w:rsidR="00106B1A">
        <w:rPr>
          <w:lang w:val="en-NZ"/>
        </w:rPr>
        <w:t>5/</w:t>
      </w:r>
      <w:r w:rsidR="00106B1A" w:rsidRPr="00106B1A">
        <w:rPr>
          <w:lang w:val="en-NZ"/>
        </w:rPr>
        <w:t xml:space="preserve">INF-19 (ATU), </w:t>
      </w:r>
      <w:r w:rsidR="00106B1A" w:rsidRPr="00441526">
        <w:rPr>
          <w:lang w:val="en-NZ"/>
        </w:rPr>
        <w:t>APG19-</w:t>
      </w:r>
      <w:r w:rsidR="00106B1A">
        <w:rPr>
          <w:lang w:val="en-NZ"/>
        </w:rPr>
        <w:t>5/</w:t>
      </w:r>
      <w:r w:rsidR="00106B1A" w:rsidRPr="00106B1A">
        <w:rPr>
          <w:lang w:val="en-NZ"/>
        </w:rPr>
        <w:t>INF-20 (CITEL)</w:t>
      </w:r>
      <w:r w:rsidR="00106B1A">
        <w:rPr>
          <w:lang w:val="en-NZ"/>
        </w:rPr>
        <w:t xml:space="preserve">, </w:t>
      </w:r>
      <w:r w:rsidR="00106B1A" w:rsidRPr="00441526">
        <w:rPr>
          <w:lang w:val="en-NZ"/>
        </w:rPr>
        <w:t>APG19-</w:t>
      </w:r>
      <w:r w:rsidR="00106B1A">
        <w:rPr>
          <w:lang w:val="en-NZ"/>
        </w:rPr>
        <w:t>5/</w:t>
      </w:r>
      <w:r w:rsidR="00106B1A" w:rsidRPr="00106B1A">
        <w:rPr>
          <w:lang w:val="en-NZ"/>
        </w:rPr>
        <w:t>INF-2</w:t>
      </w:r>
      <w:r w:rsidR="00A46572">
        <w:rPr>
          <w:lang w:val="en-NZ"/>
        </w:rPr>
        <w:t>2</w:t>
      </w:r>
      <w:r w:rsidR="00106B1A" w:rsidRPr="00106B1A">
        <w:rPr>
          <w:lang w:val="en-NZ"/>
        </w:rPr>
        <w:t xml:space="preserve"> (</w:t>
      </w:r>
      <w:r w:rsidR="00106B1A">
        <w:rPr>
          <w:lang w:val="en-NZ"/>
        </w:rPr>
        <w:t>RCC</w:t>
      </w:r>
      <w:r w:rsidR="00106B1A" w:rsidRPr="00106B1A">
        <w:rPr>
          <w:lang w:val="en-NZ"/>
        </w:rPr>
        <w:t>)</w:t>
      </w:r>
      <w:r w:rsidR="003573BF">
        <w:rPr>
          <w:lang w:val="en-NZ"/>
        </w:rPr>
        <w:t>.</w:t>
      </w:r>
    </w:p>
    <w:p w:rsidR="002A0111" w:rsidRPr="00441526" w:rsidRDefault="002A0111" w:rsidP="00030115">
      <w:pPr>
        <w:spacing w:before="240" w:after="240"/>
        <w:rPr>
          <w:b/>
          <w:lang w:val="en-NZ" w:eastAsia="ko-KR"/>
        </w:rPr>
      </w:pPr>
      <w:r w:rsidRPr="00441526">
        <w:rPr>
          <w:b/>
          <w:lang w:val="en-NZ" w:eastAsia="ko-KR"/>
        </w:rPr>
        <w:t xml:space="preserve">3. </w:t>
      </w:r>
      <w:r w:rsidRPr="00441526">
        <w:rPr>
          <w:b/>
          <w:lang w:val="en-NZ" w:eastAsia="ko-KR"/>
        </w:rPr>
        <w:tab/>
        <w:t>Summary of discussions</w:t>
      </w:r>
    </w:p>
    <w:p w:rsidR="002A0111" w:rsidRPr="00441526" w:rsidRDefault="002A0111" w:rsidP="00030115">
      <w:pPr>
        <w:spacing w:before="240" w:after="24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rsidR="002A0111" w:rsidRPr="00441526" w:rsidRDefault="002A0111" w:rsidP="00030115">
      <w:pPr>
        <w:spacing w:before="240" w:after="240"/>
        <w:jc w:val="both"/>
        <w:rPr>
          <w:b/>
          <w:lang w:val="en-NZ" w:eastAsia="ko-KR"/>
        </w:rPr>
      </w:pPr>
      <w:r w:rsidRPr="00441526">
        <w:rPr>
          <w:b/>
          <w:lang w:val="en-NZ" w:eastAsia="ko-KR"/>
        </w:rPr>
        <w:t xml:space="preserve">3.1.1 </w:t>
      </w:r>
      <w:r w:rsidRPr="00441526">
        <w:rPr>
          <w:b/>
          <w:lang w:val="en-NZ" w:eastAsia="ko-KR"/>
        </w:rPr>
        <w:tab/>
      </w:r>
      <w:r w:rsidR="00BB6A89" w:rsidRPr="008B7F07">
        <w:rPr>
          <w:b/>
          <w:lang w:val="en-NZ" w:eastAsia="ko-KR"/>
        </w:rPr>
        <w:t>New Zealand</w:t>
      </w:r>
      <w:r w:rsidRPr="00441526">
        <w:rPr>
          <w:b/>
          <w:lang w:val="en-NZ" w:eastAsia="ko-KR"/>
        </w:rPr>
        <w:t xml:space="preserve"> </w:t>
      </w:r>
      <w:r w:rsidRPr="008B7F07">
        <w:rPr>
          <w:b/>
          <w:lang w:val="en-NZ" w:eastAsia="ko-KR"/>
        </w:rPr>
        <w:t xml:space="preserve">- </w:t>
      </w:r>
      <w:r w:rsidRPr="00441526">
        <w:rPr>
          <w:b/>
          <w:lang w:val="en-NZ" w:eastAsia="ko-KR"/>
        </w:rPr>
        <w:t>Document APG19-</w:t>
      </w:r>
      <w:r w:rsidR="00CD256B">
        <w:rPr>
          <w:b/>
          <w:lang w:val="en-NZ" w:eastAsia="ko-KR"/>
        </w:rPr>
        <w:t>5</w:t>
      </w:r>
      <w:r w:rsidRPr="00441526">
        <w:rPr>
          <w:b/>
          <w:lang w:val="en-NZ" w:eastAsia="ko-KR"/>
        </w:rPr>
        <w:t>/INP-</w:t>
      </w:r>
      <w:r w:rsidR="00BB6A89">
        <w:rPr>
          <w:b/>
          <w:lang w:val="en-NZ" w:eastAsia="ko-KR"/>
        </w:rPr>
        <w:t>19</w:t>
      </w:r>
    </w:p>
    <w:p w:rsidR="00BB6A89" w:rsidRPr="000D2474" w:rsidRDefault="00BB6A89" w:rsidP="00030115">
      <w:pPr>
        <w:spacing w:before="240" w:after="240"/>
        <w:ind w:left="720"/>
        <w:jc w:val="both"/>
      </w:pPr>
      <w:r w:rsidRPr="000D2474">
        <w:t>New Zealand supports a new allocation to space operation (Earth-to-space) service in the frequency range 403-404 MHz (i.e. Method B1). New Zealand also supports the proposed changes to use the existing space operation service allocation in the frequency bands 137-138 MHz and 148-149.9 MHz for telecommand links of non-GSO short duration missions (i.e. Method C).</w:t>
      </w:r>
    </w:p>
    <w:p w:rsidR="00BB6A89" w:rsidRPr="008D5D40" w:rsidRDefault="00BB6A89" w:rsidP="00030115">
      <w:pPr>
        <w:spacing w:before="240" w:after="240"/>
        <w:ind w:left="720"/>
        <w:jc w:val="both"/>
        <w:rPr>
          <w:lang w:val="en-NZ"/>
        </w:rPr>
      </w:pPr>
      <w:r w:rsidRPr="008D5D40">
        <w:rPr>
          <w:lang w:val="en-NZ"/>
        </w:rPr>
        <w:t xml:space="preserve">New Zealand is </w:t>
      </w:r>
      <w:r>
        <w:rPr>
          <w:lang w:val="en-NZ"/>
        </w:rPr>
        <w:t xml:space="preserve">also </w:t>
      </w:r>
      <w:r w:rsidRPr="008D5D40">
        <w:rPr>
          <w:lang w:val="en-NZ"/>
        </w:rPr>
        <w:t>of the view that the following frequency ranges should not be considered:</w:t>
      </w:r>
    </w:p>
    <w:p w:rsidR="00BB6A89" w:rsidRPr="008D5D40" w:rsidRDefault="00BB6A89" w:rsidP="00030115">
      <w:pPr>
        <w:pStyle w:val="ListParagraph"/>
        <w:numPr>
          <w:ilvl w:val="0"/>
          <w:numId w:val="18"/>
        </w:numPr>
        <w:spacing w:before="240" w:after="240"/>
        <w:ind w:left="1000"/>
        <w:jc w:val="both"/>
        <w:rPr>
          <w:lang w:val="en-NZ"/>
        </w:rPr>
      </w:pPr>
      <w:r w:rsidRPr="008D5D40">
        <w:rPr>
          <w:lang w:val="en-NZ"/>
        </w:rPr>
        <w:t xml:space="preserve">maritime mobile VHF radiocommunication in the frequency ranges 156-157.45 MHz, 160.6-160.975 MHz and 161.475-162.05 MHz, in accordance with RR No. </w:t>
      </w:r>
      <w:r w:rsidRPr="008D5D40">
        <w:rPr>
          <w:b/>
          <w:lang w:val="en-NZ"/>
        </w:rPr>
        <w:t>5.226</w:t>
      </w:r>
      <w:r w:rsidRPr="008D5D40">
        <w:rPr>
          <w:lang w:val="en-NZ"/>
        </w:rPr>
        <w:t xml:space="preserve"> and Appendix </w:t>
      </w:r>
      <w:r w:rsidRPr="008D5D40">
        <w:rPr>
          <w:b/>
          <w:lang w:val="en-NZ"/>
        </w:rPr>
        <w:t>18 (Rev. WRC-15)</w:t>
      </w:r>
      <w:r w:rsidRPr="008D5D40">
        <w:rPr>
          <w:lang w:val="en-NZ"/>
        </w:rPr>
        <w:t xml:space="preserve">; and </w:t>
      </w:r>
    </w:p>
    <w:p w:rsidR="004F477A" w:rsidRPr="00441526" w:rsidRDefault="00BB6A89" w:rsidP="00030115">
      <w:pPr>
        <w:numPr>
          <w:ilvl w:val="0"/>
          <w:numId w:val="18"/>
        </w:numPr>
        <w:spacing w:before="240" w:after="240"/>
        <w:ind w:left="1000"/>
        <w:jc w:val="both"/>
        <w:rPr>
          <w:lang w:val="en-NZ"/>
        </w:rPr>
      </w:pPr>
      <w:r w:rsidRPr="008D5D40">
        <w:rPr>
          <w:lang w:val="en-NZ"/>
        </w:rPr>
        <w:lastRenderedPageBreak/>
        <w:t xml:space="preserve">mobile-satellite service in the frequency range 406-406.1 MHz that is dedicated for satellite emergency position-indicating radio beacons, in accordance with Resolution </w:t>
      </w:r>
      <w:r w:rsidRPr="008D5D40">
        <w:rPr>
          <w:b/>
          <w:lang w:val="en-NZ"/>
        </w:rPr>
        <w:t>205 (Rev. WRC-15)</w:t>
      </w:r>
      <w:r w:rsidRPr="008D5D40">
        <w:rPr>
          <w:lang w:val="en-NZ"/>
        </w:rPr>
        <w:t>.</w:t>
      </w:r>
    </w:p>
    <w:p w:rsidR="00D45C09" w:rsidRPr="00441526" w:rsidRDefault="000D2474" w:rsidP="00030115">
      <w:pPr>
        <w:spacing w:before="240" w:after="240"/>
        <w:jc w:val="both"/>
        <w:rPr>
          <w:b/>
          <w:lang w:val="en-NZ" w:eastAsia="ko-KR"/>
        </w:rPr>
      </w:pPr>
      <w:r>
        <w:rPr>
          <w:b/>
          <w:lang w:val="en-NZ" w:eastAsia="ko-KR"/>
        </w:rPr>
        <w:t>3.1.2</w:t>
      </w:r>
      <w:r w:rsidR="00D45C09" w:rsidRPr="00441526">
        <w:rPr>
          <w:b/>
          <w:lang w:val="en-NZ" w:eastAsia="ko-KR"/>
        </w:rPr>
        <w:t xml:space="preserve"> </w:t>
      </w:r>
      <w:r w:rsidR="00D45C09" w:rsidRPr="00441526">
        <w:rPr>
          <w:b/>
          <w:lang w:val="en-NZ" w:eastAsia="ko-KR"/>
        </w:rPr>
        <w:tab/>
      </w:r>
      <w:r w:rsidR="00BB6A89" w:rsidRPr="008B7F07">
        <w:rPr>
          <w:b/>
          <w:lang w:val="en-NZ" w:eastAsia="ko-KR"/>
        </w:rPr>
        <w:t>Islamic Republic of Iran</w:t>
      </w:r>
      <w:r w:rsidR="00D45C09" w:rsidRPr="00441526">
        <w:rPr>
          <w:b/>
          <w:lang w:val="en-NZ" w:eastAsia="ko-KR"/>
        </w:rPr>
        <w:t xml:space="preserve"> </w:t>
      </w:r>
      <w:r w:rsidR="00D45C09" w:rsidRPr="008B7F07">
        <w:rPr>
          <w:b/>
          <w:lang w:val="en-NZ" w:eastAsia="ko-KR"/>
        </w:rPr>
        <w:t xml:space="preserve">- </w:t>
      </w:r>
      <w:r w:rsidR="00D45C09" w:rsidRPr="00441526">
        <w:rPr>
          <w:b/>
          <w:lang w:val="en-NZ" w:eastAsia="ko-KR"/>
        </w:rPr>
        <w:t>Document APG19-</w:t>
      </w:r>
      <w:r w:rsidR="00D45C09">
        <w:rPr>
          <w:b/>
          <w:lang w:val="en-NZ" w:eastAsia="ko-KR"/>
        </w:rPr>
        <w:t>5</w:t>
      </w:r>
      <w:r w:rsidR="00D45C09" w:rsidRPr="00441526">
        <w:rPr>
          <w:b/>
          <w:lang w:val="en-NZ" w:eastAsia="ko-KR"/>
        </w:rPr>
        <w:t>/</w:t>
      </w:r>
      <w:r w:rsidR="00BB6A89">
        <w:rPr>
          <w:b/>
          <w:lang w:val="en-NZ" w:eastAsia="ko-KR"/>
        </w:rPr>
        <w:t>38</w:t>
      </w:r>
    </w:p>
    <w:p w:rsidR="00BB6A89" w:rsidRDefault="00BB6A89" w:rsidP="00030115">
      <w:pPr>
        <w:spacing w:before="240" w:after="240"/>
        <w:ind w:left="720"/>
        <w:jc w:val="both"/>
      </w:pPr>
      <w:r>
        <w:t>Regarding the above diverse conclusions for the sharing studies in CPM report, it seems that Method B could not satisfy this agenda item.</w:t>
      </w:r>
    </w:p>
    <w:p w:rsidR="00BB6A89" w:rsidRDefault="00BB6A89" w:rsidP="00030115">
      <w:pPr>
        <w:spacing w:before="240" w:after="240"/>
        <w:ind w:left="720"/>
        <w:jc w:val="both"/>
      </w:pPr>
      <w:r>
        <w:t>In method C, it seems that there are some benefits and drawbacks. The benefits of this Method in the frequency band 137-138 MHz are as follows:</w:t>
      </w:r>
    </w:p>
    <w:p w:rsidR="00BB6A89" w:rsidRDefault="00BB6A89" w:rsidP="00030115">
      <w:pPr>
        <w:pStyle w:val="ListParagraph"/>
        <w:numPr>
          <w:ilvl w:val="0"/>
          <w:numId w:val="25"/>
        </w:numPr>
        <w:spacing w:before="240" w:after="240" w:line="259" w:lineRule="auto"/>
        <w:ind w:left="1080"/>
        <w:jc w:val="both"/>
      </w:pPr>
      <w:r>
        <w:t xml:space="preserve">In Method C, the frequency band 137-138 MHz which has already been allocated to space operation service (space-to-Earth) would be </w:t>
      </w:r>
      <w:r w:rsidRPr="00A745DA">
        <w:t>identified</w:t>
      </w:r>
      <w:r>
        <w:t xml:space="preserve"> for the application of </w:t>
      </w:r>
      <w:r w:rsidRPr="006172D5">
        <w:t>telemetry, tracking and command links of non-GSO satellites with short duration missions</w:t>
      </w:r>
      <w:r>
        <w:t xml:space="preserve"> through addition of a new footnote </w:t>
      </w:r>
      <w:r w:rsidRPr="003E1AEF">
        <w:rPr>
          <w:i/>
          <w:iCs/>
        </w:rPr>
        <w:t xml:space="preserve">(refer to No. </w:t>
      </w:r>
      <w:r w:rsidRPr="005C6E6C">
        <w:rPr>
          <w:b/>
          <w:bCs/>
          <w:i/>
          <w:iCs/>
        </w:rPr>
        <w:t>5.C17</w:t>
      </w:r>
      <w:r w:rsidRPr="003E1AEF">
        <w:rPr>
          <w:i/>
          <w:iCs/>
        </w:rPr>
        <w:t xml:space="preserve">  </w:t>
      </w:r>
      <w:r>
        <w:rPr>
          <w:i/>
          <w:iCs/>
        </w:rPr>
        <w:t xml:space="preserve"> and considering d) in draft new Resolution [A17-Method-C] </w:t>
      </w:r>
      <w:r w:rsidRPr="003E1AEF">
        <w:rPr>
          <w:i/>
          <w:iCs/>
        </w:rPr>
        <w:t>in section 4/1.7/5.4</w:t>
      </w:r>
      <w:r>
        <w:rPr>
          <w:i/>
          <w:iCs/>
        </w:rPr>
        <w:t>)</w:t>
      </w:r>
      <w:r>
        <w:t xml:space="preserve">. </w:t>
      </w:r>
    </w:p>
    <w:p w:rsidR="00BB6A89" w:rsidRDefault="00BB6A89" w:rsidP="00030115">
      <w:pPr>
        <w:pStyle w:val="ListParagraph"/>
        <w:numPr>
          <w:ilvl w:val="0"/>
          <w:numId w:val="25"/>
        </w:numPr>
        <w:spacing w:before="240" w:after="240" w:line="259" w:lineRule="auto"/>
        <w:ind w:left="1080"/>
        <w:jc w:val="both"/>
      </w:pPr>
      <w:r>
        <w:t xml:space="preserve">In Method C, in the draft new Resolution [A17-method-C], a </w:t>
      </w:r>
      <w:proofErr w:type="spellStart"/>
      <w:r>
        <w:t>pfd</w:t>
      </w:r>
      <w:proofErr w:type="spellEnd"/>
      <w:r>
        <w:t xml:space="preserve"> value of </w:t>
      </w:r>
      <w:r w:rsidRPr="00E54E02">
        <w:t>−</w:t>
      </w:r>
      <w:r>
        <w:t xml:space="preserve">140 </w:t>
      </w:r>
      <w:proofErr w:type="gramStart"/>
      <w:r>
        <w:t>dB(</w:t>
      </w:r>
      <w:proofErr w:type="gramEnd"/>
      <w:r>
        <w:t>W/(m2.</w:t>
      </w:r>
      <w:r w:rsidRPr="00E54E02">
        <w:t xml:space="preserve"> 4 kHz))</w:t>
      </w:r>
      <w:r>
        <w:t xml:space="preserve"> has been included for ensuring the protection of terrestrial services</w:t>
      </w:r>
      <w:r w:rsidRPr="003E1AEF">
        <w:t xml:space="preserve"> </w:t>
      </w:r>
      <w:r>
        <w:t xml:space="preserve">in the frequency band 137-138 </w:t>
      </w:r>
      <w:proofErr w:type="spellStart"/>
      <w:r>
        <w:t>MHz.</w:t>
      </w:r>
      <w:proofErr w:type="spellEnd"/>
      <w:r>
        <w:t xml:space="preserve"> This </w:t>
      </w:r>
      <w:proofErr w:type="spellStart"/>
      <w:r>
        <w:t>pfd</w:t>
      </w:r>
      <w:proofErr w:type="spellEnd"/>
      <w:r>
        <w:t xml:space="preserve"> value is the same as the coordination threshold that has already been taken in the same frequency band for space stations of MSS (space-to-Earth)</w:t>
      </w:r>
      <w:r w:rsidRPr="00B22FC7">
        <w:t xml:space="preserve"> </w:t>
      </w:r>
      <w:r>
        <w:t xml:space="preserve">with respect to terrestrial services (see sections 1.1.1 and 1.1.2 of Annex 1 of Appendix 5 of RR). </w:t>
      </w:r>
      <w:r w:rsidRPr="00E54E02">
        <w:t xml:space="preserve">If this level is exceeded, </w:t>
      </w:r>
      <w:r>
        <w:t xml:space="preserve">RR </w:t>
      </w:r>
      <w:r w:rsidRPr="00E54E02">
        <w:t xml:space="preserve">No. </w:t>
      </w:r>
      <w:r w:rsidRPr="00BC0C27">
        <w:rPr>
          <w:b/>
          <w:bCs/>
        </w:rPr>
        <w:t>9.11A</w:t>
      </w:r>
      <w:r w:rsidRPr="00E54E02">
        <w:t xml:space="preserve"> applies for networks or syst</w:t>
      </w:r>
      <w:r>
        <w:t xml:space="preserve">ems within the SOS in this band (refer to </w:t>
      </w:r>
      <w:r w:rsidRPr="006678B5">
        <w:rPr>
          <w:i/>
          <w:iCs/>
        </w:rPr>
        <w:t>resolves 2</w:t>
      </w:r>
      <w:r>
        <w:t xml:space="preserve"> in the draft new Resolution [A17-method-C]).</w:t>
      </w:r>
    </w:p>
    <w:p w:rsidR="00BB6A89" w:rsidRDefault="00BB6A89" w:rsidP="00030115">
      <w:pPr>
        <w:spacing w:before="240" w:after="240"/>
        <w:ind w:left="720"/>
        <w:jc w:val="both"/>
      </w:pPr>
      <w:r>
        <w:t>The drawback of the Method C in the frequency band 137-138 MHz is the following:</w:t>
      </w:r>
    </w:p>
    <w:p w:rsidR="00BB6A89" w:rsidRDefault="00BB6A89" w:rsidP="00030115">
      <w:pPr>
        <w:pStyle w:val="ListParagraph"/>
        <w:numPr>
          <w:ilvl w:val="0"/>
          <w:numId w:val="27"/>
        </w:numPr>
        <w:spacing w:before="240" w:after="240" w:line="259" w:lineRule="auto"/>
        <w:ind w:left="1080"/>
        <w:jc w:val="both"/>
      </w:pPr>
      <w:r>
        <w:t xml:space="preserve">The </w:t>
      </w:r>
      <w:r w:rsidRPr="00D76CFD">
        <w:t xml:space="preserve">applicability of </w:t>
      </w:r>
      <w:r>
        <w:t xml:space="preserve">the </w:t>
      </w:r>
      <w:r w:rsidRPr="00D76CFD">
        <w:t>above coordination threshold</w:t>
      </w:r>
      <w:r>
        <w:t xml:space="preserve"> for non-GSO application in SOS has not yet been demonstrated, nor whether </w:t>
      </w:r>
      <w:r w:rsidRPr="008D7130">
        <w:t>it</w:t>
      </w:r>
      <w:r>
        <w:t xml:space="preserve"> </w:t>
      </w:r>
      <w:r w:rsidRPr="008D7130">
        <w:t>would be sufficient to ensure protection of in-band and adjacent-band incumbent systems from the short-duration SOS application</w:t>
      </w:r>
      <w:r>
        <w:t xml:space="preserve"> (refer to section 4/1.7/4.3). Pursuant to this issue, it is outlined in disadvantage part of Method C in section 4/1.7/4.3  that :  </w:t>
      </w:r>
    </w:p>
    <w:p w:rsidR="00BB6A89" w:rsidRDefault="00BB6A89" w:rsidP="00030115">
      <w:pPr>
        <w:pStyle w:val="ListParagraph"/>
        <w:spacing w:before="240" w:after="240"/>
        <w:ind w:left="927"/>
        <w:jc w:val="both"/>
      </w:pPr>
      <w:r>
        <w:t>“Consideration of the 137-138 MHz frequency band for non-GSO SD may need further regulatory and technical studies. “</w:t>
      </w:r>
    </w:p>
    <w:p w:rsidR="00BB6A89" w:rsidRDefault="00BB6A89" w:rsidP="00030115">
      <w:pPr>
        <w:spacing w:before="240" w:after="240"/>
        <w:ind w:left="720"/>
        <w:jc w:val="both"/>
      </w:pPr>
      <w:r>
        <w:t>In Method C, for the frequency band 148-149.9 MHz, the following drawbacks are observed:</w:t>
      </w:r>
    </w:p>
    <w:p w:rsidR="00BB6A89" w:rsidRPr="00FF6938" w:rsidRDefault="00BB6A89" w:rsidP="00030115">
      <w:pPr>
        <w:pStyle w:val="ListParagraph"/>
        <w:numPr>
          <w:ilvl w:val="0"/>
          <w:numId w:val="26"/>
        </w:numPr>
        <w:tabs>
          <w:tab w:val="left" w:pos="794"/>
          <w:tab w:val="left" w:pos="1191"/>
          <w:tab w:val="left" w:pos="1588"/>
          <w:tab w:val="left" w:pos="1985"/>
        </w:tabs>
        <w:spacing w:before="240" w:after="240" w:line="259" w:lineRule="auto"/>
        <w:ind w:left="1080"/>
        <w:jc w:val="both"/>
      </w:pPr>
      <w:r>
        <w:t xml:space="preserve">The frequency band 148-149.9 MHz has already been allocated to space operation service (Earth-to-space) in the RR No. </w:t>
      </w:r>
      <w:r w:rsidRPr="009A394A">
        <w:rPr>
          <w:b/>
          <w:bCs/>
        </w:rPr>
        <w:t>5.218</w:t>
      </w:r>
      <w:r>
        <w:t xml:space="preserve">, subject to agreement obtained under RR No. </w:t>
      </w:r>
      <w:r w:rsidRPr="00A86DCC">
        <w:rPr>
          <w:b/>
          <w:bCs/>
        </w:rPr>
        <w:t>9.21</w:t>
      </w:r>
      <w:r>
        <w:t xml:space="preserve">. In method C, space operation service (Earth-to-space) is add directly as a primary service in the 148-149 MHz frequency band in the table of frequency allocation,  and with modification of RR No. </w:t>
      </w:r>
      <w:r w:rsidRPr="007C32A0">
        <w:rPr>
          <w:b/>
          <w:bCs/>
        </w:rPr>
        <w:t>5.218</w:t>
      </w:r>
      <w:r>
        <w:t xml:space="preserve">, the reference to RR No </w:t>
      </w:r>
      <w:r w:rsidRPr="00A86DCC">
        <w:rPr>
          <w:b/>
          <w:bCs/>
        </w:rPr>
        <w:t>9.21</w:t>
      </w:r>
      <w:r>
        <w:t xml:space="preserve"> is removed from this footnote without inspecting or assessing the effects. </w:t>
      </w:r>
    </w:p>
    <w:p w:rsidR="00BB6A89" w:rsidRPr="00A86DCC" w:rsidRDefault="00BB6A89" w:rsidP="00030115">
      <w:pPr>
        <w:pStyle w:val="ListParagraph"/>
        <w:tabs>
          <w:tab w:val="left" w:pos="794"/>
          <w:tab w:val="left" w:pos="1191"/>
          <w:tab w:val="left" w:pos="1588"/>
          <w:tab w:val="left" w:pos="1985"/>
        </w:tabs>
        <w:spacing w:before="240" w:after="240"/>
        <w:ind w:left="1080"/>
        <w:jc w:val="both"/>
      </w:pPr>
      <w:r>
        <w:t>Considering the above, it is outlined in the</w:t>
      </w:r>
      <w:r w:rsidRPr="009651CA">
        <w:t xml:space="preserve"> </w:t>
      </w:r>
      <w:r>
        <w:t>disadvantage part of Method C in section 4/1.7/4.3 that:</w:t>
      </w:r>
    </w:p>
    <w:p w:rsidR="00BB6A89" w:rsidRDefault="00BB6A89" w:rsidP="00030115">
      <w:pPr>
        <w:pStyle w:val="ListParagraph"/>
        <w:tabs>
          <w:tab w:val="left" w:pos="794"/>
          <w:tab w:val="left" w:pos="1191"/>
          <w:tab w:val="left" w:pos="1588"/>
          <w:tab w:val="left" w:pos="1985"/>
        </w:tabs>
        <w:spacing w:before="240" w:after="240"/>
        <w:ind w:left="1080"/>
        <w:jc w:val="both"/>
      </w:pPr>
      <w:r>
        <w:lastRenderedPageBreak/>
        <w:t>“</w:t>
      </w:r>
      <w:r w:rsidRPr="00D41D96">
        <w:t xml:space="preserve">The impact of removal of RR No. </w:t>
      </w:r>
      <w:r w:rsidRPr="006678B5">
        <w:rPr>
          <w:b/>
          <w:bCs/>
        </w:rPr>
        <w:t>9.21</w:t>
      </w:r>
      <w:r>
        <w:t xml:space="preserve"> in the frequency band 148-149.9 (in particular for non-GSO SD missions) is still to be investigated. “ </w:t>
      </w:r>
    </w:p>
    <w:p w:rsidR="00BB6A89" w:rsidRDefault="00BB6A89" w:rsidP="00030115">
      <w:pPr>
        <w:pStyle w:val="ListParagraph"/>
        <w:numPr>
          <w:ilvl w:val="0"/>
          <w:numId w:val="26"/>
        </w:numPr>
        <w:tabs>
          <w:tab w:val="left" w:pos="794"/>
          <w:tab w:val="left" w:pos="1191"/>
          <w:tab w:val="left" w:pos="1588"/>
          <w:tab w:val="left" w:pos="1985"/>
        </w:tabs>
        <w:spacing w:before="240" w:after="240" w:line="259" w:lineRule="auto"/>
        <w:ind w:left="1080"/>
        <w:jc w:val="both"/>
      </w:pPr>
      <w:r>
        <w:t xml:space="preserve">As outlined in </w:t>
      </w:r>
      <w:r w:rsidRPr="006678B5">
        <w:rPr>
          <w:i/>
          <w:iCs/>
        </w:rPr>
        <w:t>resolves</w:t>
      </w:r>
      <w:r>
        <w:t xml:space="preserve"> 3 in the draft new Resolution [A17-Method-C] in section 4/1.7/5.4:  </w:t>
      </w:r>
    </w:p>
    <w:p w:rsidR="00BB6A89" w:rsidRDefault="00BB6A89" w:rsidP="00030115">
      <w:pPr>
        <w:pStyle w:val="ListParagraph"/>
        <w:tabs>
          <w:tab w:val="left" w:pos="794"/>
          <w:tab w:val="left" w:pos="1191"/>
          <w:tab w:val="left" w:pos="1588"/>
          <w:tab w:val="left" w:pos="1985"/>
        </w:tabs>
        <w:spacing w:before="240" w:after="240" w:line="259" w:lineRule="auto"/>
        <w:ind w:left="1080"/>
        <w:jc w:val="both"/>
      </w:pPr>
      <w:r>
        <w:t>“I</w:t>
      </w:r>
      <w:r w:rsidRPr="004A7110">
        <w:t>n</w:t>
      </w:r>
      <w:r>
        <w:t xml:space="preserve"> t</w:t>
      </w:r>
      <w:r w:rsidRPr="00942819">
        <w:t>he frequency band 148-149.9 MHz</w:t>
      </w:r>
      <w:r>
        <w:t xml:space="preserve"> (Earth-to-space), No. </w:t>
      </w:r>
      <w:r w:rsidRPr="005C6E6C">
        <w:rPr>
          <w:b/>
          <w:bCs/>
        </w:rPr>
        <w:t>9.11A</w:t>
      </w:r>
      <w:r>
        <w:t xml:space="preserve"> does not </w:t>
      </w:r>
      <w:r w:rsidRPr="00A6107B">
        <w:t>apply to space operation service (SOS) (Earth-to-space) networks</w:t>
      </w:r>
      <w:r>
        <w:t xml:space="preserve"> “</w:t>
      </w:r>
    </w:p>
    <w:p w:rsidR="00BB6A89" w:rsidRDefault="00BB6A89" w:rsidP="00030115">
      <w:pPr>
        <w:pStyle w:val="ListParagraph"/>
        <w:tabs>
          <w:tab w:val="left" w:pos="794"/>
          <w:tab w:val="left" w:pos="1191"/>
          <w:tab w:val="left" w:pos="1588"/>
          <w:tab w:val="left" w:pos="1985"/>
        </w:tabs>
        <w:spacing w:before="240" w:after="240"/>
        <w:ind w:left="1080"/>
        <w:jc w:val="both"/>
      </w:pPr>
      <w:r>
        <w:t xml:space="preserve">Considering the above, it seems that the </w:t>
      </w:r>
      <w:r w:rsidRPr="00B6785E">
        <w:t>protection of the heavily used primary terrestrial services i</w:t>
      </w:r>
      <w:r>
        <w:t xml:space="preserve">s not ensured in this frequency band. </w:t>
      </w:r>
    </w:p>
    <w:p w:rsidR="00BB6A89" w:rsidRDefault="00BB6A89" w:rsidP="00030115">
      <w:pPr>
        <w:pStyle w:val="ListParagraph"/>
        <w:numPr>
          <w:ilvl w:val="0"/>
          <w:numId w:val="26"/>
        </w:numPr>
        <w:tabs>
          <w:tab w:val="left" w:pos="794"/>
          <w:tab w:val="left" w:pos="1191"/>
          <w:tab w:val="left" w:pos="1588"/>
          <w:tab w:val="left" w:pos="1985"/>
        </w:tabs>
        <w:spacing w:before="240" w:after="240" w:line="259" w:lineRule="auto"/>
        <w:ind w:left="1080"/>
        <w:jc w:val="both"/>
      </w:pPr>
      <w:r>
        <w:t>Modifying RR No.</w:t>
      </w:r>
      <w:r w:rsidRPr="004A7110">
        <w:t xml:space="preserve"> </w:t>
      </w:r>
      <w:r w:rsidRPr="005C6E6C">
        <w:rPr>
          <w:b/>
          <w:bCs/>
        </w:rPr>
        <w:t>5.218</w:t>
      </w:r>
      <w:r w:rsidRPr="004A7110">
        <w:t xml:space="preserve"> RR by removing RR No. </w:t>
      </w:r>
      <w:r w:rsidRPr="005C6E6C">
        <w:rPr>
          <w:b/>
          <w:bCs/>
        </w:rPr>
        <w:t>9.21</w:t>
      </w:r>
      <w:r w:rsidRPr="004A7110">
        <w:t xml:space="preserve"> from the conditions for the use of SOS frequency band 148−149.9 MHz (Earth-to-space), is </w:t>
      </w:r>
      <w:r w:rsidRPr="00D41D96">
        <w:t>out of the scope of Resolution</w:t>
      </w:r>
      <w:r w:rsidRPr="004A7110">
        <w:t xml:space="preserve"> </w:t>
      </w:r>
      <w:r w:rsidRPr="004A7110">
        <w:rPr>
          <w:b/>
        </w:rPr>
        <w:t>659 (WRC-15)</w:t>
      </w:r>
      <w:r>
        <w:t>.</w:t>
      </w:r>
    </w:p>
    <w:p w:rsidR="00BB6A89" w:rsidRPr="00F22892" w:rsidRDefault="00BB6A89" w:rsidP="00030115">
      <w:pPr>
        <w:spacing w:before="240" w:after="240"/>
        <w:ind w:left="720"/>
        <w:jc w:val="both"/>
      </w:pPr>
      <w:r>
        <w:t>Regarding the above, our preferred choice in this agenda item is Method A (No Change). However , we  may consider Method C, if only those parts of this method that are related to the frequency band 137-138 MHz, not the frequency band 148-149.9 MHz,</w:t>
      </w:r>
      <w:r w:rsidRPr="001F11C2">
        <w:t xml:space="preserve"> </w:t>
      </w:r>
      <w:r>
        <w:t>are retained  and  if only the protection of  the heavily used terrestrial services in the 137-138 MHz frequency band is ensured. (The applicability and sufficiency of the above coordination threshold for the protection of terrestrial services are demonstrated.)</w:t>
      </w:r>
    </w:p>
    <w:p w:rsidR="00D45C09" w:rsidRPr="00441526" w:rsidRDefault="000D2474" w:rsidP="00030115">
      <w:pPr>
        <w:spacing w:before="240" w:after="240"/>
        <w:jc w:val="both"/>
        <w:rPr>
          <w:b/>
          <w:lang w:val="en-NZ" w:eastAsia="ko-KR"/>
        </w:rPr>
      </w:pPr>
      <w:r>
        <w:rPr>
          <w:b/>
          <w:lang w:val="en-NZ" w:eastAsia="ko-KR"/>
        </w:rPr>
        <w:t>3.1.3</w:t>
      </w:r>
      <w:r w:rsidR="00D45C09" w:rsidRPr="00441526">
        <w:rPr>
          <w:b/>
          <w:lang w:val="en-NZ" w:eastAsia="ko-KR"/>
        </w:rPr>
        <w:t xml:space="preserve"> </w:t>
      </w:r>
      <w:r w:rsidR="00D45C09" w:rsidRPr="00441526">
        <w:rPr>
          <w:b/>
          <w:lang w:val="en-NZ" w:eastAsia="ko-KR"/>
        </w:rPr>
        <w:tab/>
      </w:r>
      <w:r w:rsidR="00BB6A89" w:rsidRPr="008B7F07">
        <w:rPr>
          <w:b/>
          <w:lang w:val="en-NZ" w:eastAsia="ko-KR"/>
        </w:rPr>
        <w:t>Australia</w:t>
      </w:r>
      <w:r w:rsidR="00D45C09" w:rsidRPr="00441526">
        <w:rPr>
          <w:b/>
          <w:lang w:val="en-NZ" w:eastAsia="ko-KR"/>
        </w:rPr>
        <w:t xml:space="preserve"> </w:t>
      </w:r>
      <w:r w:rsidR="00D45C09" w:rsidRPr="008B7F07">
        <w:rPr>
          <w:b/>
          <w:lang w:val="en-NZ" w:eastAsia="ko-KR"/>
        </w:rPr>
        <w:t xml:space="preserve">- </w:t>
      </w:r>
      <w:r w:rsidR="00D45C09" w:rsidRPr="00441526">
        <w:rPr>
          <w:b/>
          <w:lang w:val="en-NZ" w:eastAsia="ko-KR"/>
        </w:rPr>
        <w:t>Document APG19-</w:t>
      </w:r>
      <w:r w:rsidR="00D45C09">
        <w:rPr>
          <w:b/>
          <w:lang w:val="en-NZ" w:eastAsia="ko-KR"/>
        </w:rPr>
        <w:t>5</w:t>
      </w:r>
      <w:r w:rsidR="00D45C09" w:rsidRPr="00441526">
        <w:rPr>
          <w:b/>
          <w:lang w:val="en-NZ" w:eastAsia="ko-KR"/>
        </w:rPr>
        <w:t>/INP-</w:t>
      </w:r>
      <w:r w:rsidR="00BB6A89">
        <w:rPr>
          <w:b/>
          <w:lang w:val="en-NZ" w:eastAsia="ko-KR"/>
        </w:rPr>
        <w:t>45</w:t>
      </w:r>
    </w:p>
    <w:p w:rsidR="00BB6A89" w:rsidRDefault="00BB6A89" w:rsidP="00030115">
      <w:pPr>
        <w:spacing w:before="240" w:after="240"/>
        <w:ind w:left="720"/>
        <w:jc w:val="both"/>
      </w:pPr>
      <w:r>
        <w:t>Australia notes that current allocations below 1 GHz have been found to not fully meet requirements for the space operation service (SOS) for telemetry, tracking and command for non-GSO satellites with short duration missions.</w:t>
      </w:r>
    </w:p>
    <w:p w:rsidR="00BB6A89" w:rsidRDefault="00BB6A89" w:rsidP="00030115">
      <w:pPr>
        <w:spacing w:before="240" w:after="240"/>
        <w:ind w:left="720"/>
        <w:jc w:val="both"/>
      </w:pPr>
      <w:r>
        <w:t xml:space="preserve">Australia supports Method C of the CPM Report subject to the condition that satisfactory measures are agreed to ensure protection of AM(R)S systems below 137 </w:t>
      </w:r>
      <w:proofErr w:type="spellStart"/>
      <w:r>
        <w:t>MHz.</w:t>
      </w:r>
      <w:proofErr w:type="spellEnd"/>
    </w:p>
    <w:p w:rsidR="00BB6A89" w:rsidRPr="000D2474" w:rsidRDefault="00BB6A89" w:rsidP="00030115">
      <w:pPr>
        <w:spacing w:before="240" w:after="240"/>
        <w:ind w:left="720"/>
        <w:jc w:val="both"/>
      </w:pPr>
      <w:r>
        <w:t>Australia does not propose a Preliminary APT Common Proposal for this issue.</w:t>
      </w:r>
    </w:p>
    <w:p w:rsidR="00D45C09" w:rsidRPr="00441526" w:rsidRDefault="00D45C09" w:rsidP="00030115">
      <w:pPr>
        <w:spacing w:before="240" w:after="240"/>
        <w:jc w:val="both"/>
        <w:rPr>
          <w:b/>
          <w:lang w:val="en-NZ" w:eastAsia="ko-KR"/>
        </w:rPr>
      </w:pPr>
      <w:r w:rsidRPr="00441526">
        <w:rPr>
          <w:b/>
          <w:lang w:val="en-NZ" w:eastAsia="ko-KR"/>
        </w:rPr>
        <w:t>3</w:t>
      </w:r>
      <w:r w:rsidR="000D2474">
        <w:rPr>
          <w:b/>
          <w:lang w:val="en-NZ" w:eastAsia="ko-KR"/>
        </w:rPr>
        <w:t>.1.4</w:t>
      </w:r>
      <w:r w:rsidRPr="00441526">
        <w:rPr>
          <w:b/>
          <w:lang w:val="en-NZ" w:eastAsia="ko-KR"/>
        </w:rPr>
        <w:t xml:space="preserve"> </w:t>
      </w:r>
      <w:r w:rsidRPr="00441526">
        <w:rPr>
          <w:b/>
          <w:lang w:val="en-NZ" w:eastAsia="ko-KR"/>
        </w:rPr>
        <w:tab/>
      </w:r>
      <w:r w:rsidR="00BB6A89" w:rsidRPr="008B7F07">
        <w:rPr>
          <w:b/>
          <w:lang w:val="en-NZ" w:eastAsia="ko-KR"/>
        </w:rPr>
        <w:t>Indonesia (Republic of)</w:t>
      </w:r>
      <w:r w:rsidRPr="00441526">
        <w:rPr>
          <w:b/>
          <w:lang w:val="en-NZ" w:eastAsia="ko-KR"/>
        </w:rPr>
        <w:t xml:space="preserve"> </w:t>
      </w:r>
      <w:r w:rsidRPr="008B7F07">
        <w:rPr>
          <w:b/>
          <w:lang w:val="en-NZ" w:eastAsia="ko-KR"/>
        </w:rPr>
        <w:t xml:space="preserve">- </w:t>
      </w:r>
      <w:r w:rsidRPr="00441526">
        <w:rPr>
          <w:b/>
          <w:lang w:val="en-NZ" w:eastAsia="ko-KR"/>
        </w:rPr>
        <w:t>Document APG19-</w:t>
      </w:r>
      <w:r>
        <w:rPr>
          <w:b/>
          <w:lang w:val="en-NZ" w:eastAsia="ko-KR"/>
        </w:rPr>
        <w:t>5</w:t>
      </w:r>
      <w:r w:rsidRPr="00441526">
        <w:rPr>
          <w:b/>
          <w:lang w:val="en-NZ" w:eastAsia="ko-KR"/>
        </w:rPr>
        <w:t>/INP-</w:t>
      </w:r>
      <w:r w:rsidR="00BB6A89">
        <w:rPr>
          <w:b/>
          <w:lang w:val="en-NZ" w:eastAsia="ko-KR"/>
        </w:rPr>
        <w:t>52</w:t>
      </w:r>
    </w:p>
    <w:p w:rsidR="00D45C09" w:rsidRDefault="00BB6A89" w:rsidP="00030115">
      <w:pPr>
        <w:spacing w:before="240" w:after="240"/>
        <w:ind w:left="720"/>
        <w:jc w:val="both"/>
      </w:pPr>
      <w:r w:rsidRPr="000D2474">
        <w:t xml:space="preserve">Indonesia is of the view to support Method C which </w:t>
      </w:r>
      <w:r w:rsidRPr="0042498F">
        <w:t>proposes to use the existing SOS allocation in the frequency bands 137-138 MHz for downlink and 148-149.9 MHz for uplink and to provide appropriate associated regulatory provisions in the Radio Regulations for telecommand links of non-GSO SD satellites</w:t>
      </w:r>
      <w:r w:rsidRPr="000D2474">
        <w:t>.</w:t>
      </w:r>
      <w:r w:rsidR="00D45C09" w:rsidRPr="00BB6A89">
        <w:t xml:space="preserve"> </w:t>
      </w:r>
    </w:p>
    <w:p w:rsidR="00A46572" w:rsidRPr="00441526" w:rsidRDefault="00A46572" w:rsidP="00A46572">
      <w:pPr>
        <w:spacing w:before="240" w:after="240"/>
        <w:jc w:val="both"/>
        <w:rPr>
          <w:b/>
          <w:lang w:val="en-NZ" w:eastAsia="ko-KR"/>
        </w:rPr>
      </w:pPr>
      <w:r w:rsidRPr="00441526">
        <w:rPr>
          <w:b/>
          <w:lang w:val="en-NZ" w:eastAsia="ko-KR"/>
        </w:rPr>
        <w:t>3</w:t>
      </w:r>
      <w:r>
        <w:rPr>
          <w:b/>
          <w:lang w:val="en-NZ" w:eastAsia="ko-KR"/>
        </w:rPr>
        <w:t>.1.5</w:t>
      </w:r>
      <w:r w:rsidRPr="00441526">
        <w:rPr>
          <w:b/>
          <w:lang w:val="en-NZ" w:eastAsia="ko-KR"/>
        </w:rPr>
        <w:t xml:space="preserve"> </w:t>
      </w:r>
      <w:r w:rsidRPr="00441526">
        <w:rPr>
          <w:b/>
          <w:lang w:val="en-NZ" w:eastAsia="ko-KR"/>
        </w:rPr>
        <w:tab/>
      </w:r>
      <w:r>
        <w:rPr>
          <w:b/>
          <w:lang w:val="en-NZ" w:eastAsia="ko-KR"/>
        </w:rPr>
        <w:t>Singapore</w:t>
      </w:r>
      <w:r w:rsidRPr="00441526">
        <w:rPr>
          <w:b/>
          <w:lang w:val="en-NZ" w:eastAsia="ko-KR"/>
        </w:rPr>
        <w:t xml:space="preserve"> </w:t>
      </w:r>
      <w:r w:rsidRPr="008B7F07">
        <w:rPr>
          <w:b/>
          <w:lang w:val="en-NZ" w:eastAsia="ko-KR"/>
        </w:rPr>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59</w:t>
      </w:r>
    </w:p>
    <w:p w:rsidR="00A46572" w:rsidRDefault="00A46572" w:rsidP="00A46572">
      <w:pPr>
        <w:spacing w:before="240" w:after="240"/>
        <w:ind w:left="720"/>
        <w:jc w:val="both"/>
      </w:pPr>
      <w:r>
        <w:t xml:space="preserve">Singapore is of the view that the studies within ITU-R Working Party 7B at its final meeting in June have not concluded or reached consensus on ensuring compatibility between AM(R)S aeronautical safety systems operating on a global basis below 137 MHz and SOS systems in accordance with Resolution </w:t>
      </w:r>
      <w:r w:rsidRPr="00A46572">
        <w:t>659 (WRC-15)</w:t>
      </w:r>
      <w:r w:rsidRPr="0047347F">
        <w:t>.</w:t>
      </w:r>
      <w:r>
        <w:t xml:space="preserve"> Therefore, Singapore supports Method A (No Change) to the Radio Regulations in light of incomplete study actions that cannot ensure compatibility. </w:t>
      </w:r>
    </w:p>
    <w:p w:rsidR="00A46572" w:rsidRDefault="00A46572" w:rsidP="00A46572">
      <w:pPr>
        <w:spacing w:before="240" w:after="240"/>
        <w:ind w:left="720"/>
        <w:jc w:val="both"/>
      </w:pPr>
      <w:r>
        <w:lastRenderedPageBreak/>
        <w:t>Supportive of APT Preliminary views in APG19-4, Singapore is also of the view that the following frequency ranges should not be considered:</w:t>
      </w:r>
    </w:p>
    <w:p w:rsidR="00A46572" w:rsidRPr="008518AC" w:rsidRDefault="00A46572" w:rsidP="00A46572">
      <w:pPr>
        <w:pStyle w:val="ListParagraph"/>
        <w:numPr>
          <w:ilvl w:val="0"/>
          <w:numId w:val="30"/>
        </w:numPr>
        <w:contextualSpacing/>
        <w:jc w:val="both"/>
        <w:rPr>
          <w:lang w:val="en-NZ"/>
        </w:rPr>
      </w:pPr>
      <w:r w:rsidRPr="008518AC">
        <w:rPr>
          <w:lang w:val="en-NZ"/>
        </w:rPr>
        <w:t xml:space="preserve">Maritime mobile VHF radiocommunication in the frequency ranges 156-157.45 MHz, 160.6-160.975 MHz and 161.475-162.05 MHz, in accordance with RR No. </w:t>
      </w:r>
      <w:r w:rsidRPr="008518AC">
        <w:rPr>
          <w:b/>
          <w:lang w:val="en-NZ"/>
        </w:rPr>
        <w:t>5.226</w:t>
      </w:r>
      <w:r w:rsidRPr="008518AC">
        <w:rPr>
          <w:lang w:val="en-NZ"/>
        </w:rPr>
        <w:t xml:space="preserve"> and Appendix </w:t>
      </w:r>
      <w:r w:rsidRPr="008518AC">
        <w:rPr>
          <w:b/>
          <w:lang w:val="en-NZ"/>
        </w:rPr>
        <w:t xml:space="preserve">18 </w:t>
      </w:r>
      <w:r w:rsidRPr="008518AC">
        <w:rPr>
          <w:lang w:val="en-NZ"/>
        </w:rPr>
        <w:t>(</w:t>
      </w:r>
      <w:r w:rsidRPr="008518AC">
        <w:rPr>
          <w:b/>
          <w:lang w:val="en-NZ"/>
        </w:rPr>
        <w:t>Rev. WRC-15</w:t>
      </w:r>
      <w:r w:rsidRPr="008518AC">
        <w:rPr>
          <w:lang w:val="en-NZ"/>
        </w:rPr>
        <w:t>)</w:t>
      </w:r>
      <w:r w:rsidRPr="008518AC">
        <w:rPr>
          <w:b/>
          <w:lang w:val="en-NZ"/>
        </w:rPr>
        <w:t>.</w:t>
      </w:r>
      <w:r w:rsidRPr="008518AC">
        <w:rPr>
          <w:lang w:val="en-NZ"/>
        </w:rPr>
        <w:t xml:space="preserve"> </w:t>
      </w:r>
    </w:p>
    <w:p w:rsidR="00A46572" w:rsidRPr="008518AC" w:rsidRDefault="00A46572" w:rsidP="00A46572">
      <w:pPr>
        <w:pStyle w:val="ListParagraph"/>
        <w:numPr>
          <w:ilvl w:val="0"/>
          <w:numId w:val="30"/>
        </w:numPr>
        <w:contextualSpacing/>
        <w:jc w:val="both"/>
        <w:rPr>
          <w:lang w:val="en-NZ"/>
        </w:rPr>
      </w:pPr>
      <w:r w:rsidRPr="008518AC">
        <w:rPr>
          <w:lang w:val="en-NZ"/>
        </w:rPr>
        <w:t xml:space="preserve">The frequency range 406-406.1 MHz that is dedicated for satellite emergency position-indicating radio beacons, in accordance with Resolution </w:t>
      </w:r>
      <w:r w:rsidRPr="008518AC">
        <w:rPr>
          <w:b/>
          <w:lang w:val="en-NZ"/>
        </w:rPr>
        <w:t xml:space="preserve">205 </w:t>
      </w:r>
      <w:r w:rsidRPr="008518AC">
        <w:rPr>
          <w:lang w:val="en-NZ"/>
        </w:rPr>
        <w:t>(</w:t>
      </w:r>
      <w:r w:rsidRPr="008518AC">
        <w:rPr>
          <w:b/>
          <w:lang w:val="en-NZ"/>
        </w:rPr>
        <w:t>Rev. WRC-15</w:t>
      </w:r>
      <w:r w:rsidRPr="008518AC">
        <w:rPr>
          <w:lang w:val="en-NZ"/>
        </w:rPr>
        <w:t>); and</w:t>
      </w:r>
    </w:p>
    <w:p w:rsidR="00A46572" w:rsidRDefault="00A46572" w:rsidP="00A46572">
      <w:pPr>
        <w:spacing w:before="240" w:after="240"/>
        <w:ind w:left="720"/>
        <w:jc w:val="both"/>
      </w:pPr>
      <w:r w:rsidRPr="008518AC">
        <w:rPr>
          <w:lang w:val="en-NZ"/>
        </w:rPr>
        <w:t>Frequency bands used by Global Maritime Distress and Safety System (GMDSS) included</w:t>
      </w:r>
      <w:r w:rsidRPr="008518AC">
        <w:rPr>
          <w:rFonts w:hint="eastAsia"/>
          <w:lang w:val="en-NZ"/>
        </w:rPr>
        <w:t xml:space="preserve"> </w:t>
      </w:r>
      <w:r w:rsidRPr="008518AC">
        <w:rPr>
          <w:lang w:val="en-NZ"/>
        </w:rPr>
        <w:t xml:space="preserve">in Appendix </w:t>
      </w:r>
      <w:r w:rsidRPr="008518AC">
        <w:rPr>
          <w:b/>
          <w:lang w:val="en-NZ"/>
        </w:rPr>
        <w:t>15</w:t>
      </w:r>
      <w:r w:rsidRPr="008518AC">
        <w:rPr>
          <w:lang w:val="en-NZ"/>
        </w:rPr>
        <w:t xml:space="preserve"> of RR.</w:t>
      </w:r>
    </w:p>
    <w:p w:rsidR="00A46572" w:rsidRPr="00BB6A89" w:rsidRDefault="00A46572" w:rsidP="00030115">
      <w:pPr>
        <w:spacing w:before="240" w:after="240"/>
        <w:ind w:left="720"/>
        <w:jc w:val="both"/>
      </w:pPr>
    </w:p>
    <w:p w:rsidR="00D45C09" w:rsidRPr="00441526" w:rsidRDefault="00A46572" w:rsidP="00030115">
      <w:pPr>
        <w:spacing w:before="240" w:after="240"/>
        <w:jc w:val="both"/>
        <w:rPr>
          <w:b/>
          <w:lang w:val="en-NZ" w:eastAsia="ko-KR"/>
        </w:rPr>
      </w:pPr>
      <w:r>
        <w:rPr>
          <w:b/>
          <w:lang w:val="en-NZ" w:eastAsia="ko-KR"/>
        </w:rPr>
        <w:t>3.1.6</w:t>
      </w:r>
      <w:r w:rsidR="00D45C09" w:rsidRPr="00441526">
        <w:rPr>
          <w:b/>
          <w:lang w:val="en-NZ" w:eastAsia="ko-KR"/>
        </w:rPr>
        <w:t xml:space="preserve"> </w:t>
      </w:r>
      <w:r w:rsidR="00D45C09" w:rsidRPr="00441526">
        <w:rPr>
          <w:b/>
          <w:lang w:val="en-NZ" w:eastAsia="ko-KR"/>
        </w:rPr>
        <w:tab/>
      </w:r>
      <w:r w:rsidR="00E734D2" w:rsidRPr="008B7F07">
        <w:rPr>
          <w:rFonts w:hint="eastAsia"/>
          <w:b/>
          <w:lang w:val="en-NZ" w:eastAsia="ko-KR"/>
        </w:rPr>
        <w:t>China (People</w:t>
      </w:r>
      <w:r w:rsidR="00E734D2" w:rsidRPr="008B7F07">
        <w:rPr>
          <w:b/>
          <w:lang w:val="en-NZ" w:eastAsia="ko-KR"/>
        </w:rPr>
        <w:t>’</w:t>
      </w:r>
      <w:r w:rsidR="00E734D2" w:rsidRPr="008B7F07">
        <w:rPr>
          <w:rFonts w:hint="eastAsia"/>
          <w:b/>
          <w:lang w:val="en-NZ" w:eastAsia="ko-KR"/>
        </w:rPr>
        <w:t>s Republic of)</w:t>
      </w:r>
      <w:r w:rsidR="00D45C09" w:rsidRPr="00441526">
        <w:rPr>
          <w:b/>
          <w:lang w:val="en-NZ" w:eastAsia="ko-KR"/>
        </w:rPr>
        <w:t xml:space="preserve"> </w:t>
      </w:r>
      <w:r w:rsidR="00D45C09" w:rsidRPr="008B7F07">
        <w:rPr>
          <w:b/>
          <w:lang w:val="en-NZ" w:eastAsia="ko-KR"/>
        </w:rPr>
        <w:t xml:space="preserve">- </w:t>
      </w:r>
      <w:r w:rsidR="00D45C09" w:rsidRPr="00441526">
        <w:rPr>
          <w:b/>
          <w:lang w:val="en-NZ" w:eastAsia="ko-KR"/>
        </w:rPr>
        <w:t>Document APG19-</w:t>
      </w:r>
      <w:r w:rsidR="00D45C09">
        <w:rPr>
          <w:b/>
          <w:lang w:val="en-NZ" w:eastAsia="ko-KR"/>
        </w:rPr>
        <w:t>5</w:t>
      </w:r>
      <w:r w:rsidR="00E734D2">
        <w:rPr>
          <w:b/>
          <w:lang w:val="en-NZ" w:eastAsia="ko-KR"/>
        </w:rPr>
        <w:t>/INP-68</w:t>
      </w:r>
    </w:p>
    <w:p w:rsidR="00D45C09" w:rsidRPr="000D2474" w:rsidRDefault="00E734D2" w:rsidP="00030115">
      <w:pPr>
        <w:spacing w:before="240" w:after="240"/>
        <w:ind w:left="720"/>
        <w:jc w:val="both"/>
      </w:pPr>
      <w:r w:rsidRPr="000D2474">
        <w:t>Taking into account th</w:t>
      </w:r>
      <w:r w:rsidRPr="000D2474">
        <w:rPr>
          <w:rFonts w:hint="eastAsia"/>
        </w:rPr>
        <w:t xml:space="preserve">ree methods </w:t>
      </w:r>
      <w:r w:rsidRPr="000D2474">
        <w:t xml:space="preserve">above, China </w:t>
      </w:r>
      <w:r w:rsidRPr="000D2474">
        <w:rPr>
          <w:rFonts w:hint="eastAsia"/>
        </w:rPr>
        <w:t>prefers</w:t>
      </w:r>
      <w:r w:rsidRPr="000D2474">
        <w:t xml:space="preserve"> </w:t>
      </w:r>
      <w:r w:rsidRPr="000D2474">
        <w:rPr>
          <w:rFonts w:hint="eastAsia"/>
        </w:rPr>
        <w:t xml:space="preserve">to </w:t>
      </w:r>
      <w:r w:rsidRPr="000D2474">
        <w:t>support</w:t>
      </w:r>
      <w:r w:rsidRPr="000D2474">
        <w:rPr>
          <w:rFonts w:hint="eastAsia"/>
        </w:rPr>
        <w:t xml:space="preserve"> the method C which </w:t>
      </w:r>
      <w:r>
        <w:t>proposes to use the existing SOS allocation in the frequency bands 137-138 MHz for downlink and 148-149.9 MHz for uplink and to provide appropriate associated regulatory provisions in the Radio Regulations for telecommand links of non-GSO SD satellites</w:t>
      </w:r>
      <w:r>
        <w:rPr>
          <w:rFonts w:hint="eastAsia"/>
        </w:rPr>
        <w:t>, if the studies show that sharing and compatibility both in-band and out-of-band is feasible with existing services and systems</w:t>
      </w:r>
      <w:r>
        <w:t>.</w:t>
      </w:r>
      <w:r w:rsidR="00D45C09" w:rsidRPr="000D2474">
        <w:t xml:space="preserve"> </w:t>
      </w:r>
    </w:p>
    <w:p w:rsidR="00D45C09" w:rsidRPr="00441526" w:rsidRDefault="00A46572" w:rsidP="00030115">
      <w:pPr>
        <w:spacing w:before="240" w:after="240"/>
        <w:jc w:val="both"/>
        <w:rPr>
          <w:b/>
          <w:lang w:val="en-NZ" w:eastAsia="ko-KR"/>
        </w:rPr>
      </w:pPr>
      <w:r>
        <w:rPr>
          <w:b/>
          <w:lang w:val="en-NZ" w:eastAsia="ko-KR"/>
        </w:rPr>
        <w:t>3.1.7</w:t>
      </w:r>
      <w:r w:rsidR="00D45C09" w:rsidRPr="00441526">
        <w:rPr>
          <w:b/>
          <w:lang w:val="en-NZ" w:eastAsia="ko-KR"/>
        </w:rPr>
        <w:tab/>
      </w:r>
      <w:r w:rsidR="00E734D2" w:rsidRPr="008B7F07">
        <w:rPr>
          <w:b/>
          <w:lang w:val="en-NZ" w:eastAsia="ko-KR"/>
        </w:rPr>
        <w:t>Japan</w:t>
      </w:r>
      <w:r w:rsidR="00D45C09" w:rsidRPr="00441526">
        <w:rPr>
          <w:b/>
          <w:lang w:val="en-NZ" w:eastAsia="ko-KR"/>
        </w:rPr>
        <w:t xml:space="preserve"> </w:t>
      </w:r>
      <w:r w:rsidR="00D45C09" w:rsidRPr="008B7F07">
        <w:rPr>
          <w:b/>
          <w:lang w:val="en-NZ" w:eastAsia="ko-KR"/>
        </w:rPr>
        <w:t xml:space="preserve">- </w:t>
      </w:r>
      <w:r w:rsidR="00D45C09" w:rsidRPr="00441526">
        <w:rPr>
          <w:b/>
          <w:lang w:val="en-NZ" w:eastAsia="ko-KR"/>
        </w:rPr>
        <w:t>Document APG19-</w:t>
      </w:r>
      <w:r w:rsidR="00D45C09">
        <w:rPr>
          <w:b/>
          <w:lang w:val="en-NZ" w:eastAsia="ko-KR"/>
        </w:rPr>
        <w:t>5</w:t>
      </w:r>
      <w:r w:rsidR="00D45C09" w:rsidRPr="00441526">
        <w:rPr>
          <w:b/>
          <w:lang w:val="en-NZ" w:eastAsia="ko-KR"/>
        </w:rPr>
        <w:t>/INP-</w:t>
      </w:r>
      <w:r w:rsidR="00E734D2">
        <w:rPr>
          <w:b/>
          <w:lang w:val="en-NZ" w:eastAsia="ko-KR"/>
        </w:rPr>
        <w:t>83</w:t>
      </w:r>
    </w:p>
    <w:p w:rsidR="00E734D2" w:rsidRPr="000D2474" w:rsidRDefault="00E734D2" w:rsidP="00030115">
      <w:pPr>
        <w:spacing w:before="240" w:after="240"/>
        <w:ind w:left="720"/>
        <w:jc w:val="both"/>
      </w:pPr>
      <w:r w:rsidRPr="000D2474">
        <w:t xml:space="preserve">Japan does not </w:t>
      </w:r>
      <w:r w:rsidRPr="00F6030A">
        <w:t>support</w:t>
      </w:r>
      <w:r w:rsidRPr="000D2474">
        <w:t xml:space="preserve"> Method B1 and Method B2, since studies of ITU-R Report SA. 2427-0 indicate that it is possible for </w:t>
      </w:r>
      <w:r w:rsidRPr="00333F77">
        <w:t>telemetry, tracking and command in the space operation service for non-GSO satellites with short duration missions</w:t>
      </w:r>
      <w:r w:rsidRPr="000D2474">
        <w:t xml:space="preserve"> to share the existing meteorological aids service, only under the limited condition.</w:t>
      </w:r>
      <w:r w:rsidRPr="000D2474">
        <w:rPr>
          <w:rFonts w:hint="eastAsia"/>
        </w:rPr>
        <w:t xml:space="preserve"> </w:t>
      </w:r>
    </w:p>
    <w:p w:rsidR="00E734D2" w:rsidRPr="000D2474" w:rsidRDefault="00E734D2" w:rsidP="00030115">
      <w:pPr>
        <w:spacing w:before="240" w:after="240"/>
        <w:ind w:left="720"/>
        <w:jc w:val="both"/>
      </w:pPr>
      <w:r w:rsidRPr="000D2474">
        <w:t xml:space="preserve">With regard to Method C, sharing and compatibility studies between the </w:t>
      </w:r>
      <w:r w:rsidRPr="00333F77">
        <w:t>telemetry, tracking and command in the space operation service for non-GSO satellites with short duration missions</w:t>
      </w:r>
      <w:r w:rsidRPr="000D2474">
        <w:t xml:space="preserve"> and incumbent services has not been completed. In addition, working document towards a preliminary draft new Report ITU-R SA</w:t>
      </w:r>
      <w:proofErr w:type="gramStart"/>
      <w:r w:rsidRPr="000D2474">
        <w:t>.[</w:t>
      </w:r>
      <w:proofErr w:type="gramEnd"/>
      <w:r w:rsidRPr="000D2474">
        <w:t>NGSO SD VHF COMPATIBILITY]</w:t>
      </w:r>
      <w:r w:rsidRPr="000D2474" w:rsidDel="00C62092">
        <w:t xml:space="preserve"> </w:t>
      </w:r>
      <w:r w:rsidRPr="000D2474">
        <w:t>about compatibility with aeronautical mobile (route) service including VDL (VHF Digital Link) system using adjacent band</w:t>
      </w:r>
      <w:r w:rsidRPr="000D2474" w:rsidDel="00C62092">
        <w:t xml:space="preserve"> </w:t>
      </w:r>
      <w:r w:rsidRPr="000D2474">
        <w:t xml:space="preserve">is under development in the frequency band 137-138 </w:t>
      </w:r>
      <w:proofErr w:type="spellStart"/>
      <w:r w:rsidRPr="000D2474">
        <w:t>MHz.</w:t>
      </w:r>
      <w:proofErr w:type="spellEnd"/>
      <w:r w:rsidRPr="000D2474">
        <w:t xml:space="preserve"> Furthermore, many radio stations of land mobile service have been operated in the frequency band 148-149.9 MHz in Japan.</w:t>
      </w:r>
    </w:p>
    <w:p w:rsidR="00D45C09" w:rsidRPr="000D2474" w:rsidRDefault="00E734D2" w:rsidP="00030115">
      <w:pPr>
        <w:spacing w:before="240" w:after="240"/>
        <w:ind w:left="720"/>
        <w:jc w:val="both"/>
      </w:pPr>
      <w:r w:rsidRPr="000D2474">
        <w:t xml:space="preserve">Consequently, since there are concerns on sharing between </w:t>
      </w:r>
      <w:r w:rsidRPr="00CE3459">
        <w:t>tracking and command in the space operation service for non-GSO satellites with short duration missions</w:t>
      </w:r>
      <w:r w:rsidRPr="000D2474">
        <w:t xml:space="preserve"> and incumbent services, Japan supports Method A.</w:t>
      </w:r>
      <w:r w:rsidR="00D45C09" w:rsidRPr="000D2474">
        <w:t xml:space="preserve"> </w:t>
      </w:r>
    </w:p>
    <w:p w:rsidR="00D45C09" w:rsidRPr="00441526" w:rsidRDefault="00D45C09" w:rsidP="00030115">
      <w:pPr>
        <w:spacing w:before="240" w:after="240"/>
        <w:jc w:val="both"/>
        <w:rPr>
          <w:b/>
          <w:lang w:val="en-NZ" w:eastAsia="ko-KR"/>
        </w:rPr>
      </w:pPr>
      <w:r w:rsidRPr="00441526">
        <w:rPr>
          <w:b/>
          <w:lang w:val="en-NZ" w:eastAsia="ko-KR"/>
        </w:rPr>
        <w:t>3.1.</w:t>
      </w:r>
      <w:r w:rsidR="00A46572">
        <w:rPr>
          <w:b/>
          <w:lang w:val="en-NZ" w:eastAsia="ko-KR"/>
        </w:rPr>
        <w:t>8</w:t>
      </w:r>
      <w:r w:rsidRPr="00441526">
        <w:rPr>
          <w:b/>
          <w:lang w:val="en-NZ" w:eastAsia="ko-KR"/>
        </w:rPr>
        <w:t xml:space="preserve"> </w:t>
      </w:r>
      <w:r w:rsidRPr="00441526">
        <w:rPr>
          <w:b/>
          <w:lang w:val="en-NZ" w:eastAsia="ko-KR"/>
        </w:rPr>
        <w:tab/>
      </w:r>
      <w:r w:rsidR="00E734D2" w:rsidRPr="008B7F07">
        <w:rPr>
          <w:b/>
          <w:lang w:val="en-NZ" w:eastAsia="ko-KR"/>
        </w:rPr>
        <w:t>Malaysia and Thailand</w:t>
      </w:r>
      <w:r w:rsidRPr="00441526">
        <w:rPr>
          <w:b/>
          <w:lang w:val="en-NZ" w:eastAsia="ko-KR"/>
        </w:rPr>
        <w:t xml:space="preserve"> </w:t>
      </w:r>
      <w:r w:rsidRPr="008B7F07">
        <w:rPr>
          <w:b/>
          <w:lang w:val="en-NZ" w:eastAsia="ko-KR"/>
        </w:rPr>
        <w:t xml:space="preserve">- </w:t>
      </w:r>
      <w:r w:rsidRPr="00441526">
        <w:rPr>
          <w:b/>
          <w:lang w:val="en-NZ" w:eastAsia="ko-KR"/>
        </w:rPr>
        <w:t>Document APG19-</w:t>
      </w:r>
      <w:r>
        <w:rPr>
          <w:b/>
          <w:lang w:val="en-NZ" w:eastAsia="ko-KR"/>
        </w:rPr>
        <w:t>5</w:t>
      </w:r>
      <w:r w:rsidR="00E734D2">
        <w:rPr>
          <w:b/>
          <w:lang w:val="en-NZ" w:eastAsia="ko-KR"/>
        </w:rPr>
        <w:t>/INP-109</w:t>
      </w:r>
    </w:p>
    <w:p w:rsidR="00E734D2" w:rsidRPr="000D2474" w:rsidRDefault="00E734D2" w:rsidP="00030115">
      <w:pPr>
        <w:spacing w:before="240" w:after="240"/>
        <w:ind w:left="720"/>
        <w:jc w:val="both"/>
      </w:pPr>
      <w:r w:rsidRPr="000D2474">
        <w:t>Malaysia and Thailand are of the view that protection of existing services is necessary and any new allocations or upgrades of existing allocations to the space operation service should be applied without any constraint to the incumbent services including their current and planned use, both in-band as well as adjacent bands.</w:t>
      </w:r>
    </w:p>
    <w:p w:rsidR="00E734D2" w:rsidRDefault="00E734D2" w:rsidP="00030115">
      <w:pPr>
        <w:spacing w:before="240" w:after="240"/>
        <w:ind w:left="720"/>
        <w:jc w:val="both"/>
      </w:pPr>
      <w:r>
        <w:t xml:space="preserve">Therefore, </w:t>
      </w:r>
      <w:r w:rsidRPr="00EA69D3">
        <w:t>Malaysia</w:t>
      </w:r>
      <w:r>
        <w:t xml:space="preserve"> and Thailand</w:t>
      </w:r>
      <w:r w:rsidRPr="00EA69D3">
        <w:t xml:space="preserve"> support an allocation of 1 MHz to the SOS in the Earth-space direction, limited to non-GSO SD satellite systems in 404-405 MHz as </w:t>
      </w:r>
      <w:r w:rsidRPr="00EA69D3">
        <w:lastRenderedPageBreak/>
        <w:t>indicated in section 4/1.7/3.3.3.2 of the CPM Report</w:t>
      </w:r>
      <w:r>
        <w:t xml:space="preserve"> as per Method B2 of the CPM Report.</w:t>
      </w:r>
    </w:p>
    <w:p w:rsidR="00D45C09" w:rsidRPr="00441526" w:rsidRDefault="00E734D2" w:rsidP="00A46572">
      <w:pPr>
        <w:spacing w:before="240" w:after="240"/>
        <w:ind w:left="720"/>
        <w:jc w:val="both"/>
        <w:rPr>
          <w:lang w:val="en-NZ"/>
        </w:rPr>
      </w:pPr>
      <w:r>
        <w:t>In addition, Malaysia and Thailand do not support Method C of the CPM Report.</w:t>
      </w:r>
    </w:p>
    <w:p w:rsidR="00D45C09" w:rsidRPr="00441526" w:rsidRDefault="00D45C09" w:rsidP="00030115">
      <w:pPr>
        <w:spacing w:before="240" w:after="240"/>
        <w:jc w:val="both"/>
        <w:rPr>
          <w:b/>
          <w:lang w:val="en-NZ" w:eastAsia="ko-KR"/>
        </w:rPr>
      </w:pPr>
      <w:r w:rsidRPr="00441526">
        <w:rPr>
          <w:b/>
          <w:lang w:val="en-NZ" w:eastAsia="ko-KR"/>
        </w:rPr>
        <w:t>3.1.</w:t>
      </w:r>
      <w:r w:rsidR="00A46572">
        <w:rPr>
          <w:b/>
          <w:lang w:val="en-NZ" w:eastAsia="ko-KR"/>
        </w:rPr>
        <w:t>9</w:t>
      </w:r>
      <w:r w:rsidRPr="00441526">
        <w:rPr>
          <w:b/>
          <w:lang w:val="en-NZ" w:eastAsia="ko-KR"/>
        </w:rPr>
        <w:t xml:space="preserve"> </w:t>
      </w:r>
      <w:r w:rsidRPr="00441526">
        <w:rPr>
          <w:b/>
          <w:lang w:val="en-NZ" w:eastAsia="ko-KR"/>
        </w:rPr>
        <w:tab/>
      </w:r>
      <w:r w:rsidR="00E734D2" w:rsidRPr="008B7F07">
        <w:rPr>
          <w:b/>
          <w:lang w:val="en-NZ" w:eastAsia="ko-KR"/>
        </w:rPr>
        <w:t>Viet Nam</w:t>
      </w:r>
      <w:r w:rsidRPr="00441526">
        <w:rPr>
          <w:b/>
          <w:lang w:val="en-NZ" w:eastAsia="ko-KR"/>
        </w:rPr>
        <w:t xml:space="preserve"> </w:t>
      </w:r>
      <w:r w:rsidRPr="008B7F07">
        <w:rPr>
          <w:b/>
          <w:lang w:val="en-NZ" w:eastAsia="ko-KR"/>
        </w:rPr>
        <w:t xml:space="preserve">- </w:t>
      </w:r>
      <w:r w:rsidRPr="00441526">
        <w:rPr>
          <w:b/>
          <w:lang w:val="en-NZ" w:eastAsia="ko-KR"/>
        </w:rPr>
        <w:t>Document APG19-</w:t>
      </w:r>
      <w:r>
        <w:rPr>
          <w:b/>
          <w:lang w:val="en-NZ" w:eastAsia="ko-KR"/>
        </w:rPr>
        <w:t>5</w:t>
      </w:r>
      <w:r w:rsidR="00E734D2">
        <w:rPr>
          <w:b/>
          <w:lang w:val="en-NZ" w:eastAsia="ko-KR"/>
        </w:rPr>
        <w:t>/INP-120</w:t>
      </w:r>
    </w:p>
    <w:p w:rsidR="00D45C09" w:rsidRDefault="00E734D2" w:rsidP="00030115">
      <w:pPr>
        <w:spacing w:before="240" w:after="240"/>
        <w:ind w:left="720"/>
        <w:jc w:val="both"/>
      </w:pPr>
      <w:r w:rsidRPr="00C454BE">
        <w:t>Based on the amount of spectrum required for non-GSO SD systems indicated by the study, Vietnam supports a new allocation in the me</w:t>
      </w:r>
      <w:r w:rsidR="00310D4F">
        <w:t>t</w:t>
      </w:r>
      <w:r w:rsidRPr="00C454BE">
        <w:t>hods B1/B2.</w:t>
      </w:r>
      <w:r w:rsidR="00D45C09" w:rsidRPr="000D2474">
        <w:t xml:space="preserve"> </w:t>
      </w:r>
    </w:p>
    <w:p w:rsidR="004E177F" w:rsidRDefault="004E177F" w:rsidP="00030115">
      <w:pPr>
        <w:spacing w:before="240" w:after="240"/>
        <w:ind w:left="720"/>
        <w:jc w:val="both"/>
      </w:pPr>
    </w:p>
    <w:p w:rsidR="004E177F" w:rsidRPr="000D2474" w:rsidRDefault="004E177F" w:rsidP="00030115">
      <w:pPr>
        <w:spacing w:before="240" w:after="240"/>
        <w:ind w:left="720"/>
        <w:jc w:val="both"/>
      </w:pPr>
    </w:p>
    <w:p w:rsidR="00D45C09" w:rsidRPr="00441526" w:rsidRDefault="00A46572" w:rsidP="00030115">
      <w:pPr>
        <w:spacing w:before="240" w:after="240"/>
        <w:jc w:val="both"/>
        <w:rPr>
          <w:b/>
          <w:lang w:val="en-NZ" w:eastAsia="ko-KR"/>
        </w:rPr>
      </w:pPr>
      <w:r>
        <w:rPr>
          <w:b/>
          <w:lang w:val="en-NZ" w:eastAsia="ko-KR"/>
        </w:rPr>
        <w:t>3.1.10</w:t>
      </w:r>
      <w:r w:rsidR="00D45C09" w:rsidRPr="00441526">
        <w:rPr>
          <w:b/>
          <w:lang w:val="en-NZ" w:eastAsia="ko-KR"/>
        </w:rPr>
        <w:t xml:space="preserve"> </w:t>
      </w:r>
      <w:r w:rsidR="00D45C09" w:rsidRPr="00441526">
        <w:rPr>
          <w:b/>
          <w:lang w:val="en-NZ" w:eastAsia="ko-KR"/>
        </w:rPr>
        <w:tab/>
      </w:r>
      <w:r w:rsidR="00E734D2" w:rsidRPr="008B7F07">
        <w:rPr>
          <w:b/>
          <w:lang w:val="en-NZ" w:eastAsia="ko-KR"/>
        </w:rPr>
        <w:t>Republic of Korea</w:t>
      </w:r>
      <w:r w:rsidR="00D45C09" w:rsidRPr="00441526">
        <w:rPr>
          <w:b/>
          <w:lang w:val="en-NZ" w:eastAsia="ko-KR"/>
        </w:rPr>
        <w:t xml:space="preserve"> </w:t>
      </w:r>
      <w:r w:rsidR="00D45C09" w:rsidRPr="008B7F07">
        <w:rPr>
          <w:b/>
          <w:lang w:val="en-NZ" w:eastAsia="ko-KR"/>
        </w:rPr>
        <w:t xml:space="preserve">- </w:t>
      </w:r>
      <w:r w:rsidR="00D45C09" w:rsidRPr="00441526">
        <w:rPr>
          <w:b/>
          <w:lang w:val="en-NZ" w:eastAsia="ko-KR"/>
        </w:rPr>
        <w:t>Document APG19-</w:t>
      </w:r>
      <w:r w:rsidR="00D45C09">
        <w:rPr>
          <w:b/>
          <w:lang w:val="en-NZ" w:eastAsia="ko-KR"/>
        </w:rPr>
        <w:t>5</w:t>
      </w:r>
      <w:r w:rsidR="00D45C09" w:rsidRPr="00441526">
        <w:rPr>
          <w:b/>
          <w:lang w:val="en-NZ" w:eastAsia="ko-KR"/>
        </w:rPr>
        <w:t>/INP-</w:t>
      </w:r>
      <w:r w:rsidR="00E734D2">
        <w:rPr>
          <w:b/>
          <w:lang w:val="en-NZ" w:eastAsia="ko-KR"/>
        </w:rPr>
        <w:t>130</w:t>
      </w:r>
    </w:p>
    <w:p w:rsidR="00D45C09" w:rsidRPr="000D2474" w:rsidRDefault="00E734D2" w:rsidP="00030115">
      <w:pPr>
        <w:spacing w:before="240" w:after="240"/>
        <w:ind w:left="720"/>
        <w:jc w:val="both"/>
      </w:pPr>
      <w:r w:rsidRPr="000D2474">
        <w:t>Since ITU-R studies have not ensured compatibility with existing services, the Republic of Korea does not support additional allocations or upgrades of existing allocations to the space operation service for short duration mission satellites.</w:t>
      </w:r>
      <w:r w:rsidRPr="000D2474">
        <w:rPr>
          <w:rFonts w:hint="eastAsia"/>
        </w:rPr>
        <w:t xml:space="preserve"> Therefore, </w:t>
      </w:r>
      <w:r w:rsidRPr="000D2474">
        <w:t>the Republic of Korea</w:t>
      </w:r>
      <w:r w:rsidRPr="000D2474">
        <w:rPr>
          <w:rFonts w:hint="eastAsia"/>
        </w:rPr>
        <w:t xml:space="preserve"> supports Method A described in the CPM Report.</w:t>
      </w:r>
      <w:r w:rsidR="00D45C09" w:rsidRPr="000D2474">
        <w:t xml:space="preserve"> </w:t>
      </w:r>
    </w:p>
    <w:p w:rsidR="00D45C09" w:rsidRPr="00441526" w:rsidRDefault="00D45C09" w:rsidP="00030115">
      <w:pPr>
        <w:spacing w:before="240" w:after="240"/>
        <w:jc w:val="both"/>
        <w:rPr>
          <w:b/>
          <w:lang w:val="en-NZ" w:eastAsia="ko-KR"/>
        </w:rPr>
      </w:pPr>
      <w:r w:rsidRPr="00441526">
        <w:rPr>
          <w:b/>
          <w:lang w:val="en-NZ" w:eastAsia="ko-KR"/>
        </w:rPr>
        <w:t>3.1.1</w:t>
      </w:r>
      <w:r w:rsidR="00A46572">
        <w:rPr>
          <w:b/>
          <w:lang w:val="en-NZ" w:eastAsia="ko-KR"/>
        </w:rPr>
        <w:t>1</w:t>
      </w:r>
      <w:r w:rsidRPr="00441526">
        <w:rPr>
          <w:b/>
          <w:lang w:val="en-NZ" w:eastAsia="ko-KR"/>
        </w:rPr>
        <w:t xml:space="preserve"> </w:t>
      </w:r>
      <w:r w:rsidRPr="00441526">
        <w:rPr>
          <w:b/>
          <w:lang w:val="en-NZ" w:eastAsia="ko-KR"/>
        </w:rPr>
        <w:tab/>
      </w:r>
      <w:r w:rsidR="00E734D2" w:rsidRPr="008B7F07">
        <w:rPr>
          <w:b/>
          <w:lang w:val="en-NZ" w:eastAsia="ko-KR"/>
        </w:rPr>
        <w:t>India (Republic of)</w:t>
      </w:r>
      <w:r w:rsidRPr="00441526">
        <w:rPr>
          <w:b/>
          <w:lang w:val="en-NZ" w:eastAsia="ko-KR"/>
        </w:rPr>
        <w:t xml:space="preserve"> </w:t>
      </w:r>
      <w:r w:rsidRPr="008B7F07">
        <w:rPr>
          <w:b/>
          <w:lang w:val="en-NZ" w:eastAsia="ko-KR"/>
        </w:rPr>
        <w:t xml:space="preserve">- </w:t>
      </w:r>
      <w:r w:rsidRPr="00441526">
        <w:rPr>
          <w:b/>
          <w:lang w:val="en-NZ" w:eastAsia="ko-KR"/>
        </w:rPr>
        <w:t>Document APG19-</w:t>
      </w:r>
      <w:r>
        <w:rPr>
          <w:b/>
          <w:lang w:val="en-NZ" w:eastAsia="ko-KR"/>
        </w:rPr>
        <w:t>5</w:t>
      </w:r>
      <w:r w:rsidRPr="00441526">
        <w:rPr>
          <w:b/>
          <w:lang w:val="en-NZ" w:eastAsia="ko-KR"/>
        </w:rPr>
        <w:t>/INP-</w:t>
      </w:r>
      <w:r w:rsidR="00E734D2">
        <w:rPr>
          <w:b/>
          <w:lang w:val="en-NZ" w:eastAsia="ko-KR"/>
        </w:rPr>
        <w:t>135</w:t>
      </w:r>
    </w:p>
    <w:p w:rsidR="000D2474" w:rsidRDefault="000D2474" w:rsidP="00030115">
      <w:pPr>
        <w:spacing w:before="240" w:after="240"/>
        <w:ind w:left="720"/>
        <w:jc w:val="both"/>
      </w:pPr>
      <w:r>
        <w:t>The frequency bands proposed in the CPM report for accommodating SOS (Space-to-Earth) are used in India with heavy assignments. Keeping this in view, preliminary view proposed is as below.</w:t>
      </w:r>
    </w:p>
    <w:p w:rsidR="00A46572" w:rsidRPr="000D2474" w:rsidRDefault="000D2474" w:rsidP="00030115">
      <w:pPr>
        <w:spacing w:before="240" w:after="240"/>
        <w:ind w:left="720"/>
        <w:jc w:val="both"/>
      </w:pPr>
      <w:r w:rsidRPr="000D2474">
        <w:t>Method A NOC</w:t>
      </w:r>
      <w:r w:rsidR="00D45C09" w:rsidRPr="000D2474">
        <w:t xml:space="preserve"> </w:t>
      </w:r>
    </w:p>
    <w:p w:rsidR="002A0111" w:rsidRPr="00441526" w:rsidRDefault="002A0111" w:rsidP="00030115">
      <w:pPr>
        <w:spacing w:before="240" w:after="24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rsidR="009465A6" w:rsidRDefault="000D2474" w:rsidP="00030115">
      <w:pPr>
        <w:pStyle w:val="ListParagraph"/>
        <w:numPr>
          <w:ilvl w:val="0"/>
          <w:numId w:val="28"/>
        </w:numPr>
        <w:spacing w:before="240" w:after="240"/>
        <w:ind w:left="720"/>
        <w:jc w:val="both"/>
      </w:pPr>
      <w:r>
        <w:t>The frequency bands proposed in the CPM report for accommodating SOS (Space-to-Earth) are used with heavy assignments.</w:t>
      </w:r>
    </w:p>
    <w:p w:rsidR="000F4796" w:rsidRDefault="008B7F07" w:rsidP="00030115">
      <w:pPr>
        <w:pStyle w:val="ListParagraph"/>
        <w:numPr>
          <w:ilvl w:val="0"/>
          <w:numId w:val="28"/>
        </w:numPr>
        <w:spacing w:before="240" w:after="240"/>
        <w:ind w:left="720"/>
        <w:jc w:val="both"/>
      </w:pPr>
      <w:r>
        <w:t>S</w:t>
      </w:r>
      <w:r w:rsidR="000D2474" w:rsidRPr="000D2474">
        <w:t>haring and compatibility</w:t>
      </w:r>
      <w:r w:rsidR="000F4796">
        <w:t xml:space="preserve"> </w:t>
      </w:r>
      <w:r w:rsidR="000D2474" w:rsidRPr="000D2474">
        <w:t xml:space="preserve">studies between the </w:t>
      </w:r>
      <w:r w:rsidR="000D2474" w:rsidRPr="00333F77">
        <w:t>telemetry, tracking and command in the space operation service for non-GSO satellites with short duration missions</w:t>
      </w:r>
      <w:r w:rsidR="000D2474" w:rsidRPr="000D2474">
        <w:t xml:space="preserve"> and incumbent services </w:t>
      </w:r>
      <w:r w:rsidR="000F4796">
        <w:t>has been complete</w:t>
      </w:r>
      <w:r w:rsidR="00310D4F">
        <w:t>d</w:t>
      </w:r>
      <w:r w:rsidR="000F4796">
        <w:t xml:space="preserve"> with the exception of the issue of adjacent band compatibility.</w:t>
      </w:r>
      <w:r w:rsidR="000F4796" w:rsidDel="000F4796">
        <w:t xml:space="preserve"> </w:t>
      </w:r>
    </w:p>
    <w:p w:rsidR="000D2474" w:rsidRDefault="008B7F07" w:rsidP="00030115">
      <w:pPr>
        <w:pStyle w:val="ListParagraph"/>
        <w:numPr>
          <w:ilvl w:val="0"/>
          <w:numId w:val="28"/>
        </w:numPr>
        <w:spacing w:before="240" w:after="240"/>
        <w:ind w:left="720"/>
        <w:jc w:val="both"/>
      </w:pPr>
      <w:r>
        <w:t xml:space="preserve">There are </w:t>
      </w:r>
      <w:r w:rsidR="000D2474">
        <w:t>diverse conclusions for the sharing studies in CPM report</w:t>
      </w:r>
      <w:r w:rsidR="0084697E">
        <w:t xml:space="preserve"> on the band 403-406MHz</w:t>
      </w:r>
    </w:p>
    <w:p w:rsidR="00324E5E" w:rsidRDefault="00324E5E" w:rsidP="00324E5E">
      <w:pPr>
        <w:pStyle w:val="ListParagraph"/>
        <w:numPr>
          <w:ilvl w:val="0"/>
          <w:numId w:val="28"/>
        </w:numPr>
        <w:spacing w:before="240" w:after="240"/>
        <w:ind w:left="720"/>
        <w:jc w:val="both"/>
      </w:pPr>
      <w:r>
        <w:t>P</w:t>
      </w:r>
      <w:r w:rsidRPr="000D2474">
        <w:t xml:space="preserve">rotection of existing services is necessary and any new allocations or upgrades of existing allocations to the space operation service should </w:t>
      </w:r>
      <w:r w:rsidR="000F4796">
        <w:t xml:space="preserve">protect </w:t>
      </w:r>
      <w:r w:rsidRPr="000D2474">
        <w:t xml:space="preserve">the incumbent services including their </w:t>
      </w:r>
      <w:r w:rsidR="000F4796">
        <w:t>existing</w:t>
      </w:r>
      <w:r w:rsidR="000F4796" w:rsidRPr="000D2474">
        <w:t xml:space="preserve"> </w:t>
      </w:r>
      <w:r w:rsidRPr="000D2474">
        <w:t>and planned use, both in-band as well as adjacent bands</w:t>
      </w:r>
    </w:p>
    <w:tbl>
      <w:tblPr>
        <w:tblStyle w:val="TableGrid"/>
        <w:tblW w:w="9805" w:type="dxa"/>
        <w:tblLook w:val="04A0" w:firstRow="1" w:lastRow="0" w:firstColumn="1" w:lastColumn="0" w:noHBand="0" w:noVBand="1"/>
      </w:tblPr>
      <w:tblGrid>
        <w:gridCol w:w="1772"/>
        <w:gridCol w:w="1103"/>
        <w:gridCol w:w="1170"/>
        <w:gridCol w:w="1170"/>
        <w:gridCol w:w="2070"/>
        <w:gridCol w:w="2520"/>
      </w:tblGrid>
      <w:tr w:rsidR="001116ED" w:rsidTr="001116ED">
        <w:tc>
          <w:tcPr>
            <w:tcW w:w="1772" w:type="dxa"/>
            <w:shd w:val="clear" w:color="auto" w:fill="D9D9D9" w:themeFill="background1" w:themeFillShade="D9"/>
          </w:tcPr>
          <w:p w:rsidR="001116ED" w:rsidRDefault="001116ED" w:rsidP="000873C8">
            <w:r>
              <w:t>Admin</w:t>
            </w:r>
          </w:p>
        </w:tc>
        <w:tc>
          <w:tcPr>
            <w:tcW w:w="1103" w:type="dxa"/>
            <w:shd w:val="clear" w:color="auto" w:fill="D9D9D9" w:themeFill="background1" w:themeFillShade="D9"/>
          </w:tcPr>
          <w:p w:rsidR="001116ED" w:rsidRDefault="001116ED" w:rsidP="000873C8">
            <w:r>
              <w:t xml:space="preserve">Method A - </w:t>
            </w:r>
            <w:proofErr w:type="spellStart"/>
            <w:r>
              <w:t>NoC</w:t>
            </w:r>
            <w:proofErr w:type="spellEnd"/>
          </w:p>
        </w:tc>
        <w:tc>
          <w:tcPr>
            <w:tcW w:w="1170" w:type="dxa"/>
            <w:shd w:val="clear" w:color="auto" w:fill="D9D9D9" w:themeFill="background1" w:themeFillShade="D9"/>
          </w:tcPr>
          <w:p w:rsidR="001116ED" w:rsidRDefault="001116ED" w:rsidP="000873C8">
            <w:r>
              <w:t xml:space="preserve">Method B1 – </w:t>
            </w:r>
          </w:p>
          <w:p w:rsidR="001116ED" w:rsidRDefault="001116ED" w:rsidP="000873C8">
            <w:r>
              <w:t>403-404 UP</w:t>
            </w:r>
          </w:p>
        </w:tc>
        <w:tc>
          <w:tcPr>
            <w:tcW w:w="1170" w:type="dxa"/>
            <w:shd w:val="clear" w:color="auto" w:fill="D9D9D9" w:themeFill="background1" w:themeFillShade="D9"/>
          </w:tcPr>
          <w:p w:rsidR="001116ED" w:rsidRDefault="001116ED" w:rsidP="000873C8">
            <w:r>
              <w:t xml:space="preserve">Method B2 – </w:t>
            </w:r>
          </w:p>
          <w:p w:rsidR="001116ED" w:rsidRDefault="001116ED" w:rsidP="000873C8">
            <w:r>
              <w:t>404-405 UP</w:t>
            </w:r>
          </w:p>
        </w:tc>
        <w:tc>
          <w:tcPr>
            <w:tcW w:w="2070" w:type="dxa"/>
            <w:shd w:val="clear" w:color="auto" w:fill="D9D9D9" w:themeFill="background1" w:themeFillShade="D9"/>
          </w:tcPr>
          <w:p w:rsidR="001116ED" w:rsidRDefault="001116ED" w:rsidP="000873C8">
            <w:r>
              <w:t>Method C –</w:t>
            </w:r>
          </w:p>
          <w:p w:rsidR="001116ED" w:rsidRDefault="001116ED" w:rsidP="000873C8">
            <w:r>
              <w:t>137-138 DN</w:t>
            </w:r>
          </w:p>
          <w:p w:rsidR="001116ED" w:rsidRDefault="001116ED" w:rsidP="000873C8">
            <w:r>
              <w:t>148-149.9 UP</w:t>
            </w:r>
          </w:p>
        </w:tc>
        <w:tc>
          <w:tcPr>
            <w:tcW w:w="2520" w:type="dxa"/>
            <w:shd w:val="clear" w:color="auto" w:fill="D9D9D9" w:themeFill="background1" w:themeFillShade="D9"/>
          </w:tcPr>
          <w:p w:rsidR="001116ED" w:rsidRDefault="001116ED" w:rsidP="000873C8">
            <w:r>
              <w:t>Comments</w:t>
            </w:r>
          </w:p>
        </w:tc>
      </w:tr>
      <w:tr w:rsidR="001116ED" w:rsidRPr="006E1D13" w:rsidTr="000873C8">
        <w:tc>
          <w:tcPr>
            <w:tcW w:w="9805" w:type="dxa"/>
            <w:gridSpan w:val="6"/>
          </w:tcPr>
          <w:p w:rsidR="001116ED" w:rsidRPr="006E1D13" w:rsidRDefault="001116ED" w:rsidP="000873C8">
            <w:pPr>
              <w:jc w:val="center"/>
              <w:rPr>
                <w:b/>
                <w:bCs/>
              </w:rPr>
            </w:pPr>
            <w:r w:rsidRPr="006E1D13">
              <w:rPr>
                <w:b/>
                <w:bCs/>
              </w:rPr>
              <w:t>INPUT DOCUMENTS</w:t>
            </w:r>
          </w:p>
        </w:tc>
      </w:tr>
      <w:tr w:rsidR="001116ED" w:rsidTr="000873C8">
        <w:tc>
          <w:tcPr>
            <w:tcW w:w="1772" w:type="dxa"/>
          </w:tcPr>
          <w:p w:rsidR="001116ED" w:rsidRDefault="001116ED" w:rsidP="000873C8">
            <w:r>
              <w:t>New Zealand (INP19)</w:t>
            </w:r>
          </w:p>
        </w:tc>
        <w:tc>
          <w:tcPr>
            <w:tcW w:w="1103" w:type="dxa"/>
          </w:tcPr>
          <w:p w:rsidR="001116ED" w:rsidRDefault="001116ED" w:rsidP="000873C8"/>
        </w:tc>
        <w:tc>
          <w:tcPr>
            <w:tcW w:w="1170" w:type="dxa"/>
          </w:tcPr>
          <w:p w:rsidR="001116ED" w:rsidRDefault="001116ED" w:rsidP="000873C8">
            <w:r>
              <w:t>Yes</w:t>
            </w:r>
          </w:p>
        </w:tc>
        <w:tc>
          <w:tcPr>
            <w:tcW w:w="1170" w:type="dxa"/>
          </w:tcPr>
          <w:p w:rsidR="001116ED" w:rsidRDefault="001116ED" w:rsidP="000873C8"/>
        </w:tc>
        <w:tc>
          <w:tcPr>
            <w:tcW w:w="2070" w:type="dxa"/>
          </w:tcPr>
          <w:p w:rsidR="001116ED" w:rsidRDefault="001116ED" w:rsidP="000873C8">
            <w:r>
              <w:t>Yes</w:t>
            </w:r>
          </w:p>
        </w:tc>
        <w:tc>
          <w:tcPr>
            <w:tcW w:w="2520" w:type="dxa"/>
          </w:tcPr>
          <w:p w:rsidR="001116ED" w:rsidRDefault="001116ED" w:rsidP="000873C8"/>
        </w:tc>
      </w:tr>
      <w:tr w:rsidR="001116ED" w:rsidTr="000873C8">
        <w:tc>
          <w:tcPr>
            <w:tcW w:w="1772" w:type="dxa"/>
          </w:tcPr>
          <w:p w:rsidR="001116ED" w:rsidRDefault="001116ED" w:rsidP="000873C8">
            <w:r>
              <w:lastRenderedPageBreak/>
              <w:t>Iran (INP38)</w:t>
            </w:r>
          </w:p>
        </w:tc>
        <w:tc>
          <w:tcPr>
            <w:tcW w:w="1103" w:type="dxa"/>
          </w:tcPr>
          <w:p w:rsidR="001116ED" w:rsidRDefault="001116ED" w:rsidP="000873C8">
            <w:r>
              <w:t>Yes</w:t>
            </w:r>
          </w:p>
        </w:tc>
        <w:tc>
          <w:tcPr>
            <w:tcW w:w="1170" w:type="dxa"/>
          </w:tcPr>
          <w:p w:rsidR="001116ED" w:rsidRDefault="001116ED" w:rsidP="000873C8"/>
        </w:tc>
        <w:tc>
          <w:tcPr>
            <w:tcW w:w="1170" w:type="dxa"/>
          </w:tcPr>
          <w:p w:rsidR="001116ED" w:rsidRDefault="001116ED" w:rsidP="000873C8"/>
        </w:tc>
        <w:tc>
          <w:tcPr>
            <w:tcW w:w="2070" w:type="dxa"/>
          </w:tcPr>
          <w:p w:rsidR="001116ED" w:rsidRDefault="001116ED" w:rsidP="000873C8">
            <w:r>
              <w:t>Maybe (137-138 MHz only)</w:t>
            </w:r>
          </w:p>
        </w:tc>
        <w:tc>
          <w:tcPr>
            <w:tcW w:w="2520" w:type="dxa"/>
          </w:tcPr>
          <w:p w:rsidR="001116ED" w:rsidRDefault="001116ED" w:rsidP="000873C8">
            <w:r>
              <w:t>Impact of removing 9.21 from 148 MHz not investigated. Removing 9.21 out of scope.</w:t>
            </w:r>
          </w:p>
        </w:tc>
      </w:tr>
      <w:tr w:rsidR="001116ED" w:rsidTr="000873C8">
        <w:tc>
          <w:tcPr>
            <w:tcW w:w="1772" w:type="dxa"/>
          </w:tcPr>
          <w:p w:rsidR="001116ED" w:rsidRDefault="001116ED" w:rsidP="000873C8">
            <w:r>
              <w:t>Australia (INP45)</w:t>
            </w:r>
          </w:p>
        </w:tc>
        <w:tc>
          <w:tcPr>
            <w:tcW w:w="1103" w:type="dxa"/>
          </w:tcPr>
          <w:p w:rsidR="001116ED" w:rsidRDefault="001116ED" w:rsidP="000873C8"/>
        </w:tc>
        <w:tc>
          <w:tcPr>
            <w:tcW w:w="1170" w:type="dxa"/>
          </w:tcPr>
          <w:p w:rsidR="001116ED" w:rsidRDefault="001116ED" w:rsidP="000873C8"/>
        </w:tc>
        <w:tc>
          <w:tcPr>
            <w:tcW w:w="1170" w:type="dxa"/>
          </w:tcPr>
          <w:p w:rsidR="001116ED" w:rsidRDefault="001116ED" w:rsidP="000873C8"/>
        </w:tc>
        <w:tc>
          <w:tcPr>
            <w:tcW w:w="2070" w:type="dxa"/>
          </w:tcPr>
          <w:p w:rsidR="001116ED" w:rsidRDefault="001116ED" w:rsidP="00310D4F">
            <w:r>
              <w:t>Yes</w:t>
            </w:r>
          </w:p>
        </w:tc>
        <w:tc>
          <w:tcPr>
            <w:tcW w:w="2520" w:type="dxa"/>
          </w:tcPr>
          <w:p w:rsidR="001116ED" w:rsidRDefault="00310D4F" w:rsidP="000873C8">
            <w:r>
              <w:t>subject AM(R)S protection</w:t>
            </w:r>
          </w:p>
        </w:tc>
      </w:tr>
      <w:tr w:rsidR="001116ED" w:rsidTr="000873C8">
        <w:tc>
          <w:tcPr>
            <w:tcW w:w="1772" w:type="dxa"/>
          </w:tcPr>
          <w:p w:rsidR="001116ED" w:rsidRDefault="001116ED" w:rsidP="000873C8">
            <w:r>
              <w:t>Indonesia (INP52)</w:t>
            </w:r>
          </w:p>
        </w:tc>
        <w:tc>
          <w:tcPr>
            <w:tcW w:w="1103" w:type="dxa"/>
          </w:tcPr>
          <w:p w:rsidR="001116ED" w:rsidRDefault="001116ED" w:rsidP="000873C8"/>
        </w:tc>
        <w:tc>
          <w:tcPr>
            <w:tcW w:w="1170" w:type="dxa"/>
          </w:tcPr>
          <w:p w:rsidR="001116ED" w:rsidRDefault="001116ED" w:rsidP="000873C8"/>
        </w:tc>
        <w:tc>
          <w:tcPr>
            <w:tcW w:w="1170" w:type="dxa"/>
          </w:tcPr>
          <w:p w:rsidR="001116ED" w:rsidRDefault="001116ED" w:rsidP="000873C8"/>
        </w:tc>
        <w:tc>
          <w:tcPr>
            <w:tcW w:w="2070" w:type="dxa"/>
          </w:tcPr>
          <w:p w:rsidR="001116ED" w:rsidRDefault="001116ED" w:rsidP="000873C8">
            <w:r>
              <w:t>Yes</w:t>
            </w:r>
          </w:p>
        </w:tc>
        <w:tc>
          <w:tcPr>
            <w:tcW w:w="2520" w:type="dxa"/>
          </w:tcPr>
          <w:p w:rsidR="001116ED" w:rsidRDefault="001116ED" w:rsidP="000873C8"/>
        </w:tc>
      </w:tr>
      <w:tr w:rsidR="001116ED" w:rsidTr="000873C8">
        <w:tc>
          <w:tcPr>
            <w:tcW w:w="1772" w:type="dxa"/>
          </w:tcPr>
          <w:p w:rsidR="001116ED" w:rsidRDefault="001116ED" w:rsidP="000873C8">
            <w:r>
              <w:t>Singapore (INP59)</w:t>
            </w:r>
          </w:p>
        </w:tc>
        <w:tc>
          <w:tcPr>
            <w:tcW w:w="1103" w:type="dxa"/>
          </w:tcPr>
          <w:p w:rsidR="001116ED" w:rsidRDefault="001116ED" w:rsidP="000873C8">
            <w:r>
              <w:t>Yes</w:t>
            </w:r>
          </w:p>
        </w:tc>
        <w:tc>
          <w:tcPr>
            <w:tcW w:w="1170" w:type="dxa"/>
          </w:tcPr>
          <w:p w:rsidR="001116ED" w:rsidRDefault="001116ED" w:rsidP="000873C8"/>
        </w:tc>
        <w:tc>
          <w:tcPr>
            <w:tcW w:w="1170" w:type="dxa"/>
          </w:tcPr>
          <w:p w:rsidR="001116ED" w:rsidRDefault="001116ED" w:rsidP="000873C8"/>
        </w:tc>
        <w:tc>
          <w:tcPr>
            <w:tcW w:w="2070" w:type="dxa"/>
          </w:tcPr>
          <w:p w:rsidR="001116ED" w:rsidRDefault="001116ED" w:rsidP="000873C8"/>
        </w:tc>
        <w:tc>
          <w:tcPr>
            <w:tcW w:w="2520" w:type="dxa"/>
          </w:tcPr>
          <w:p w:rsidR="001116ED" w:rsidRDefault="001116ED" w:rsidP="00057141">
            <w:r>
              <w:t>AM(R)S protection not ensured.</w:t>
            </w:r>
          </w:p>
        </w:tc>
      </w:tr>
      <w:tr w:rsidR="001116ED" w:rsidTr="000873C8">
        <w:tc>
          <w:tcPr>
            <w:tcW w:w="1772" w:type="dxa"/>
          </w:tcPr>
          <w:p w:rsidR="001116ED" w:rsidRDefault="001116ED" w:rsidP="000873C8">
            <w:r>
              <w:t>China (INP68)</w:t>
            </w:r>
          </w:p>
        </w:tc>
        <w:tc>
          <w:tcPr>
            <w:tcW w:w="1103" w:type="dxa"/>
          </w:tcPr>
          <w:p w:rsidR="001116ED" w:rsidRDefault="001116ED" w:rsidP="000873C8"/>
        </w:tc>
        <w:tc>
          <w:tcPr>
            <w:tcW w:w="1170" w:type="dxa"/>
          </w:tcPr>
          <w:p w:rsidR="001116ED" w:rsidRDefault="001116ED" w:rsidP="000873C8"/>
        </w:tc>
        <w:tc>
          <w:tcPr>
            <w:tcW w:w="1170" w:type="dxa"/>
          </w:tcPr>
          <w:p w:rsidR="001116ED" w:rsidRDefault="001116ED" w:rsidP="000873C8"/>
        </w:tc>
        <w:tc>
          <w:tcPr>
            <w:tcW w:w="2070" w:type="dxa"/>
          </w:tcPr>
          <w:p w:rsidR="001116ED" w:rsidRDefault="001116ED" w:rsidP="000873C8">
            <w:r>
              <w:t>Yes</w:t>
            </w:r>
          </w:p>
        </w:tc>
        <w:tc>
          <w:tcPr>
            <w:tcW w:w="2520" w:type="dxa"/>
          </w:tcPr>
          <w:p w:rsidR="001116ED" w:rsidRDefault="00310D4F" w:rsidP="000873C8">
            <w:r>
              <w:rPr>
                <w:rFonts w:hint="eastAsia"/>
              </w:rPr>
              <w:t>if the studies show that sharing and compatibility both in-band and out-of-band is feasible with existing services and systems</w:t>
            </w:r>
          </w:p>
        </w:tc>
      </w:tr>
      <w:tr w:rsidR="001116ED" w:rsidTr="000873C8">
        <w:tc>
          <w:tcPr>
            <w:tcW w:w="1772" w:type="dxa"/>
          </w:tcPr>
          <w:p w:rsidR="001116ED" w:rsidRDefault="001116ED" w:rsidP="000873C8">
            <w:r>
              <w:t>Japan (INP83)</w:t>
            </w:r>
          </w:p>
        </w:tc>
        <w:tc>
          <w:tcPr>
            <w:tcW w:w="1103" w:type="dxa"/>
          </w:tcPr>
          <w:p w:rsidR="001116ED" w:rsidRDefault="001116ED" w:rsidP="000873C8">
            <w:r>
              <w:t>Yes</w:t>
            </w:r>
          </w:p>
        </w:tc>
        <w:tc>
          <w:tcPr>
            <w:tcW w:w="1170" w:type="dxa"/>
          </w:tcPr>
          <w:p w:rsidR="001116ED" w:rsidRDefault="001116ED" w:rsidP="000873C8">
            <w:r>
              <w:t>No</w:t>
            </w:r>
          </w:p>
        </w:tc>
        <w:tc>
          <w:tcPr>
            <w:tcW w:w="1170" w:type="dxa"/>
          </w:tcPr>
          <w:p w:rsidR="001116ED" w:rsidRDefault="001116ED" w:rsidP="000873C8">
            <w:r>
              <w:t>No</w:t>
            </w:r>
          </w:p>
        </w:tc>
        <w:tc>
          <w:tcPr>
            <w:tcW w:w="2070" w:type="dxa"/>
          </w:tcPr>
          <w:p w:rsidR="001116ED" w:rsidRDefault="001116ED" w:rsidP="000873C8"/>
        </w:tc>
        <w:tc>
          <w:tcPr>
            <w:tcW w:w="2520" w:type="dxa"/>
          </w:tcPr>
          <w:p w:rsidR="001116ED" w:rsidRDefault="001116ED" w:rsidP="000873C8">
            <w:r>
              <w:t>Due concerns with Method C, AM(R)S &amp; LMS</w:t>
            </w:r>
          </w:p>
        </w:tc>
      </w:tr>
      <w:tr w:rsidR="001116ED" w:rsidTr="000873C8">
        <w:tc>
          <w:tcPr>
            <w:tcW w:w="1772" w:type="dxa"/>
          </w:tcPr>
          <w:p w:rsidR="001116ED" w:rsidRDefault="001116ED" w:rsidP="00D731CA">
            <w:r>
              <w:t>Malaysia (INP109 + ACP)</w:t>
            </w:r>
          </w:p>
        </w:tc>
        <w:tc>
          <w:tcPr>
            <w:tcW w:w="1103" w:type="dxa"/>
          </w:tcPr>
          <w:p w:rsidR="001116ED" w:rsidRDefault="001116ED" w:rsidP="000873C8"/>
        </w:tc>
        <w:tc>
          <w:tcPr>
            <w:tcW w:w="1170" w:type="dxa"/>
          </w:tcPr>
          <w:p w:rsidR="001116ED" w:rsidRDefault="001116ED" w:rsidP="000873C8"/>
        </w:tc>
        <w:tc>
          <w:tcPr>
            <w:tcW w:w="1170" w:type="dxa"/>
          </w:tcPr>
          <w:p w:rsidR="001116ED" w:rsidRDefault="001116ED" w:rsidP="000873C8">
            <w:r>
              <w:t>Yes</w:t>
            </w:r>
          </w:p>
        </w:tc>
        <w:tc>
          <w:tcPr>
            <w:tcW w:w="2070" w:type="dxa"/>
          </w:tcPr>
          <w:p w:rsidR="001116ED" w:rsidRDefault="001116ED" w:rsidP="000873C8">
            <w:r>
              <w:t>No</w:t>
            </w:r>
          </w:p>
        </w:tc>
        <w:tc>
          <w:tcPr>
            <w:tcW w:w="2520" w:type="dxa"/>
          </w:tcPr>
          <w:p w:rsidR="001116ED" w:rsidRDefault="001116ED" w:rsidP="007F2A92"/>
        </w:tc>
      </w:tr>
      <w:tr w:rsidR="00D731CA" w:rsidTr="000873C8">
        <w:tc>
          <w:tcPr>
            <w:tcW w:w="1772" w:type="dxa"/>
          </w:tcPr>
          <w:p w:rsidR="00D731CA" w:rsidRDefault="00D731CA" w:rsidP="00D731CA">
            <w:r>
              <w:t>Thailand (INP109 + ACP)</w:t>
            </w:r>
          </w:p>
        </w:tc>
        <w:tc>
          <w:tcPr>
            <w:tcW w:w="1103" w:type="dxa"/>
          </w:tcPr>
          <w:p w:rsidR="00D731CA" w:rsidRDefault="00D731CA" w:rsidP="00D731CA"/>
        </w:tc>
        <w:tc>
          <w:tcPr>
            <w:tcW w:w="1170" w:type="dxa"/>
          </w:tcPr>
          <w:p w:rsidR="00D731CA" w:rsidRDefault="00D731CA" w:rsidP="00D731CA"/>
        </w:tc>
        <w:tc>
          <w:tcPr>
            <w:tcW w:w="1170" w:type="dxa"/>
          </w:tcPr>
          <w:p w:rsidR="00D731CA" w:rsidRDefault="00D731CA" w:rsidP="00D731CA">
            <w:r>
              <w:t>Yes</w:t>
            </w:r>
          </w:p>
        </w:tc>
        <w:tc>
          <w:tcPr>
            <w:tcW w:w="2070" w:type="dxa"/>
          </w:tcPr>
          <w:p w:rsidR="00D731CA" w:rsidRDefault="00D731CA" w:rsidP="00D731CA">
            <w:r>
              <w:t>No</w:t>
            </w:r>
          </w:p>
        </w:tc>
        <w:tc>
          <w:tcPr>
            <w:tcW w:w="2520" w:type="dxa"/>
          </w:tcPr>
          <w:p w:rsidR="00D731CA" w:rsidRDefault="00D731CA" w:rsidP="00D731CA"/>
        </w:tc>
      </w:tr>
      <w:tr w:rsidR="00D731CA" w:rsidTr="000873C8">
        <w:tc>
          <w:tcPr>
            <w:tcW w:w="1772" w:type="dxa"/>
          </w:tcPr>
          <w:p w:rsidR="00D731CA" w:rsidRDefault="00D731CA" w:rsidP="00D731CA">
            <w:r>
              <w:t>Vietnam (INP120)</w:t>
            </w:r>
          </w:p>
        </w:tc>
        <w:tc>
          <w:tcPr>
            <w:tcW w:w="1103" w:type="dxa"/>
          </w:tcPr>
          <w:p w:rsidR="00D731CA" w:rsidRDefault="00D731CA" w:rsidP="00D731CA"/>
        </w:tc>
        <w:tc>
          <w:tcPr>
            <w:tcW w:w="1170" w:type="dxa"/>
          </w:tcPr>
          <w:p w:rsidR="00D731CA" w:rsidRDefault="00D731CA" w:rsidP="00D731CA">
            <w:r>
              <w:t>Yes</w:t>
            </w:r>
          </w:p>
        </w:tc>
        <w:tc>
          <w:tcPr>
            <w:tcW w:w="1170" w:type="dxa"/>
          </w:tcPr>
          <w:p w:rsidR="00D731CA" w:rsidRDefault="00D731CA" w:rsidP="00D731CA">
            <w:r>
              <w:t>Yes</w:t>
            </w:r>
          </w:p>
        </w:tc>
        <w:tc>
          <w:tcPr>
            <w:tcW w:w="2070" w:type="dxa"/>
          </w:tcPr>
          <w:p w:rsidR="00D731CA" w:rsidRDefault="00D731CA" w:rsidP="00D731CA"/>
        </w:tc>
        <w:tc>
          <w:tcPr>
            <w:tcW w:w="2520" w:type="dxa"/>
          </w:tcPr>
          <w:p w:rsidR="00D731CA" w:rsidRDefault="00D731CA" w:rsidP="00D731CA">
            <w:r>
              <w:t>Support B1 and B2</w:t>
            </w:r>
          </w:p>
        </w:tc>
      </w:tr>
      <w:tr w:rsidR="00D731CA" w:rsidTr="000873C8">
        <w:tc>
          <w:tcPr>
            <w:tcW w:w="1772" w:type="dxa"/>
          </w:tcPr>
          <w:p w:rsidR="00D731CA" w:rsidRDefault="00D731CA" w:rsidP="00D731CA">
            <w:r>
              <w:t>Korea (INP130)</w:t>
            </w:r>
          </w:p>
        </w:tc>
        <w:tc>
          <w:tcPr>
            <w:tcW w:w="1103" w:type="dxa"/>
          </w:tcPr>
          <w:p w:rsidR="00D731CA" w:rsidRDefault="00D731CA" w:rsidP="00D731CA">
            <w:r>
              <w:t>Yes</w:t>
            </w:r>
          </w:p>
        </w:tc>
        <w:tc>
          <w:tcPr>
            <w:tcW w:w="1170" w:type="dxa"/>
          </w:tcPr>
          <w:p w:rsidR="00D731CA" w:rsidRDefault="00D731CA" w:rsidP="00D731CA"/>
        </w:tc>
        <w:tc>
          <w:tcPr>
            <w:tcW w:w="1170" w:type="dxa"/>
          </w:tcPr>
          <w:p w:rsidR="00D731CA" w:rsidRDefault="00D731CA" w:rsidP="00D731CA"/>
        </w:tc>
        <w:tc>
          <w:tcPr>
            <w:tcW w:w="2070" w:type="dxa"/>
          </w:tcPr>
          <w:p w:rsidR="00D731CA" w:rsidRDefault="00D731CA" w:rsidP="00D731CA"/>
        </w:tc>
        <w:tc>
          <w:tcPr>
            <w:tcW w:w="2520" w:type="dxa"/>
          </w:tcPr>
          <w:p w:rsidR="00D731CA" w:rsidRDefault="00D731CA" w:rsidP="00D731CA">
            <w:r>
              <w:t>Studies haven’t assured compatibility.</w:t>
            </w:r>
          </w:p>
        </w:tc>
      </w:tr>
      <w:tr w:rsidR="00D731CA" w:rsidTr="000873C8">
        <w:tc>
          <w:tcPr>
            <w:tcW w:w="1772" w:type="dxa"/>
          </w:tcPr>
          <w:p w:rsidR="00D731CA" w:rsidRDefault="00D731CA" w:rsidP="00D731CA">
            <w:r>
              <w:t>India (INP135)</w:t>
            </w:r>
          </w:p>
        </w:tc>
        <w:tc>
          <w:tcPr>
            <w:tcW w:w="1103" w:type="dxa"/>
          </w:tcPr>
          <w:p w:rsidR="00D731CA" w:rsidRDefault="00D731CA" w:rsidP="00D731CA">
            <w:r>
              <w:t>Yes</w:t>
            </w:r>
          </w:p>
        </w:tc>
        <w:tc>
          <w:tcPr>
            <w:tcW w:w="1170" w:type="dxa"/>
          </w:tcPr>
          <w:p w:rsidR="00D731CA" w:rsidRDefault="00D731CA" w:rsidP="00D731CA"/>
        </w:tc>
        <w:tc>
          <w:tcPr>
            <w:tcW w:w="1170" w:type="dxa"/>
          </w:tcPr>
          <w:p w:rsidR="00D731CA" w:rsidRDefault="00D731CA" w:rsidP="00D731CA"/>
        </w:tc>
        <w:tc>
          <w:tcPr>
            <w:tcW w:w="2070" w:type="dxa"/>
          </w:tcPr>
          <w:p w:rsidR="00D731CA" w:rsidRDefault="00D731CA" w:rsidP="00D731CA"/>
        </w:tc>
        <w:tc>
          <w:tcPr>
            <w:tcW w:w="2520" w:type="dxa"/>
          </w:tcPr>
          <w:p w:rsidR="00D731CA" w:rsidRDefault="00D731CA" w:rsidP="00D731CA">
            <w:r>
              <w:t>As bands heavily used</w:t>
            </w:r>
          </w:p>
        </w:tc>
      </w:tr>
      <w:tr w:rsidR="00D731CA" w:rsidTr="001116ED">
        <w:tc>
          <w:tcPr>
            <w:tcW w:w="1772" w:type="dxa"/>
            <w:shd w:val="clear" w:color="auto" w:fill="D9D9D9" w:themeFill="background1" w:themeFillShade="D9"/>
          </w:tcPr>
          <w:p w:rsidR="00D731CA" w:rsidRDefault="00D731CA" w:rsidP="00D731CA"/>
        </w:tc>
        <w:tc>
          <w:tcPr>
            <w:tcW w:w="1103" w:type="dxa"/>
            <w:shd w:val="clear" w:color="auto" w:fill="D9D9D9" w:themeFill="background1" w:themeFillShade="D9"/>
          </w:tcPr>
          <w:p w:rsidR="00D731CA" w:rsidRDefault="00D731CA" w:rsidP="00D731CA"/>
        </w:tc>
        <w:tc>
          <w:tcPr>
            <w:tcW w:w="1170" w:type="dxa"/>
            <w:shd w:val="clear" w:color="auto" w:fill="D9D9D9" w:themeFill="background1" w:themeFillShade="D9"/>
          </w:tcPr>
          <w:p w:rsidR="00D731CA" w:rsidRDefault="00D731CA" w:rsidP="00D731CA"/>
        </w:tc>
        <w:tc>
          <w:tcPr>
            <w:tcW w:w="1170" w:type="dxa"/>
            <w:shd w:val="clear" w:color="auto" w:fill="D9D9D9" w:themeFill="background1" w:themeFillShade="D9"/>
          </w:tcPr>
          <w:p w:rsidR="00D731CA" w:rsidRDefault="00D731CA" w:rsidP="00D731CA"/>
        </w:tc>
        <w:tc>
          <w:tcPr>
            <w:tcW w:w="2070" w:type="dxa"/>
            <w:shd w:val="clear" w:color="auto" w:fill="D9D9D9" w:themeFill="background1" w:themeFillShade="D9"/>
          </w:tcPr>
          <w:p w:rsidR="00D731CA" w:rsidRDefault="00D731CA" w:rsidP="00D731CA"/>
        </w:tc>
        <w:tc>
          <w:tcPr>
            <w:tcW w:w="2520" w:type="dxa"/>
            <w:shd w:val="clear" w:color="auto" w:fill="D9D9D9" w:themeFill="background1" w:themeFillShade="D9"/>
          </w:tcPr>
          <w:p w:rsidR="00D731CA" w:rsidRDefault="00D731CA" w:rsidP="00D731CA"/>
        </w:tc>
      </w:tr>
    </w:tbl>
    <w:p w:rsidR="00E945DA" w:rsidRDefault="00E945DA" w:rsidP="00E945DA">
      <w:pPr>
        <w:spacing w:before="240" w:after="240"/>
        <w:jc w:val="both"/>
      </w:pPr>
    </w:p>
    <w:p w:rsidR="002A0111" w:rsidRPr="00441526" w:rsidRDefault="002A0111" w:rsidP="00030115">
      <w:pPr>
        <w:spacing w:before="240" w:after="240"/>
        <w:jc w:val="both"/>
        <w:rPr>
          <w:b/>
          <w:lang w:val="en-NZ" w:eastAsia="ko-KR"/>
        </w:rPr>
      </w:pPr>
      <w:r w:rsidRPr="00441526">
        <w:rPr>
          <w:b/>
          <w:lang w:val="en-NZ" w:eastAsia="ko-KR"/>
        </w:rPr>
        <w:t xml:space="preserve">4. </w:t>
      </w:r>
      <w:r w:rsidRPr="00441526">
        <w:rPr>
          <w:b/>
          <w:lang w:val="en-NZ" w:eastAsia="ko-KR"/>
        </w:rPr>
        <w:tab/>
        <w:t>APT View(s)</w:t>
      </w:r>
    </w:p>
    <w:p w:rsidR="008B7F07" w:rsidRPr="00D30C07" w:rsidRDefault="008B7F07" w:rsidP="00030115">
      <w:pPr>
        <w:spacing w:before="240" w:after="240"/>
        <w:ind w:left="640"/>
        <w:jc w:val="both"/>
        <w:rPr>
          <w:rFonts w:eastAsia="SimSun"/>
          <w:lang w:eastAsia="zh-CN"/>
        </w:rPr>
      </w:pPr>
      <w:r w:rsidRPr="00D30C07">
        <w:rPr>
          <w:rFonts w:eastAsia="SimSun"/>
          <w:lang w:eastAsia="zh-CN"/>
        </w:rPr>
        <w:t xml:space="preserve">APT Members do not support </w:t>
      </w:r>
      <w:r w:rsidR="00030115" w:rsidRPr="00352878">
        <w:rPr>
          <w:lang w:val="en-NZ"/>
        </w:rPr>
        <w:t>allocation</w:t>
      </w:r>
      <w:r w:rsidR="00030115">
        <w:rPr>
          <w:lang w:val="en-NZ"/>
        </w:rPr>
        <w:t>s</w:t>
      </w:r>
      <w:r w:rsidR="00030115" w:rsidRPr="00352878">
        <w:rPr>
          <w:lang w:val="en-NZ"/>
        </w:rPr>
        <w:t xml:space="preserve"> for non-GSO S</w:t>
      </w:r>
      <w:r w:rsidR="00E22B4F">
        <w:rPr>
          <w:lang w:val="en-NZ"/>
        </w:rPr>
        <w:t xml:space="preserve">hort </w:t>
      </w:r>
      <w:r w:rsidR="00030115" w:rsidRPr="00352878">
        <w:rPr>
          <w:lang w:val="en-NZ"/>
        </w:rPr>
        <w:t>D</w:t>
      </w:r>
      <w:r w:rsidR="00E22B4F">
        <w:rPr>
          <w:lang w:val="en-NZ"/>
        </w:rPr>
        <w:t>uration</w:t>
      </w:r>
      <w:bookmarkStart w:id="0" w:name="_GoBack"/>
      <w:bookmarkEnd w:id="0"/>
      <w:r w:rsidR="00030115" w:rsidRPr="00352878">
        <w:rPr>
          <w:lang w:val="en-NZ"/>
        </w:rPr>
        <w:t xml:space="preserve"> systems</w:t>
      </w:r>
      <w:r w:rsidR="00030115" w:rsidRPr="00D30C07">
        <w:rPr>
          <w:rFonts w:eastAsia="SimSun"/>
          <w:lang w:eastAsia="zh-CN"/>
        </w:rPr>
        <w:t xml:space="preserve"> </w:t>
      </w:r>
      <w:r w:rsidR="00030115">
        <w:rPr>
          <w:rFonts w:eastAsia="SimSun"/>
          <w:lang w:eastAsia="zh-CN"/>
        </w:rPr>
        <w:t xml:space="preserve">in </w:t>
      </w:r>
      <w:r w:rsidRPr="00D30C07">
        <w:rPr>
          <w:rFonts w:eastAsia="SimSun"/>
          <w:lang w:eastAsia="zh-CN"/>
        </w:rPr>
        <w:t>the following frequency ranges:</w:t>
      </w:r>
    </w:p>
    <w:p w:rsidR="008B7F07" w:rsidRPr="00493E0A" w:rsidRDefault="008B7F07" w:rsidP="00030115">
      <w:pPr>
        <w:numPr>
          <w:ilvl w:val="0"/>
          <w:numId w:val="29"/>
        </w:numPr>
        <w:spacing w:before="240" w:after="240"/>
        <w:jc w:val="both"/>
        <w:rPr>
          <w:lang w:val="en-NZ"/>
        </w:rPr>
      </w:pPr>
      <w:r w:rsidRPr="00493E0A">
        <w:rPr>
          <w:lang w:val="en-NZ"/>
        </w:rPr>
        <w:t xml:space="preserve">Maritime mobile VHF radiocommunication in the frequency ranges 156-157.45 MHz, 160.6-160.975 MHz and 161.475-162.05 MHz, in accordance with RR No. </w:t>
      </w:r>
      <w:r w:rsidRPr="00493E0A">
        <w:rPr>
          <w:b/>
          <w:lang w:val="en-NZ"/>
        </w:rPr>
        <w:t>5.226</w:t>
      </w:r>
      <w:r w:rsidRPr="00493E0A">
        <w:rPr>
          <w:lang w:val="en-NZ"/>
        </w:rPr>
        <w:t xml:space="preserve"> and Appendix </w:t>
      </w:r>
      <w:r w:rsidRPr="00493E0A">
        <w:rPr>
          <w:b/>
          <w:lang w:val="en-NZ"/>
        </w:rPr>
        <w:t xml:space="preserve">18 </w:t>
      </w:r>
      <w:r w:rsidRPr="00493E0A">
        <w:rPr>
          <w:lang w:val="en-NZ"/>
        </w:rPr>
        <w:t>(</w:t>
      </w:r>
      <w:r w:rsidRPr="00493E0A">
        <w:rPr>
          <w:b/>
          <w:lang w:val="en-NZ"/>
        </w:rPr>
        <w:t>Rev. WRC-15</w:t>
      </w:r>
      <w:r w:rsidRPr="00493E0A">
        <w:rPr>
          <w:lang w:val="en-NZ"/>
        </w:rPr>
        <w:t>)</w:t>
      </w:r>
      <w:r w:rsidRPr="00493E0A">
        <w:rPr>
          <w:b/>
          <w:lang w:val="en-NZ"/>
        </w:rPr>
        <w:t>.</w:t>
      </w:r>
      <w:r w:rsidRPr="00493E0A">
        <w:rPr>
          <w:lang w:val="en-NZ"/>
        </w:rPr>
        <w:t xml:space="preserve"> </w:t>
      </w:r>
    </w:p>
    <w:p w:rsidR="008B7F07" w:rsidRPr="00493E0A" w:rsidRDefault="008B7F07" w:rsidP="00030115">
      <w:pPr>
        <w:numPr>
          <w:ilvl w:val="0"/>
          <w:numId w:val="29"/>
        </w:numPr>
        <w:spacing w:before="240" w:after="240"/>
        <w:jc w:val="both"/>
        <w:rPr>
          <w:lang w:val="en-NZ"/>
        </w:rPr>
      </w:pPr>
      <w:r>
        <w:rPr>
          <w:lang w:val="en-NZ"/>
        </w:rPr>
        <w:t xml:space="preserve">The frequency </w:t>
      </w:r>
      <w:r w:rsidRPr="00493E0A">
        <w:rPr>
          <w:lang w:val="en-NZ"/>
        </w:rPr>
        <w:t xml:space="preserve">range 406-406.1 MHz that is dedicated for satellite emergency position-indicating radio beacons, in accordance with Resolution </w:t>
      </w:r>
      <w:r w:rsidRPr="00493E0A">
        <w:rPr>
          <w:b/>
          <w:lang w:val="en-NZ"/>
        </w:rPr>
        <w:t xml:space="preserve">205 </w:t>
      </w:r>
      <w:r w:rsidRPr="00493E0A">
        <w:rPr>
          <w:lang w:val="en-NZ"/>
        </w:rPr>
        <w:t>(</w:t>
      </w:r>
      <w:r w:rsidRPr="00493E0A">
        <w:rPr>
          <w:b/>
          <w:lang w:val="en-NZ"/>
        </w:rPr>
        <w:t>Rev. WRC-15</w:t>
      </w:r>
      <w:r w:rsidRPr="00493E0A">
        <w:rPr>
          <w:lang w:val="en-NZ"/>
        </w:rPr>
        <w:t>); and</w:t>
      </w:r>
    </w:p>
    <w:p w:rsidR="002A0111" w:rsidRPr="00441526" w:rsidRDefault="008B7F07" w:rsidP="00030115">
      <w:pPr>
        <w:numPr>
          <w:ilvl w:val="0"/>
          <w:numId w:val="29"/>
        </w:numPr>
        <w:spacing w:before="240" w:after="240"/>
        <w:jc w:val="both"/>
        <w:rPr>
          <w:lang w:val="en-NZ"/>
        </w:rPr>
      </w:pPr>
      <w:r w:rsidRPr="00493E0A">
        <w:rPr>
          <w:lang w:val="en-NZ"/>
        </w:rPr>
        <w:t>Frequency bands used by Global Maritime Distress and Safety System (GMDSS) included</w:t>
      </w:r>
      <w:r w:rsidRPr="00493E0A">
        <w:rPr>
          <w:rFonts w:hint="eastAsia"/>
          <w:lang w:val="en-NZ"/>
        </w:rPr>
        <w:t xml:space="preserve"> </w:t>
      </w:r>
      <w:r w:rsidRPr="00493E0A">
        <w:rPr>
          <w:lang w:val="en-NZ"/>
        </w:rPr>
        <w:t xml:space="preserve">in Appendix </w:t>
      </w:r>
      <w:r w:rsidRPr="008B7F07">
        <w:rPr>
          <w:lang w:val="en-NZ"/>
        </w:rPr>
        <w:t>15</w:t>
      </w:r>
      <w:r w:rsidRPr="00493E0A">
        <w:rPr>
          <w:lang w:val="en-NZ"/>
        </w:rPr>
        <w:t xml:space="preserve"> of RR.</w:t>
      </w:r>
    </w:p>
    <w:p w:rsidR="007C4135" w:rsidRDefault="007C4135" w:rsidP="007C4135">
      <w:pPr>
        <w:spacing w:before="240" w:after="240"/>
        <w:ind w:left="640"/>
        <w:jc w:val="both"/>
        <w:rPr>
          <w:rFonts w:eastAsia="SimSun"/>
          <w:lang w:eastAsia="zh-CN"/>
        </w:rPr>
      </w:pPr>
      <w:r w:rsidRPr="007C4135">
        <w:rPr>
          <w:rFonts w:eastAsia="SimSun"/>
          <w:lang w:eastAsia="zh-CN"/>
        </w:rPr>
        <w:lastRenderedPageBreak/>
        <w:t xml:space="preserve">The main support from APT members is for Method A and Method C, with a preference for Method C if the protection can be ensured for AM(R)S </w:t>
      </w:r>
      <w:r>
        <w:rPr>
          <w:rFonts w:eastAsia="SimSun"/>
          <w:lang w:eastAsia="zh-CN"/>
        </w:rPr>
        <w:t xml:space="preserve">below </w:t>
      </w:r>
      <w:r w:rsidRPr="007C4135">
        <w:rPr>
          <w:rFonts w:eastAsia="SimSun"/>
          <w:lang w:eastAsia="zh-CN"/>
        </w:rPr>
        <w:t>the 137-138 MHz frequency band and the FS and MS in the 148-149.9 MHz frequency band.</w:t>
      </w:r>
    </w:p>
    <w:p w:rsidR="007C4135" w:rsidRPr="007C4135" w:rsidRDefault="007C4135" w:rsidP="007C4135">
      <w:pPr>
        <w:spacing w:before="240" w:after="240"/>
        <w:ind w:left="640"/>
        <w:jc w:val="both"/>
        <w:rPr>
          <w:rFonts w:eastAsia="SimSun"/>
          <w:lang w:eastAsia="zh-CN"/>
        </w:rPr>
      </w:pPr>
      <w:r>
        <w:rPr>
          <w:rFonts w:eastAsia="SimSun"/>
          <w:lang w:eastAsia="zh-CN"/>
        </w:rPr>
        <w:t>Some APT members do not support Method C.</w:t>
      </w:r>
    </w:p>
    <w:p w:rsidR="002A0111" w:rsidRPr="00441526" w:rsidRDefault="002A0111" w:rsidP="00030115">
      <w:pPr>
        <w:spacing w:before="240" w:after="240"/>
        <w:jc w:val="both"/>
        <w:rPr>
          <w:b/>
          <w:lang w:val="en-NZ" w:eastAsia="ko-KR"/>
        </w:rPr>
      </w:pPr>
      <w:r w:rsidRPr="00441526">
        <w:rPr>
          <w:b/>
          <w:lang w:val="en-NZ" w:eastAsia="ko-KR"/>
        </w:rPr>
        <w:t xml:space="preserve">5. </w:t>
      </w:r>
      <w:r w:rsidRPr="00441526">
        <w:rPr>
          <w:b/>
          <w:lang w:val="en-NZ" w:eastAsia="ko-KR"/>
        </w:rPr>
        <w:tab/>
      </w:r>
      <w:r w:rsidR="001A717C">
        <w:rPr>
          <w:b/>
          <w:lang w:val="en-NZ" w:eastAsia="ko-KR"/>
        </w:rPr>
        <w:t>Preliminary APT Common Proposal(s)</w:t>
      </w:r>
    </w:p>
    <w:p w:rsidR="00504750" w:rsidRPr="00441526" w:rsidRDefault="00704F20" w:rsidP="00AC34C3">
      <w:pPr>
        <w:spacing w:before="240" w:after="240"/>
        <w:rPr>
          <w:lang w:val="en-NZ"/>
        </w:rPr>
      </w:pPr>
      <w:r>
        <w:rPr>
          <w:lang w:val="en-NZ"/>
        </w:rPr>
        <w:t>PACP will be developed</w:t>
      </w:r>
      <w:r w:rsidR="007C4135">
        <w:rPr>
          <w:lang w:val="en-NZ"/>
        </w:rPr>
        <w:t xml:space="preserve"> </w:t>
      </w:r>
      <w:r w:rsidR="00AC34C3">
        <w:rPr>
          <w:lang w:val="en-NZ"/>
        </w:rPr>
        <w:t xml:space="preserve">under General Matters </w:t>
      </w:r>
      <w:r w:rsidR="007C4135">
        <w:rPr>
          <w:lang w:val="en-NZ"/>
        </w:rPr>
        <w:t>based on the APT views</w:t>
      </w:r>
      <w:r w:rsidR="00AC34C3">
        <w:rPr>
          <w:lang w:val="en-NZ"/>
        </w:rPr>
        <w:t>.</w:t>
      </w:r>
    </w:p>
    <w:bookmarkStart w:id="1" w:name="_MON_1626321816"/>
    <w:bookmarkEnd w:id="1"/>
    <w:p w:rsidR="004579BE" w:rsidRPr="00AC34C3" w:rsidRDefault="00AC34C3" w:rsidP="00030115">
      <w:pPr>
        <w:spacing w:before="240" w:after="240"/>
        <w:rPr>
          <w:b/>
          <w:lang w:val="en-NZ"/>
        </w:rPr>
      </w:pPr>
      <w:r w:rsidRPr="00AC34C3">
        <w:rPr>
          <w:b/>
          <w:noProof/>
          <w:lang w:val="en-NZ"/>
        </w:rPr>
        <w:object w:dxaOrig="1311" w:dyaOrig="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25pt;height:42.75pt" o:ole="">
            <v:imagedata r:id="rId10" o:title=""/>
          </v:shape>
          <o:OLEObject Type="Embed" ProgID="Word.Document.12" ShapeID="_x0000_i1025" DrawAspect="Icon" ObjectID="_1626809731" r:id="rId11">
            <o:FieldCodes>\s</o:FieldCodes>
          </o:OLEObject>
        </w:object>
      </w:r>
    </w:p>
    <w:sectPr w:rsidR="004579BE" w:rsidRPr="00AC34C3" w:rsidSect="00C516C7">
      <w:headerReference w:type="default" r:id="rId12"/>
      <w:footerReference w:type="even" r:id="rId13"/>
      <w:footerReference w:type="default" r:id="rId14"/>
      <w:headerReference w:type="first" r:id="rId15"/>
      <w:footerReference w:type="first" r:id="rId16"/>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658" w:rsidRDefault="00954658">
      <w:r>
        <w:separator/>
      </w:r>
    </w:p>
  </w:endnote>
  <w:endnote w:type="continuationSeparator" w:id="0">
    <w:p w:rsidR="00954658" w:rsidRDefault="0095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09" w:rsidRDefault="00D45C09"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5C09" w:rsidRDefault="00D45C09"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09" w:rsidRDefault="00D45C09" w:rsidP="0092727B">
    <w:pPr>
      <w:pStyle w:val="Footer"/>
      <w:tabs>
        <w:tab w:val="clear" w:pos="4320"/>
        <w:tab w:val="clear" w:pos="8640"/>
        <w:tab w:val="right" w:pos="9180"/>
      </w:tabs>
      <w:ind w:right="-7"/>
    </w:pPr>
    <w:r>
      <w:rPr>
        <w:rFonts w:hint="eastAsia"/>
        <w:lang w:eastAsia="ko-KR"/>
      </w:rPr>
      <w:t>A</w:t>
    </w:r>
    <w:r>
      <w:rPr>
        <w:lang w:eastAsia="ko-KR"/>
      </w:rPr>
      <w:t>PG19-5/</w:t>
    </w:r>
    <w:r w:rsidR="004E177F">
      <w:rPr>
        <w:lang w:eastAsia="ko-KR"/>
      </w:rPr>
      <w:t>OUT-33</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E22B4F">
      <w:rPr>
        <w:rStyle w:val="PageNumber"/>
        <w:noProof/>
      </w:rPr>
      <w:t>8</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E22B4F">
      <w:rPr>
        <w:rStyle w:val="PageNumber"/>
        <w:noProof/>
      </w:rPr>
      <w:t>8</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004"/>
      <w:gridCol w:w="3060"/>
    </w:tblGrid>
    <w:tr w:rsidR="00D45C09" w:rsidTr="00030115">
      <w:trPr>
        <w:trHeight w:val="432"/>
      </w:trPr>
      <w:tc>
        <w:tcPr>
          <w:tcW w:w="1296" w:type="dxa"/>
          <w:tcBorders>
            <w:top w:val="single" w:sz="8" w:space="0" w:color="auto"/>
            <w:bottom w:val="nil"/>
            <w:right w:val="nil"/>
          </w:tcBorders>
        </w:tcPr>
        <w:p w:rsidR="00D45C09" w:rsidRDefault="00D45C09" w:rsidP="0092727B">
          <w:pPr>
            <w:pStyle w:val="Footer"/>
            <w:tabs>
              <w:tab w:val="clear" w:pos="4320"/>
              <w:tab w:val="clear" w:pos="8640"/>
            </w:tabs>
            <w:rPr>
              <w:sz w:val="16"/>
              <w:szCs w:val="16"/>
            </w:rPr>
          </w:pPr>
          <w:r>
            <w:rPr>
              <w:b/>
              <w:bCs/>
            </w:rPr>
            <w:t>Contact:</w:t>
          </w:r>
        </w:p>
      </w:tc>
      <w:tc>
        <w:tcPr>
          <w:tcW w:w="5004" w:type="dxa"/>
          <w:tcBorders>
            <w:top w:val="single" w:sz="8" w:space="0" w:color="auto"/>
            <w:left w:val="nil"/>
            <w:bottom w:val="nil"/>
            <w:right w:val="nil"/>
          </w:tcBorders>
        </w:tcPr>
        <w:p w:rsidR="00D45C09" w:rsidRDefault="00030115" w:rsidP="0092727B">
          <w:pPr>
            <w:pStyle w:val="Footer"/>
            <w:tabs>
              <w:tab w:val="clear" w:pos="4320"/>
              <w:tab w:val="clear" w:pos="8640"/>
            </w:tabs>
          </w:pPr>
          <w:r>
            <w:t xml:space="preserve">Nguyen </w:t>
          </w:r>
          <w:proofErr w:type="spellStart"/>
          <w:r>
            <w:t>Huy</w:t>
          </w:r>
          <w:proofErr w:type="spellEnd"/>
          <w:r>
            <w:t xml:space="preserve"> </w:t>
          </w:r>
          <w:proofErr w:type="spellStart"/>
          <w:r>
            <w:t>Cuong</w:t>
          </w:r>
          <w:proofErr w:type="spellEnd"/>
          <w:r w:rsidR="00D45C09">
            <w:t>/</w:t>
          </w:r>
          <w:r>
            <w:t xml:space="preserve"> Atmadji W Soewito</w:t>
          </w:r>
        </w:p>
        <w:p w:rsidR="00D45C09" w:rsidRPr="002A0111" w:rsidRDefault="00030115" w:rsidP="00030115">
          <w:pPr>
            <w:pStyle w:val="Footer"/>
            <w:tabs>
              <w:tab w:val="clear" w:pos="4320"/>
              <w:tab w:val="clear" w:pos="8640"/>
            </w:tabs>
          </w:pPr>
          <w:r>
            <w:t>Chairman, DG AI1.7</w:t>
          </w:r>
          <w:r w:rsidR="00D45C09">
            <w:t xml:space="preserve">/WP </w:t>
          </w:r>
          <w:r>
            <w:t>4</w:t>
          </w:r>
        </w:p>
      </w:tc>
      <w:tc>
        <w:tcPr>
          <w:tcW w:w="3060" w:type="dxa"/>
          <w:tcBorders>
            <w:top w:val="single" w:sz="8" w:space="0" w:color="auto"/>
            <w:left w:val="nil"/>
            <w:bottom w:val="nil"/>
          </w:tcBorders>
        </w:tcPr>
        <w:p w:rsidR="00D45C09" w:rsidRPr="0092727B" w:rsidRDefault="00D45C09" w:rsidP="0092727B">
          <w:pPr>
            <w:pStyle w:val="Footer"/>
            <w:tabs>
              <w:tab w:val="clear" w:pos="4320"/>
              <w:tab w:val="clear" w:pos="8640"/>
            </w:tabs>
          </w:pPr>
          <w:r>
            <w:t>E-mail:</w:t>
          </w:r>
          <w:r w:rsidR="00030115">
            <w:t xml:space="preserve"> cuongnh@rfd.gov.vn</w:t>
          </w:r>
        </w:p>
      </w:tc>
    </w:tr>
  </w:tbl>
  <w:p w:rsidR="00D45C09" w:rsidRDefault="00D45C09"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658" w:rsidRDefault="00954658">
      <w:r>
        <w:separator/>
      </w:r>
    </w:p>
  </w:footnote>
  <w:footnote w:type="continuationSeparator" w:id="0">
    <w:p w:rsidR="00954658" w:rsidRDefault="00954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09" w:rsidRDefault="00D45C09" w:rsidP="0092727B">
    <w:pPr>
      <w:pStyle w:val="Header"/>
      <w:tabs>
        <w:tab w:val="clear" w:pos="4320"/>
        <w:tab w:val="clear" w:pos="8640"/>
      </w:tabs>
      <w:rPr>
        <w:lang w:eastAsia="ko-KR"/>
      </w:rPr>
    </w:pPr>
  </w:p>
  <w:p w:rsidR="00D45C09" w:rsidRDefault="00D45C09" w:rsidP="00AD7E5F">
    <w:pPr>
      <w:pStyle w:val="Header"/>
      <w:tabs>
        <w:tab w:val="center" w:pos="4763"/>
        <w:tab w:val="left" w:pos="582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09" w:rsidRDefault="00D45C09" w:rsidP="0092727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A7298C"/>
    <w:multiLevelType w:val="hybridMultilevel"/>
    <w:tmpl w:val="3F0646B8"/>
    <w:lvl w:ilvl="0" w:tplc="04090001">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2">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nsid w:val="33AA3541"/>
    <w:multiLevelType w:val="multilevel"/>
    <w:tmpl w:val="6A942486"/>
    <w:lvl w:ilvl="0">
      <w:start w:val="1"/>
      <w:numFmt w:val="lowerLetter"/>
      <w:lvlText w:val="%1)"/>
      <w:lvlJc w:val="left"/>
      <w:pPr>
        <w:ind w:left="720" w:hanging="360"/>
      </w:pPr>
      <w:rPr>
        <w:rFonts w:hint="default"/>
      </w:rPr>
    </w:lvl>
    <w:lvl w:ilvl="1">
      <w:start w:val="204"/>
      <w:numFmt w:val="decimal"/>
      <w:isLgl/>
      <w:lvlText w:val="%1.%2"/>
      <w:lvlJc w:val="left"/>
      <w:pPr>
        <w:ind w:left="1155" w:hanging="795"/>
      </w:pPr>
      <w:rPr>
        <w:rFonts w:ascii="Times New Roman" w:hAnsi="Times New Roman" w:hint="default"/>
        <w:b/>
        <w:sz w:val="22"/>
      </w:rPr>
    </w:lvl>
    <w:lvl w:ilvl="2">
      <w:start w:val="1"/>
      <w:numFmt w:val="decimal"/>
      <w:isLgl/>
      <w:lvlText w:val="%1.%2.%3"/>
      <w:lvlJc w:val="left"/>
      <w:pPr>
        <w:ind w:left="1155" w:hanging="795"/>
      </w:pPr>
      <w:rPr>
        <w:rFonts w:ascii="Times New Roman" w:hAnsi="Times New Roman" w:hint="default"/>
        <w:b/>
        <w:sz w:val="22"/>
      </w:rPr>
    </w:lvl>
    <w:lvl w:ilvl="3">
      <w:start w:val="1"/>
      <w:numFmt w:val="decimal"/>
      <w:isLgl/>
      <w:lvlText w:val="%1.%2.%3.%4"/>
      <w:lvlJc w:val="left"/>
      <w:pPr>
        <w:ind w:left="1155" w:hanging="795"/>
      </w:pPr>
      <w:rPr>
        <w:rFonts w:ascii="Times New Roman" w:hAnsi="Times New Roman" w:hint="default"/>
        <w:b/>
        <w:sz w:val="22"/>
      </w:rPr>
    </w:lvl>
    <w:lvl w:ilvl="4">
      <w:start w:val="1"/>
      <w:numFmt w:val="decimal"/>
      <w:isLgl/>
      <w:lvlText w:val="%1.%2.%3.%4.%5"/>
      <w:lvlJc w:val="left"/>
      <w:pPr>
        <w:ind w:left="1440" w:hanging="1080"/>
      </w:pPr>
      <w:rPr>
        <w:rFonts w:ascii="Times New Roman" w:hAnsi="Times New Roman" w:hint="default"/>
        <w:b/>
        <w:sz w:val="22"/>
      </w:rPr>
    </w:lvl>
    <w:lvl w:ilvl="5">
      <w:start w:val="1"/>
      <w:numFmt w:val="decimal"/>
      <w:isLgl/>
      <w:lvlText w:val="%1.%2.%3.%4.%5.%6"/>
      <w:lvlJc w:val="left"/>
      <w:pPr>
        <w:ind w:left="1440" w:hanging="1080"/>
      </w:pPr>
      <w:rPr>
        <w:rFonts w:ascii="Times New Roman" w:hAnsi="Times New Roman" w:hint="default"/>
        <w:b/>
        <w:sz w:val="22"/>
      </w:rPr>
    </w:lvl>
    <w:lvl w:ilvl="6">
      <w:start w:val="1"/>
      <w:numFmt w:val="decimal"/>
      <w:isLgl/>
      <w:lvlText w:val="%1.%2.%3.%4.%5.%6.%7"/>
      <w:lvlJc w:val="left"/>
      <w:pPr>
        <w:ind w:left="1800" w:hanging="1440"/>
      </w:pPr>
      <w:rPr>
        <w:rFonts w:ascii="Times New Roman" w:hAnsi="Times New Roman" w:hint="default"/>
        <w:b/>
        <w:sz w:val="22"/>
      </w:rPr>
    </w:lvl>
    <w:lvl w:ilvl="7">
      <w:start w:val="1"/>
      <w:numFmt w:val="decimal"/>
      <w:isLgl/>
      <w:lvlText w:val="%1.%2.%3.%4.%5.%6.%7.%8"/>
      <w:lvlJc w:val="left"/>
      <w:pPr>
        <w:ind w:left="1800" w:hanging="1440"/>
      </w:pPr>
      <w:rPr>
        <w:rFonts w:ascii="Times New Roman" w:hAnsi="Times New Roman" w:hint="default"/>
        <w:b/>
        <w:sz w:val="22"/>
      </w:rPr>
    </w:lvl>
    <w:lvl w:ilvl="8">
      <w:start w:val="1"/>
      <w:numFmt w:val="decimal"/>
      <w:isLgl/>
      <w:lvlText w:val="%1.%2.%3.%4.%5.%6.%7.%8.%9"/>
      <w:lvlJc w:val="left"/>
      <w:pPr>
        <w:ind w:left="1800" w:hanging="1440"/>
      </w:pPr>
      <w:rPr>
        <w:rFonts w:ascii="Times New Roman" w:hAnsi="Times New Roman" w:hint="default"/>
        <w:b/>
        <w:sz w:val="22"/>
      </w:rPr>
    </w:lvl>
  </w:abstractNum>
  <w:abstractNum w:abstractNumId="11">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nsid w:val="37CF2F88"/>
    <w:multiLevelType w:val="hybridMultilevel"/>
    <w:tmpl w:val="7F766D7A"/>
    <w:lvl w:ilvl="0" w:tplc="722A45E8">
      <w:start w:val="2"/>
      <w:numFmt w:val="bullet"/>
      <w:lvlText w:val="-"/>
      <w:lvlJc w:val="left"/>
      <w:pPr>
        <w:ind w:left="1440" w:hanging="360"/>
      </w:pPr>
      <w:rPr>
        <w:rFonts w:ascii="Times New Roman" w:eastAsia="GulimChe"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AEC2CC3"/>
    <w:multiLevelType w:val="hybridMultilevel"/>
    <w:tmpl w:val="3FB0A8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6">
    <w:nsid w:val="3BED2777"/>
    <w:multiLevelType w:val="hybridMultilevel"/>
    <w:tmpl w:val="79566940"/>
    <w:lvl w:ilvl="0" w:tplc="A114EBFA">
      <w:start w:val="1"/>
      <w:numFmt w:val="bullet"/>
      <w:lvlText w:val="-"/>
      <w:lvlJc w:val="left"/>
      <w:pPr>
        <w:ind w:left="1000" w:hanging="360"/>
      </w:pPr>
      <w:rPr>
        <w:rFonts w:ascii="Malgun Gothic" w:eastAsia="Malgun Gothic" w:hAnsi="Malgun Gothic" w:cstheme="minorBidi" w:hint="eastAsia"/>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03" w:tentative="1">
      <w:start w:val="1"/>
      <w:numFmt w:val="bullet"/>
      <w:lvlText w:val=""/>
      <w:lvlJc w:val="left"/>
      <w:pPr>
        <w:ind w:left="2640" w:hanging="400"/>
      </w:pPr>
      <w:rPr>
        <w:rFonts w:ascii="Wingdings" w:hAnsi="Wingding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abstractNum w:abstractNumId="17">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61D325CF"/>
    <w:multiLevelType w:val="hybridMultilevel"/>
    <w:tmpl w:val="41F6C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3">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79FC0BC1"/>
    <w:multiLevelType w:val="multilevel"/>
    <w:tmpl w:val="C0B0DBA2"/>
    <w:lvl w:ilvl="0">
      <w:start w:val="1"/>
      <w:numFmt w:val="lowerLetter"/>
      <w:lvlText w:val="%1)"/>
      <w:lvlJc w:val="left"/>
      <w:pPr>
        <w:ind w:left="720" w:hanging="360"/>
      </w:pPr>
      <w:rPr>
        <w:rFonts w:hint="default"/>
      </w:rPr>
    </w:lvl>
    <w:lvl w:ilvl="1">
      <w:start w:val="204"/>
      <w:numFmt w:val="decimal"/>
      <w:isLgl/>
      <w:lvlText w:val="%1.%2"/>
      <w:lvlJc w:val="left"/>
      <w:pPr>
        <w:ind w:left="1155" w:hanging="795"/>
      </w:pPr>
      <w:rPr>
        <w:rFonts w:ascii="Times New Roman" w:hAnsi="Times New Roman" w:hint="default"/>
        <w:b/>
        <w:sz w:val="22"/>
      </w:rPr>
    </w:lvl>
    <w:lvl w:ilvl="2">
      <w:start w:val="1"/>
      <w:numFmt w:val="decimal"/>
      <w:isLgl/>
      <w:lvlText w:val="%1.%2.%3"/>
      <w:lvlJc w:val="left"/>
      <w:pPr>
        <w:ind w:left="1155" w:hanging="795"/>
      </w:pPr>
      <w:rPr>
        <w:rFonts w:ascii="Times New Roman" w:hAnsi="Times New Roman" w:hint="default"/>
        <w:b/>
        <w:sz w:val="22"/>
      </w:rPr>
    </w:lvl>
    <w:lvl w:ilvl="3">
      <w:start w:val="1"/>
      <w:numFmt w:val="decimal"/>
      <w:isLgl/>
      <w:lvlText w:val="%1.%2.%3.%4"/>
      <w:lvlJc w:val="left"/>
      <w:pPr>
        <w:ind w:left="1155" w:hanging="795"/>
      </w:pPr>
      <w:rPr>
        <w:rFonts w:ascii="Times New Roman" w:hAnsi="Times New Roman" w:hint="default"/>
        <w:b/>
        <w:sz w:val="22"/>
      </w:rPr>
    </w:lvl>
    <w:lvl w:ilvl="4">
      <w:start w:val="1"/>
      <w:numFmt w:val="decimal"/>
      <w:isLgl/>
      <w:lvlText w:val="%1.%2.%3.%4.%5"/>
      <w:lvlJc w:val="left"/>
      <w:pPr>
        <w:ind w:left="1440" w:hanging="1080"/>
      </w:pPr>
      <w:rPr>
        <w:rFonts w:ascii="Times New Roman" w:hAnsi="Times New Roman" w:hint="default"/>
        <w:b/>
        <w:sz w:val="22"/>
      </w:rPr>
    </w:lvl>
    <w:lvl w:ilvl="5">
      <w:start w:val="1"/>
      <w:numFmt w:val="decimal"/>
      <w:isLgl/>
      <w:lvlText w:val="%1.%2.%3.%4.%5.%6"/>
      <w:lvlJc w:val="left"/>
      <w:pPr>
        <w:ind w:left="1440" w:hanging="1080"/>
      </w:pPr>
      <w:rPr>
        <w:rFonts w:ascii="Times New Roman" w:hAnsi="Times New Roman" w:hint="default"/>
        <w:b/>
        <w:sz w:val="22"/>
      </w:rPr>
    </w:lvl>
    <w:lvl w:ilvl="6">
      <w:start w:val="1"/>
      <w:numFmt w:val="decimal"/>
      <w:isLgl/>
      <w:lvlText w:val="%1.%2.%3.%4.%5.%6.%7"/>
      <w:lvlJc w:val="left"/>
      <w:pPr>
        <w:ind w:left="1800" w:hanging="1440"/>
      </w:pPr>
      <w:rPr>
        <w:rFonts w:ascii="Times New Roman" w:hAnsi="Times New Roman" w:hint="default"/>
        <w:b/>
        <w:sz w:val="22"/>
      </w:rPr>
    </w:lvl>
    <w:lvl w:ilvl="7">
      <w:start w:val="1"/>
      <w:numFmt w:val="decimal"/>
      <w:isLgl/>
      <w:lvlText w:val="%1.%2.%3.%4.%5.%6.%7.%8"/>
      <w:lvlJc w:val="left"/>
      <w:pPr>
        <w:ind w:left="1800" w:hanging="1440"/>
      </w:pPr>
      <w:rPr>
        <w:rFonts w:ascii="Times New Roman" w:hAnsi="Times New Roman" w:hint="default"/>
        <w:b/>
        <w:sz w:val="22"/>
      </w:rPr>
    </w:lvl>
    <w:lvl w:ilvl="8">
      <w:start w:val="1"/>
      <w:numFmt w:val="decimal"/>
      <w:isLgl/>
      <w:lvlText w:val="%1.%2.%3.%4.%5.%6.%7.%8.%9"/>
      <w:lvlJc w:val="left"/>
      <w:pPr>
        <w:ind w:left="1800" w:hanging="1440"/>
      </w:pPr>
      <w:rPr>
        <w:rFonts w:ascii="Times New Roman" w:hAnsi="Times New Roman" w:hint="default"/>
        <w:b/>
        <w:sz w:val="22"/>
      </w:rPr>
    </w:lvl>
  </w:abstractNum>
  <w:abstractNum w:abstractNumId="25">
    <w:nsid w:val="7A2C3B6C"/>
    <w:multiLevelType w:val="singleLevel"/>
    <w:tmpl w:val="A01AB2EA"/>
    <w:lvl w:ilvl="0">
      <w:start w:val="1"/>
      <w:numFmt w:val="decimal"/>
      <w:lvlText w:val="%1.  "/>
      <w:legacy w:legacy="1" w:legacySpace="0" w:legacyIndent="283"/>
      <w:lvlJc w:val="left"/>
      <w:pPr>
        <w:ind w:left="283" w:hanging="283"/>
      </w:pPr>
    </w:lvl>
  </w:abstractNum>
  <w:abstractNum w:abstractNumId="26">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nsid w:val="7E8A519C"/>
    <w:multiLevelType w:val="hybridMultilevel"/>
    <w:tmpl w:val="4D66A062"/>
    <w:lvl w:ilvl="0" w:tplc="A114EBFA">
      <w:start w:val="1"/>
      <w:numFmt w:val="bullet"/>
      <w:lvlText w:val="-"/>
      <w:lvlJc w:val="left"/>
      <w:pPr>
        <w:ind w:left="360" w:hanging="360"/>
      </w:pPr>
      <w:rPr>
        <w:rFonts w:ascii="Malgun Gothic" w:eastAsia="Malgun Gothic" w:hAnsi="Malgun Gothic" w:cstheme="minorBidi"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1"/>
  </w:num>
  <w:num w:numId="2">
    <w:abstractNumId w:val="6"/>
  </w:num>
  <w:num w:numId="3">
    <w:abstractNumId w:val="5"/>
  </w:num>
  <w:num w:numId="4">
    <w:abstractNumId w:val="21"/>
  </w:num>
  <w:num w:numId="5">
    <w:abstractNumId w:val="9"/>
  </w:num>
  <w:num w:numId="6">
    <w:abstractNumId w:val="12"/>
  </w:num>
  <w:num w:numId="7">
    <w:abstractNumId w:val="3"/>
  </w:num>
  <w:num w:numId="8">
    <w:abstractNumId w:val="2"/>
  </w:num>
  <w:num w:numId="9">
    <w:abstractNumId w:val="25"/>
  </w:num>
  <w:num w:numId="10">
    <w:abstractNumId w:val="19"/>
  </w:num>
  <w:num w:numId="11">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0"/>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6"/>
  </w:num>
  <w:num w:numId="17">
    <w:abstractNumId w:val="18"/>
  </w:num>
  <w:num w:numId="18">
    <w:abstractNumId w:val="15"/>
  </w:num>
  <w:num w:numId="19">
    <w:abstractNumId w:val="23"/>
  </w:num>
  <w:num w:numId="20">
    <w:abstractNumId w:val="8"/>
  </w:num>
  <w:num w:numId="21">
    <w:abstractNumId w:val="22"/>
  </w:num>
  <w:num w:numId="22">
    <w:abstractNumId w:val="28"/>
  </w:num>
  <w:num w:numId="23">
    <w:abstractNumId w:val="27"/>
  </w:num>
  <w:num w:numId="24">
    <w:abstractNumId w:val="20"/>
  </w:num>
  <w:num w:numId="25">
    <w:abstractNumId w:val="24"/>
  </w:num>
  <w:num w:numId="26">
    <w:abstractNumId w:val="10"/>
  </w:num>
  <w:num w:numId="27">
    <w:abstractNumId w:val="1"/>
  </w:num>
  <w:num w:numId="28">
    <w:abstractNumId w:val="13"/>
  </w:num>
  <w:num w:numId="29">
    <w:abstractNumId w:val="1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10C8E"/>
    <w:rsid w:val="00030115"/>
    <w:rsid w:val="0003595B"/>
    <w:rsid w:val="00036517"/>
    <w:rsid w:val="00036CC9"/>
    <w:rsid w:val="00040149"/>
    <w:rsid w:val="00057141"/>
    <w:rsid w:val="00070642"/>
    <w:rsid w:val="000713CF"/>
    <w:rsid w:val="00075C14"/>
    <w:rsid w:val="000822B5"/>
    <w:rsid w:val="00094B87"/>
    <w:rsid w:val="000A012B"/>
    <w:rsid w:val="000A5418"/>
    <w:rsid w:val="000B2302"/>
    <w:rsid w:val="000D2474"/>
    <w:rsid w:val="000D47FB"/>
    <w:rsid w:val="000F345F"/>
    <w:rsid w:val="000F4796"/>
    <w:rsid w:val="000F517C"/>
    <w:rsid w:val="000F5540"/>
    <w:rsid w:val="000F7D6C"/>
    <w:rsid w:val="00105F1A"/>
    <w:rsid w:val="00106B1A"/>
    <w:rsid w:val="001116ED"/>
    <w:rsid w:val="00120ABA"/>
    <w:rsid w:val="00125FBD"/>
    <w:rsid w:val="001409B2"/>
    <w:rsid w:val="00152636"/>
    <w:rsid w:val="001539DD"/>
    <w:rsid w:val="00156782"/>
    <w:rsid w:val="00165846"/>
    <w:rsid w:val="00165F01"/>
    <w:rsid w:val="001731F4"/>
    <w:rsid w:val="001916F2"/>
    <w:rsid w:val="001930A7"/>
    <w:rsid w:val="00196568"/>
    <w:rsid w:val="00197C18"/>
    <w:rsid w:val="001A2F16"/>
    <w:rsid w:val="001A717C"/>
    <w:rsid w:val="001B1804"/>
    <w:rsid w:val="001B18C2"/>
    <w:rsid w:val="001C443F"/>
    <w:rsid w:val="001C61A5"/>
    <w:rsid w:val="001C6707"/>
    <w:rsid w:val="001D5D7E"/>
    <w:rsid w:val="001F5947"/>
    <w:rsid w:val="00202410"/>
    <w:rsid w:val="00214A0C"/>
    <w:rsid w:val="0021588B"/>
    <w:rsid w:val="002161B6"/>
    <w:rsid w:val="002216AC"/>
    <w:rsid w:val="0023212E"/>
    <w:rsid w:val="00232D1A"/>
    <w:rsid w:val="00242FD6"/>
    <w:rsid w:val="002475E2"/>
    <w:rsid w:val="002506D2"/>
    <w:rsid w:val="00250DE2"/>
    <w:rsid w:val="00254A1B"/>
    <w:rsid w:val="0026064A"/>
    <w:rsid w:val="00264566"/>
    <w:rsid w:val="0028454D"/>
    <w:rsid w:val="00291C9E"/>
    <w:rsid w:val="002926D4"/>
    <w:rsid w:val="0029734E"/>
    <w:rsid w:val="002A0111"/>
    <w:rsid w:val="002A1CB5"/>
    <w:rsid w:val="002A3CF5"/>
    <w:rsid w:val="002B06A3"/>
    <w:rsid w:val="002B435C"/>
    <w:rsid w:val="002B447F"/>
    <w:rsid w:val="002C07DA"/>
    <w:rsid w:val="002C2A49"/>
    <w:rsid w:val="002C7EA9"/>
    <w:rsid w:val="002F575D"/>
    <w:rsid w:val="00310D4F"/>
    <w:rsid w:val="003113D7"/>
    <w:rsid w:val="00311E8A"/>
    <w:rsid w:val="00324E5E"/>
    <w:rsid w:val="00340FBD"/>
    <w:rsid w:val="00342F20"/>
    <w:rsid w:val="003573BF"/>
    <w:rsid w:val="00360377"/>
    <w:rsid w:val="00366548"/>
    <w:rsid w:val="0038005B"/>
    <w:rsid w:val="003809C7"/>
    <w:rsid w:val="003815EB"/>
    <w:rsid w:val="0038236C"/>
    <w:rsid w:val="00393DCD"/>
    <w:rsid w:val="00395B40"/>
    <w:rsid w:val="003A2006"/>
    <w:rsid w:val="003A6568"/>
    <w:rsid w:val="003B4FD1"/>
    <w:rsid w:val="003B6263"/>
    <w:rsid w:val="003C29E6"/>
    <w:rsid w:val="003C64A7"/>
    <w:rsid w:val="003D1128"/>
    <w:rsid w:val="003D1671"/>
    <w:rsid w:val="003D3D47"/>
    <w:rsid w:val="003D3FDA"/>
    <w:rsid w:val="003D6D00"/>
    <w:rsid w:val="003E166F"/>
    <w:rsid w:val="003F307E"/>
    <w:rsid w:val="004001E5"/>
    <w:rsid w:val="0041313C"/>
    <w:rsid w:val="00420822"/>
    <w:rsid w:val="00420C74"/>
    <w:rsid w:val="00441526"/>
    <w:rsid w:val="00444CC9"/>
    <w:rsid w:val="004465AA"/>
    <w:rsid w:val="00446A5E"/>
    <w:rsid w:val="0045458F"/>
    <w:rsid w:val="0045501C"/>
    <w:rsid w:val="004579BE"/>
    <w:rsid w:val="004633B4"/>
    <w:rsid w:val="00495CED"/>
    <w:rsid w:val="004A29EE"/>
    <w:rsid w:val="004A2F96"/>
    <w:rsid w:val="004A4BDF"/>
    <w:rsid w:val="004B3553"/>
    <w:rsid w:val="004B3F4B"/>
    <w:rsid w:val="004C23A3"/>
    <w:rsid w:val="004E10B2"/>
    <w:rsid w:val="004E177F"/>
    <w:rsid w:val="004E1FCA"/>
    <w:rsid w:val="004E47D6"/>
    <w:rsid w:val="004F477A"/>
    <w:rsid w:val="004F6984"/>
    <w:rsid w:val="00503189"/>
    <w:rsid w:val="00504750"/>
    <w:rsid w:val="00516BD1"/>
    <w:rsid w:val="005206E9"/>
    <w:rsid w:val="0052356A"/>
    <w:rsid w:val="00526D01"/>
    <w:rsid w:val="00530E8C"/>
    <w:rsid w:val="00535D34"/>
    <w:rsid w:val="00545933"/>
    <w:rsid w:val="00552105"/>
    <w:rsid w:val="005562F2"/>
    <w:rsid w:val="00557544"/>
    <w:rsid w:val="00565BBB"/>
    <w:rsid w:val="00573DF4"/>
    <w:rsid w:val="005811B6"/>
    <w:rsid w:val="00585F3C"/>
    <w:rsid w:val="00586CA0"/>
    <w:rsid w:val="00587875"/>
    <w:rsid w:val="005A63EB"/>
    <w:rsid w:val="005B0876"/>
    <w:rsid w:val="005C33B6"/>
    <w:rsid w:val="005D3044"/>
    <w:rsid w:val="005D6202"/>
    <w:rsid w:val="005D6E98"/>
    <w:rsid w:val="005F1E18"/>
    <w:rsid w:val="00607E2B"/>
    <w:rsid w:val="006139D6"/>
    <w:rsid w:val="00616D1B"/>
    <w:rsid w:val="00623CE1"/>
    <w:rsid w:val="00627880"/>
    <w:rsid w:val="0063062B"/>
    <w:rsid w:val="00634A82"/>
    <w:rsid w:val="00637351"/>
    <w:rsid w:val="00646166"/>
    <w:rsid w:val="00654896"/>
    <w:rsid w:val="006621F0"/>
    <w:rsid w:val="006647BA"/>
    <w:rsid w:val="00667229"/>
    <w:rsid w:val="00682BE5"/>
    <w:rsid w:val="00683846"/>
    <w:rsid w:val="00690FED"/>
    <w:rsid w:val="006939A5"/>
    <w:rsid w:val="006B4FD5"/>
    <w:rsid w:val="006D5223"/>
    <w:rsid w:val="006D5970"/>
    <w:rsid w:val="006E12FC"/>
    <w:rsid w:val="006F0F24"/>
    <w:rsid w:val="006F2B2E"/>
    <w:rsid w:val="006F6A5C"/>
    <w:rsid w:val="006F744E"/>
    <w:rsid w:val="00703F6F"/>
    <w:rsid w:val="00704F20"/>
    <w:rsid w:val="007052B3"/>
    <w:rsid w:val="00705962"/>
    <w:rsid w:val="00707C21"/>
    <w:rsid w:val="00712451"/>
    <w:rsid w:val="00717DE9"/>
    <w:rsid w:val="0072518B"/>
    <w:rsid w:val="00731041"/>
    <w:rsid w:val="007329E4"/>
    <w:rsid w:val="00732F08"/>
    <w:rsid w:val="007342F0"/>
    <w:rsid w:val="0074190C"/>
    <w:rsid w:val="0075493D"/>
    <w:rsid w:val="00762576"/>
    <w:rsid w:val="007673CA"/>
    <w:rsid w:val="007736E1"/>
    <w:rsid w:val="00774A23"/>
    <w:rsid w:val="00791060"/>
    <w:rsid w:val="007926EA"/>
    <w:rsid w:val="007B5626"/>
    <w:rsid w:val="007B6124"/>
    <w:rsid w:val="007C4135"/>
    <w:rsid w:val="007C5E45"/>
    <w:rsid w:val="007D3C53"/>
    <w:rsid w:val="007E3A0F"/>
    <w:rsid w:val="007F2628"/>
    <w:rsid w:val="007F2A92"/>
    <w:rsid w:val="007F2FBA"/>
    <w:rsid w:val="007F32F9"/>
    <w:rsid w:val="007F5E7A"/>
    <w:rsid w:val="00800C3A"/>
    <w:rsid w:val="0080570B"/>
    <w:rsid w:val="008148E1"/>
    <w:rsid w:val="008319BF"/>
    <w:rsid w:val="008349B0"/>
    <w:rsid w:val="008415F0"/>
    <w:rsid w:val="008433C2"/>
    <w:rsid w:val="00844457"/>
    <w:rsid w:val="008454C8"/>
    <w:rsid w:val="0084697E"/>
    <w:rsid w:val="00851D78"/>
    <w:rsid w:val="008A016F"/>
    <w:rsid w:val="008A1A0D"/>
    <w:rsid w:val="008A72E1"/>
    <w:rsid w:val="008A76ED"/>
    <w:rsid w:val="008B3C72"/>
    <w:rsid w:val="008B7F07"/>
    <w:rsid w:val="008C5FED"/>
    <w:rsid w:val="008D0E09"/>
    <w:rsid w:val="008F617E"/>
    <w:rsid w:val="00903007"/>
    <w:rsid w:val="00923816"/>
    <w:rsid w:val="0092727B"/>
    <w:rsid w:val="0093074B"/>
    <w:rsid w:val="00930E64"/>
    <w:rsid w:val="00943CF9"/>
    <w:rsid w:val="00944FDB"/>
    <w:rsid w:val="009465A6"/>
    <w:rsid w:val="00953846"/>
    <w:rsid w:val="00954658"/>
    <w:rsid w:val="00956F8C"/>
    <w:rsid w:val="00961D57"/>
    <w:rsid w:val="00976716"/>
    <w:rsid w:val="0097693B"/>
    <w:rsid w:val="00986020"/>
    <w:rsid w:val="00993355"/>
    <w:rsid w:val="009963F7"/>
    <w:rsid w:val="009A11CB"/>
    <w:rsid w:val="009A4A6D"/>
    <w:rsid w:val="009B44DD"/>
    <w:rsid w:val="009B6BD5"/>
    <w:rsid w:val="009B7E42"/>
    <w:rsid w:val="009C7235"/>
    <w:rsid w:val="009D46CE"/>
    <w:rsid w:val="009D4ADA"/>
    <w:rsid w:val="009E13DD"/>
    <w:rsid w:val="009F547A"/>
    <w:rsid w:val="00A03D78"/>
    <w:rsid w:val="00A0503B"/>
    <w:rsid w:val="00A059CD"/>
    <w:rsid w:val="00A106EE"/>
    <w:rsid w:val="00A13265"/>
    <w:rsid w:val="00A14900"/>
    <w:rsid w:val="00A2159F"/>
    <w:rsid w:val="00A324FF"/>
    <w:rsid w:val="00A3524C"/>
    <w:rsid w:val="00A46572"/>
    <w:rsid w:val="00A529BC"/>
    <w:rsid w:val="00A5346C"/>
    <w:rsid w:val="00A53F51"/>
    <w:rsid w:val="00A562F0"/>
    <w:rsid w:val="00A564FB"/>
    <w:rsid w:val="00A614C1"/>
    <w:rsid w:val="00A61EA6"/>
    <w:rsid w:val="00A657BF"/>
    <w:rsid w:val="00A71136"/>
    <w:rsid w:val="00A77E9D"/>
    <w:rsid w:val="00A92578"/>
    <w:rsid w:val="00AA474C"/>
    <w:rsid w:val="00AB67B5"/>
    <w:rsid w:val="00AC34C3"/>
    <w:rsid w:val="00AC35EF"/>
    <w:rsid w:val="00AC4D5B"/>
    <w:rsid w:val="00AD1DDB"/>
    <w:rsid w:val="00AD2697"/>
    <w:rsid w:val="00AD7E5F"/>
    <w:rsid w:val="00AE3066"/>
    <w:rsid w:val="00AF020A"/>
    <w:rsid w:val="00AF68E4"/>
    <w:rsid w:val="00B00A87"/>
    <w:rsid w:val="00B01AA1"/>
    <w:rsid w:val="00B023E0"/>
    <w:rsid w:val="00B06025"/>
    <w:rsid w:val="00B30C81"/>
    <w:rsid w:val="00B30DA1"/>
    <w:rsid w:val="00B4793B"/>
    <w:rsid w:val="00B56099"/>
    <w:rsid w:val="00B57D77"/>
    <w:rsid w:val="00B64A60"/>
    <w:rsid w:val="00B661AC"/>
    <w:rsid w:val="00B8468D"/>
    <w:rsid w:val="00B937D7"/>
    <w:rsid w:val="00B96B54"/>
    <w:rsid w:val="00B96B67"/>
    <w:rsid w:val="00BB0EA4"/>
    <w:rsid w:val="00BB6A89"/>
    <w:rsid w:val="00BC57EF"/>
    <w:rsid w:val="00BC69DB"/>
    <w:rsid w:val="00BE6B6B"/>
    <w:rsid w:val="00BF25F9"/>
    <w:rsid w:val="00C00B04"/>
    <w:rsid w:val="00C13FD5"/>
    <w:rsid w:val="00C15633"/>
    <w:rsid w:val="00C15799"/>
    <w:rsid w:val="00C32E84"/>
    <w:rsid w:val="00C35415"/>
    <w:rsid w:val="00C357AD"/>
    <w:rsid w:val="00C516C7"/>
    <w:rsid w:val="00C51C5F"/>
    <w:rsid w:val="00C554CC"/>
    <w:rsid w:val="00C6069C"/>
    <w:rsid w:val="00C70477"/>
    <w:rsid w:val="00C74745"/>
    <w:rsid w:val="00C85119"/>
    <w:rsid w:val="00C95572"/>
    <w:rsid w:val="00C95C48"/>
    <w:rsid w:val="00CA25F5"/>
    <w:rsid w:val="00CA41E7"/>
    <w:rsid w:val="00CD170C"/>
    <w:rsid w:val="00CD256B"/>
    <w:rsid w:val="00CD320B"/>
    <w:rsid w:val="00CD3F37"/>
    <w:rsid w:val="00CD5431"/>
    <w:rsid w:val="00CE4B93"/>
    <w:rsid w:val="00CF2491"/>
    <w:rsid w:val="00CF3963"/>
    <w:rsid w:val="00D00828"/>
    <w:rsid w:val="00D1252E"/>
    <w:rsid w:val="00D13D9D"/>
    <w:rsid w:val="00D14AFE"/>
    <w:rsid w:val="00D416A3"/>
    <w:rsid w:val="00D459A2"/>
    <w:rsid w:val="00D45C09"/>
    <w:rsid w:val="00D530FF"/>
    <w:rsid w:val="00D53688"/>
    <w:rsid w:val="00D5407A"/>
    <w:rsid w:val="00D57772"/>
    <w:rsid w:val="00D72AE3"/>
    <w:rsid w:val="00D731CA"/>
    <w:rsid w:val="00D75A4D"/>
    <w:rsid w:val="00D80DB5"/>
    <w:rsid w:val="00D8478B"/>
    <w:rsid w:val="00D86151"/>
    <w:rsid w:val="00D9172D"/>
    <w:rsid w:val="00D97E84"/>
    <w:rsid w:val="00DA5641"/>
    <w:rsid w:val="00DA7595"/>
    <w:rsid w:val="00DB0A68"/>
    <w:rsid w:val="00DC43A3"/>
    <w:rsid w:val="00DC4CF3"/>
    <w:rsid w:val="00DC5C01"/>
    <w:rsid w:val="00DD7C09"/>
    <w:rsid w:val="00DF0EB4"/>
    <w:rsid w:val="00DF111E"/>
    <w:rsid w:val="00E0124F"/>
    <w:rsid w:val="00E04352"/>
    <w:rsid w:val="00E126F1"/>
    <w:rsid w:val="00E22B4F"/>
    <w:rsid w:val="00E27C63"/>
    <w:rsid w:val="00E5762A"/>
    <w:rsid w:val="00E66781"/>
    <w:rsid w:val="00E674D3"/>
    <w:rsid w:val="00E70FD0"/>
    <w:rsid w:val="00E72B2C"/>
    <w:rsid w:val="00E7309D"/>
    <w:rsid w:val="00E734D2"/>
    <w:rsid w:val="00E77C4B"/>
    <w:rsid w:val="00E9301F"/>
    <w:rsid w:val="00E945DA"/>
    <w:rsid w:val="00E9690A"/>
    <w:rsid w:val="00E97DC7"/>
    <w:rsid w:val="00EE5249"/>
    <w:rsid w:val="00F000EF"/>
    <w:rsid w:val="00F2504E"/>
    <w:rsid w:val="00F2585B"/>
    <w:rsid w:val="00F4053F"/>
    <w:rsid w:val="00F516E7"/>
    <w:rsid w:val="00F57BF7"/>
    <w:rsid w:val="00F6263E"/>
    <w:rsid w:val="00F627C2"/>
    <w:rsid w:val="00F736FD"/>
    <w:rsid w:val="00F84067"/>
    <w:rsid w:val="00FA065E"/>
    <w:rsid w:val="00FA50B4"/>
    <w:rsid w:val="00FB6E83"/>
    <w:rsid w:val="00FC156A"/>
    <w:rsid w:val="00FD623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uiPriority w:val="39"/>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8B7F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uiPriority w:val="39"/>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8B7F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586797">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F5D2C-FDC2-45A0-A1B4-AF0F9D7D4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2466</Words>
  <Characters>14061</Characters>
  <Application>Microsoft Office Word</Application>
  <DocSecurity>0</DocSecurity>
  <Lines>117</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16495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Tommy Chee</cp:lastModifiedBy>
  <cp:revision>4</cp:revision>
  <cp:lastPrinted>2015-02-02T07:28:00Z</cp:lastPrinted>
  <dcterms:created xsi:type="dcterms:W3CDTF">2019-08-08T10:29:00Z</dcterms:created>
  <dcterms:modified xsi:type="dcterms:W3CDTF">2019-08-08T10:48:00Z</dcterms:modified>
</cp:coreProperties>
</file>