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C516C7" w:rsidRPr="00891D0B" w:rsidTr="0021451D">
        <w:trPr>
          <w:cantSplit/>
          <w:trHeight w:val="288"/>
        </w:trPr>
        <w:tc>
          <w:tcPr>
            <w:tcW w:w="1399" w:type="dxa"/>
            <w:vMerge w:val="restart"/>
          </w:tcPr>
          <w:p w:rsidR="00C516C7" w:rsidRPr="00891D0B" w:rsidRDefault="00C516C7" w:rsidP="0021451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BAB8B34" wp14:editId="2F084719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C516C7" w:rsidRPr="00E86131" w:rsidRDefault="00C516C7" w:rsidP="0021451D">
            <w:r w:rsidRPr="00E86131">
              <w:t>ASIA-PACIFIC TELECOMMUNITY</w:t>
            </w:r>
          </w:p>
        </w:tc>
        <w:tc>
          <w:tcPr>
            <w:tcW w:w="2160" w:type="dxa"/>
          </w:tcPr>
          <w:p w:rsidR="00C516C7" w:rsidRPr="00723BE9" w:rsidRDefault="00C516C7" w:rsidP="0021451D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C516C7" w:rsidRPr="00C15799" w:rsidTr="0021451D">
        <w:trPr>
          <w:cantSplit/>
          <w:trHeight w:val="504"/>
        </w:trPr>
        <w:tc>
          <w:tcPr>
            <w:tcW w:w="1399" w:type="dxa"/>
            <w:vMerge/>
          </w:tcPr>
          <w:p w:rsidR="00C516C7" w:rsidRPr="00891D0B" w:rsidRDefault="00C516C7" w:rsidP="0021451D"/>
        </w:tc>
        <w:tc>
          <w:tcPr>
            <w:tcW w:w="5760" w:type="dxa"/>
          </w:tcPr>
          <w:p w:rsidR="00C516C7" w:rsidRDefault="00C516C7" w:rsidP="0021451D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The 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th Meeting of the APT Conference Preparatory</w:t>
            </w:r>
          </w:p>
          <w:p w:rsidR="00C516C7" w:rsidRPr="00891D0B" w:rsidRDefault="00C516C7" w:rsidP="00CD256B">
            <w:pPr>
              <w:spacing w:line="0" w:lineRule="atLeast"/>
            </w:pPr>
            <w:r>
              <w:rPr>
                <w:b/>
              </w:rPr>
              <w:t>Group for WRC-19 (APG19-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:rsidR="00C516C7" w:rsidRDefault="00C516C7" w:rsidP="0021451D">
            <w:pPr>
              <w:rPr>
                <w:b/>
                <w:bCs/>
                <w:lang w:val="fr-FR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G19-</w:t>
            </w:r>
            <w:r w:rsidR="00CD256B">
              <w:rPr>
                <w:b/>
                <w:bCs/>
                <w:lang w:val="fr-FR"/>
              </w:rPr>
              <w:t>5</w:t>
            </w:r>
            <w:r>
              <w:rPr>
                <w:b/>
                <w:bCs/>
                <w:lang w:val="fr-FR"/>
              </w:rPr>
              <w:t>/</w:t>
            </w:r>
            <w:r w:rsidR="000C302F">
              <w:rPr>
                <w:b/>
                <w:bCs/>
                <w:lang w:val="fr-FR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556A46">
              <w:rPr>
                <w:b/>
                <w:bCs/>
                <w:lang w:val="fr-FR"/>
              </w:rPr>
              <w:t>37</w:t>
            </w:r>
          </w:p>
          <w:p w:rsidR="00C516C7" w:rsidRDefault="00C516C7" w:rsidP="0021451D">
            <w:pPr>
              <w:spacing w:line="0" w:lineRule="atLeast"/>
              <w:rPr>
                <w:b/>
              </w:rPr>
            </w:pPr>
          </w:p>
        </w:tc>
      </w:tr>
      <w:tr w:rsidR="00C516C7" w:rsidRPr="00891D0B" w:rsidTr="0021451D">
        <w:trPr>
          <w:cantSplit/>
          <w:trHeight w:val="288"/>
        </w:trPr>
        <w:tc>
          <w:tcPr>
            <w:tcW w:w="1399" w:type="dxa"/>
            <w:vMerge/>
          </w:tcPr>
          <w:p w:rsidR="00C516C7" w:rsidRPr="007E1FDD" w:rsidRDefault="00C516C7" w:rsidP="0021451D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:rsidR="00C516C7" w:rsidRPr="00712451" w:rsidRDefault="00CD256B" w:rsidP="00CD256B">
            <w:pPr>
              <w:rPr>
                <w:b/>
              </w:rPr>
            </w:pPr>
            <w:r>
              <w:t>31</w:t>
            </w:r>
            <w:r w:rsidR="00C516C7">
              <w:t xml:space="preserve"> </w:t>
            </w:r>
            <w:r>
              <w:t xml:space="preserve">July </w:t>
            </w:r>
            <w:r w:rsidR="00C516C7">
              <w:t xml:space="preserve">– </w:t>
            </w:r>
            <w:r>
              <w:t>6</w:t>
            </w:r>
            <w:r w:rsidR="00C516C7">
              <w:t xml:space="preserve"> </w:t>
            </w:r>
            <w:r>
              <w:t>August</w:t>
            </w:r>
            <w:r w:rsidR="00C516C7">
              <w:t xml:space="preserve"> 2019</w:t>
            </w:r>
            <w:r w:rsidR="00C516C7" w:rsidRPr="00891D0B">
              <w:t xml:space="preserve">, </w:t>
            </w:r>
            <w:r>
              <w:t>Tokyo</w:t>
            </w:r>
            <w:r w:rsidR="00C516C7">
              <w:t xml:space="preserve">, </w:t>
            </w:r>
            <w:r>
              <w:t>J</w:t>
            </w:r>
            <w:r w:rsidR="00C516C7">
              <w:t>a</w:t>
            </w:r>
            <w:r>
              <w:t>pan</w:t>
            </w:r>
          </w:p>
        </w:tc>
        <w:tc>
          <w:tcPr>
            <w:tcW w:w="2160" w:type="dxa"/>
            <w:vAlign w:val="bottom"/>
          </w:tcPr>
          <w:p w:rsidR="00C516C7" w:rsidRDefault="000C302F" w:rsidP="000C302F">
            <w:r>
              <w:rPr>
                <w:bCs/>
              </w:rPr>
              <w:t>5</w:t>
            </w:r>
            <w:r w:rsidR="00C516C7" w:rsidRPr="007E1FDD">
              <w:rPr>
                <w:bCs/>
              </w:rPr>
              <w:t xml:space="preserve"> </w:t>
            </w:r>
            <w:r w:rsidR="00C95572">
              <w:rPr>
                <w:bCs/>
              </w:rPr>
              <w:t>August</w:t>
            </w:r>
            <w:r w:rsidR="00C516C7">
              <w:rPr>
                <w:bCs/>
              </w:rPr>
              <w:t xml:space="preserve"> </w:t>
            </w:r>
            <w:r w:rsidR="00C516C7" w:rsidRPr="007E1FDD">
              <w:rPr>
                <w:bCs/>
              </w:rPr>
              <w:t>201</w:t>
            </w:r>
            <w:r w:rsidR="00C516C7">
              <w:rPr>
                <w:bCs/>
              </w:rPr>
              <w:t>9</w:t>
            </w:r>
          </w:p>
        </w:tc>
      </w:tr>
    </w:tbl>
    <w:p w:rsidR="00311E8A" w:rsidRDefault="00311E8A" w:rsidP="0072518B">
      <w:pPr>
        <w:jc w:val="center"/>
        <w:rPr>
          <w:lang w:val="en-NZ"/>
        </w:rPr>
      </w:pPr>
    </w:p>
    <w:p w:rsidR="00D356F5" w:rsidRDefault="00D356F5" w:rsidP="00B64A60">
      <w:pPr>
        <w:jc w:val="center"/>
        <w:rPr>
          <w:lang w:val="en-NZ" w:eastAsia="ko-KR"/>
        </w:rPr>
      </w:pPr>
      <w:bookmarkStart w:id="0" w:name="_Hlk15580220"/>
    </w:p>
    <w:bookmarkEnd w:id="0"/>
    <w:p w:rsidR="00B64A60" w:rsidRPr="002A0111" w:rsidRDefault="00556A46" w:rsidP="00B64A60">
      <w:pPr>
        <w:jc w:val="center"/>
        <w:rPr>
          <w:lang w:val="en-NZ" w:eastAsia="ko-KR"/>
        </w:rPr>
      </w:pPr>
      <w:r>
        <w:rPr>
          <w:lang w:val="en-NZ" w:eastAsia="ko-KR"/>
        </w:rPr>
        <w:t>Working Party 2</w:t>
      </w:r>
    </w:p>
    <w:p w:rsidR="00B64A60" w:rsidRPr="002A0111" w:rsidRDefault="00B64A60" w:rsidP="00B64A60">
      <w:pPr>
        <w:jc w:val="center"/>
        <w:rPr>
          <w:bCs/>
          <w:caps/>
          <w:lang w:val="en-NZ"/>
        </w:rPr>
      </w:pPr>
    </w:p>
    <w:p w:rsidR="009465A6" w:rsidRDefault="009465A6" w:rsidP="00B64A60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 xml:space="preserve">APT VIEW AND </w:t>
      </w:r>
      <w:r w:rsidR="005811B6">
        <w:rPr>
          <w:b/>
          <w:bCs/>
          <w:caps/>
          <w:lang w:val="en-NZ"/>
        </w:rPr>
        <w:t>PRELIMINARY APT COMMON PROPOSAL</w:t>
      </w:r>
      <w:r w:rsidR="00C516C7">
        <w:rPr>
          <w:b/>
          <w:bCs/>
          <w:caps/>
          <w:lang w:val="en-NZ"/>
        </w:rPr>
        <w:t xml:space="preserve"> </w:t>
      </w:r>
    </w:p>
    <w:p w:rsidR="00B64A60" w:rsidRPr="00441526" w:rsidRDefault="00B64A60" w:rsidP="00B64A60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 xml:space="preserve">on WRC-19 agenda item </w:t>
      </w:r>
      <w:r w:rsidR="00FE1B96">
        <w:rPr>
          <w:b/>
          <w:bCs/>
          <w:caps/>
          <w:lang w:val="en-NZ"/>
        </w:rPr>
        <w:t>9.1</w:t>
      </w:r>
      <w:r w:rsidR="00D356F5">
        <w:rPr>
          <w:b/>
          <w:bCs/>
          <w:caps/>
          <w:lang w:val="en-NZ"/>
        </w:rPr>
        <w:t xml:space="preserve"> (</w:t>
      </w:r>
      <w:r w:rsidR="00FE1B96">
        <w:rPr>
          <w:b/>
          <w:bCs/>
          <w:caps/>
          <w:lang w:val="en-NZ"/>
        </w:rPr>
        <w:t>issue 9.1.5</w:t>
      </w:r>
      <w:r w:rsidR="00D356F5">
        <w:rPr>
          <w:b/>
          <w:bCs/>
          <w:caps/>
          <w:lang w:val="en-NZ"/>
        </w:rPr>
        <w:t>)</w:t>
      </w:r>
    </w:p>
    <w:p w:rsidR="00B64A60" w:rsidRPr="00441526" w:rsidRDefault="00B64A60" w:rsidP="00264566">
      <w:pPr>
        <w:spacing w:after="120"/>
        <w:rPr>
          <w:lang w:val="en-NZ"/>
        </w:rPr>
      </w:pPr>
    </w:p>
    <w:p w:rsidR="00FE1B96" w:rsidRDefault="00FE1B96" w:rsidP="000E4A4C">
      <w:pPr>
        <w:spacing w:after="120"/>
        <w:jc w:val="both"/>
        <w:rPr>
          <w:lang w:val="en-NZ"/>
        </w:rPr>
      </w:pPr>
      <w:r>
        <w:rPr>
          <w:b/>
          <w:lang w:val="en-NZ"/>
        </w:rPr>
        <w:t xml:space="preserve">Agenda Item 9.1, Issue 9.1.5: </w:t>
      </w:r>
    </w:p>
    <w:p w:rsidR="00FE1B96" w:rsidRDefault="00FE1B96" w:rsidP="000E4A4C">
      <w:pPr>
        <w:spacing w:after="120"/>
        <w:jc w:val="both"/>
        <w:rPr>
          <w:i/>
          <w:lang w:val="en-NZ"/>
        </w:rPr>
      </w:pPr>
      <w:r>
        <w:rPr>
          <w:i/>
          <w:lang w:val="en-AU"/>
        </w:rPr>
        <w:t xml:space="preserve">Resolution </w:t>
      </w:r>
      <w:r>
        <w:rPr>
          <w:b/>
          <w:iCs/>
          <w:lang w:eastAsia="ko-KR"/>
        </w:rPr>
        <w:t>764 (WRC- 15)</w:t>
      </w:r>
      <w:r>
        <w:rPr>
          <w:i/>
          <w:lang w:eastAsia="ko-KR"/>
        </w:rPr>
        <w:t xml:space="preserve"> - </w:t>
      </w:r>
      <w:r>
        <w:rPr>
          <w:rFonts w:eastAsia="SimSun"/>
          <w:bCs/>
          <w:i/>
          <w:iCs/>
          <w:lang w:eastAsia="zh-CN"/>
        </w:rPr>
        <w:t>Consideration of the technical and regulatory impacts of referencing Recommendations ITU-R M.1638-1 and ITU-R M.1849-1 in Nos. 5.447F and 5.450A of the Radio Regulations.</w:t>
      </w:r>
    </w:p>
    <w:p w:rsidR="002A0111" w:rsidRPr="00FE1B96" w:rsidRDefault="002A0111" w:rsidP="002A0111">
      <w:pPr>
        <w:jc w:val="both"/>
        <w:rPr>
          <w:lang w:val="en-NZ"/>
        </w:rPr>
      </w:pPr>
    </w:p>
    <w:p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:rsidR="00FE1B96" w:rsidRDefault="00FE1B96" w:rsidP="00FE1B96">
      <w:pPr>
        <w:spacing w:after="120"/>
        <w:jc w:val="both"/>
        <w:rPr>
          <w:lang w:eastAsia="ko-KR"/>
        </w:rPr>
      </w:pPr>
      <w:r>
        <w:t xml:space="preserve">Resolution </w:t>
      </w:r>
      <w:r>
        <w:rPr>
          <w:b/>
          <w:lang w:eastAsia="ko-KR"/>
        </w:rPr>
        <w:t>764</w:t>
      </w:r>
      <w:r>
        <w:rPr>
          <w:b/>
          <w:bCs/>
        </w:rPr>
        <w:t xml:space="preserve"> (WRC</w:t>
      </w:r>
      <w:r>
        <w:rPr>
          <w:b/>
          <w:bCs/>
        </w:rPr>
        <w:noBreakHyphen/>
        <w:t>15)</w:t>
      </w:r>
      <w:r>
        <w:t xml:space="preserve"> </w:t>
      </w:r>
      <w:r>
        <w:rPr>
          <w:lang w:eastAsia="ko-KR"/>
        </w:rPr>
        <w:t>resolves to invite ITU-R:</w:t>
      </w:r>
    </w:p>
    <w:p w:rsidR="00FE1B96" w:rsidRDefault="00FE1B96" w:rsidP="00FE1B96">
      <w:pPr>
        <w:spacing w:after="120"/>
        <w:ind w:firstLine="720"/>
        <w:jc w:val="both"/>
        <w:rPr>
          <w:rFonts w:eastAsiaTheme="minorEastAsia"/>
          <w:lang w:eastAsia="ko-KR"/>
        </w:rPr>
      </w:pPr>
      <w:r>
        <w:rPr>
          <w:rFonts w:eastAsia="Calibri"/>
        </w:rPr>
        <w:t>1</w:t>
      </w:r>
      <w:r>
        <w:rPr>
          <w:rFonts w:eastAsia="Calibri"/>
        </w:rPr>
        <w:tab/>
        <w:t xml:space="preserve">to investigate the technical and regulatory impacts on the services referred to in Nos. </w:t>
      </w:r>
      <w:r>
        <w:rPr>
          <w:rFonts w:eastAsia="Calibri"/>
          <w:b/>
        </w:rPr>
        <w:t>5.447F</w:t>
      </w:r>
      <w:r>
        <w:rPr>
          <w:rFonts w:eastAsia="Calibri"/>
        </w:rPr>
        <w:t xml:space="preserve"> and </w:t>
      </w:r>
      <w:r>
        <w:rPr>
          <w:rFonts w:eastAsia="Calibri"/>
          <w:b/>
        </w:rPr>
        <w:t>5.450A</w:t>
      </w:r>
      <w:r>
        <w:rPr>
          <w:rFonts w:eastAsia="Calibri"/>
        </w:rPr>
        <w:t xml:space="preserve"> that would result from referencing Recommendation ITU R M.1638</w:t>
      </w:r>
      <w:r>
        <w:rPr>
          <w:rFonts w:eastAsiaTheme="minorEastAsia"/>
          <w:lang w:eastAsia="ko-KR"/>
        </w:rPr>
        <w:t>-</w:t>
      </w:r>
      <w:r>
        <w:rPr>
          <w:rFonts w:eastAsia="Calibri"/>
        </w:rPr>
        <w:t>1 in place of Recommendation ITU R M.1638</w:t>
      </w:r>
      <w:r>
        <w:rPr>
          <w:rFonts w:eastAsiaTheme="minorEastAsia"/>
          <w:lang w:eastAsia="ko-KR"/>
        </w:rPr>
        <w:t>-</w:t>
      </w:r>
      <w:r>
        <w:rPr>
          <w:rFonts w:eastAsia="Calibri"/>
        </w:rPr>
        <w:t>0 in those footnotes, while ensuring that no undue constraints are imposed on the services referenced in these footnotes;</w:t>
      </w:r>
    </w:p>
    <w:p w:rsidR="00FE1B96" w:rsidRDefault="00FE1B96" w:rsidP="00FE1B96">
      <w:pPr>
        <w:spacing w:after="120"/>
        <w:ind w:firstLine="720"/>
        <w:jc w:val="both"/>
        <w:rPr>
          <w:rFonts w:asciiTheme="minorEastAsia" w:eastAsiaTheme="minorEastAsia" w:hAnsiTheme="minorEastAsia"/>
          <w:lang w:eastAsia="zh-CN"/>
        </w:rPr>
      </w:pPr>
      <w:r>
        <w:rPr>
          <w:rFonts w:eastAsia="Calibri"/>
        </w:rPr>
        <w:t>2</w:t>
      </w:r>
      <w:r>
        <w:rPr>
          <w:rFonts w:eastAsia="Calibri"/>
        </w:rPr>
        <w:tab/>
        <w:t xml:space="preserve">to investigate the technical and regulatory impacts on the services referred to in Nos </w:t>
      </w:r>
      <w:r>
        <w:rPr>
          <w:rFonts w:eastAsia="Calibri"/>
          <w:b/>
        </w:rPr>
        <w:t>5.447F</w:t>
      </w:r>
      <w:r>
        <w:rPr>
          <w:rFonts w:eastAsia="Calibri"/>
        </w:rPr>
        <w:t xml:space="preserve"> and </w:t>
      </w:r>
      <w:r>
        <w:rPr>
          <w:rFonts w:eastAsia="Calibri"/>
          <w:b/>
        </w:rPr>
        <w:t>5.450A</w:t>
      </w:r>
      <w:r>
        <w:rPr>
          <w:rFonts w:eastAsia="Calibri"/>
        </w:rPr>
        <w:t xml:space="preserve"> that would result from adding a new reference to Recommendation ITU R M.1849</w:t>
      </w:r>
      <w:r>
        <w:rPr>
          <w:rFonts w:eastAsiaTheme="minorEastAsia"/>
          <w:lang w:eastAsia="ko-KR"/>
        </w:rPr>
        <w:t>-</w:t>
      </w:r>
      <w:r>
        <w:rPr>
          <w:rFonts w:eastAsia="Calibri"/>
        </w:rPr>
        <w:t>1 to these footnotes, while ensuring that no undue constraints are imposed on the services referenced in these footnotes</w:t>
      </w:r>
      <w:r>
        <w:rPr>
          <w:rFonts w:asciiTheme="minorEastAsia" w:eastAsiaTheme="minorEastAsia" w:hAnsiTheme="minorEastAsia" w:hint="eastAsia"/>
          <w:lang w:eastAsia="zh-CN"/>
        </w:rPr>
        <w:t>.</w:t>
      </w:r>
    </w:p>
    <w:p w:rsidR="002F7494" w:rsidRPr="007A01EE" w:rsidRDefault="002F7494" w:rsidP="001A31BC">
      <w:pPr>
        <w:spacing w:after="120"/>
        <w:jc w:val="both"/>
        <w:rPr>
          <w:lang w:val="en-NZ"/>
        </w:rPr>
      </w:pPr>
      <w:r w:rsidRPr="007A01EE">
        <w:rPr>
          <w:lang w:val="en-NZ"/>
        </w:rPr>
        <w:t xml:space="preserve">The following approaches were suggested as regulatory examples </w:t>
      </w:r>
      <w:r>
        <w:rPr>
          <w:lang w:val="en-NZ"/>
        </w:rPr>
        <w:t xml:space="preserve">in the </w:t>
      </w:r>
      <w:r w:rsidRPr="00632348">
        <w:rPr>
          <w:lang w:val="en-NZ"/>
        </w:rPr>
        <w:t xml:space="preserve">CPM </w:t>
      </w:r>
      <w:r>
        <w:rPr>
          <w:lang w:val="en-NZ"/>
        </w:rPr>
        <w:t>Report</w:t>
      </w:r>
      <w:r w:rsidRPr="00A81904">
        <w:t xml:space="preserve"> </w:t>
      </w:r>
      <w:r>
        <w:t xml:space="preserve">for WRC-19 </w:t>
      </w:r>
      <w:r w:rsidR="000C302F">
        <w:t>a</w:t>
      </w:r>
      <w:r w:rsidRPr="00A81904">
        <w:rPr>
          <w:lang w:val="en-NZ"/>
        </w:rPr>
        <w:t xml:space="preserve">genda </w:t>
      </w:r>
      <w:r w:rsidR="000C302F">
        <w:rPr>
          <w:lang w:val="en-NZ"/>
        </w:rPr>
        <w:t>i</w:t>
      </w:r>
      <w:r w:rsidRPr="00A81904">
        <w:rPr>
          <w:lang w:val="en-NZ"/>
        </w:rPr>
        <w:t xml:space="preserve">tem 9.1, </w:t>
      </w:r>
      <w:r w:rsidR="000C302F">
        <w:rPr>
          <w:lang w:val="en-NZ"/>
        </w:rPr>
        <w:t>i</w:t>
      </w:r>
      <w:r w:rsidRPr="00A81904">
        <w:rPr>
          <w:lang w:val="en-NZ"/>
        </w:rPr>
        <w:t>ssue 9.1.</w:t>
      </w:r>
      <w:r>
        <w:rPr>
          <w:lang w:val="en-NZ"/>
        </w:rPr>
        <w:t>5,</w:t>
      </w:r>
      <w:r w:rsidRPr="00A81904">
        <w:rPr>
          <w:lang w:val="en-NZ"/>
        </w:rPr>
        <w:t xml:space="preserve"> </w:t>
      </w:r>
      <w:r>
        <w:rPr>
          <w:lang w:val="en-NZ"/>
        </w:rPr>
        <w:t xml:space="preserve">as </w:t>
      </w:r>
      <w:r w:rsidRPr="0034583E">
        <w:rPr>
          <w:lang w:val="en-NZ"/>
        </w:rPr>
        <w:t xml:space="preserve">long-term solution that would avoid reopening the issue of technical and regulatory impacts of referencing new versions of Recommendations ITU-R M.1638-1 and ITU-R M.1849-1 </w:t>
      </w:r>
      <w:r w:rsidRPr="007A01EE">
        <w:rPr>
          <w:lang w:val="en-NZ"/>
        </w:rPr>
        <w:t xml:space="preserve">in RR Nos. </w:t>
      </w:r>
      <w:r w:rsidRPr="007A01EE">
        <w:rPr>
          <w:b/>
          <w:lang w:val="en-NZ"/>
        </w:rPr>
        <w:t>5.447F</w:t>
      </w:r>
      <w:r w:rsidRPr="007A01EE">
        <w:rPr>
          <w:lang w:val="en-NZ"/>
        </w:rPr>
        <w:t xml:space="preserve"> and </w:t>
      </w:r>
      <w:r w:rsidRPr="007A01EE">
        <w:rPr>
          <w:b/>
          <w:lang w:val="en-NZ"/>
        </w:rPr>
        <w:t>5.450A</w:t>
      </w:r>
      <w:r w:rsidRPr="007A01EE">
        <w:rPr>
          <w:lang w:val="en-NZ"/>
        </w:rPr>
        <w:t xml:space="preserve">:  </w:t>
      </w:r>
    </w:p>
    <w:p w:rsidR="002F7494" w:rsidRPr="007A01EE" w:rsidRDefault="002F7494" w:rsidP="001A31BC">
      <w:pPr>
        <w:numPr>
          <w:ilvl w:val="0"/>
          <w:numId w:val="27"/>
        </w:numPr>
        <w:spacing w:after="120"/>
        <w:jc w:val="both"/>
        <w:rPr>
          <w:lang w:val="en-NZ"/>
        </w:rPr>
      </w:pPr>
      <w:r w:rsidRPr="007A01EE">
        <w:rPr>
          <w:lang w:val="en-NZ"/>
        </w:rPr>
        <w:t>Approach A</w:t>
      </w:r>
      <w:r>
        <w:rPr>
          <w:lang w:val="en-NZ"/>
        </w:rPr>
        <w:t xml:space="preserve">: </w:t>
      </w:r>
      <w:r w:rsidRPr="0034583E">
        <w:rPr>
          <w:lang w:val="en-NZ"/>
        </w:rPr>
        <w:t xml:space="preserve">To delete the second sentence of the footnotes RR Nos. </w:t>
      </w:r>
      <w:r w:rsidRPr="0034583E">
        <w:rPr>
          <w:b/>
          <w:lang w:val="en-NZ"/>
        </w:rPr>
        <w:t>5.447F</w:t>
      </w:r>
      <w:r w:rsidRPr="0034583E">
        <w:rPr>
          <w:lang w:val="en-NZ"/>
        </w:rPr>
        <w:t xml:space="preserve"> and </w:t>
      </w:r>
      <w:r w:rsidRPr="0034583E">
        <w:rPr>
          <w:b/>
          <w:lang w:val="en-NZ"/>
        </w:rPr>
        <w:t>5.450A</w:t>
      </w:r>
      <w:r w:rsidRPr="0034583E">
        <w:rPr>
          <w:lang w:val="en-NZ"/>
        </w:rPr>
        <w:t xml:space="preserve">, where the Recommendations are referenced, and introduce the sentence “Resolution </w:t>
      </w:r>
      <w:r w:rsidRPr="0034583E">
        <w:rPr>
          <w:b/>
          <w:lang w:val="en-NZ"/>
        </w:rPr>
        <w:t>229 (Rev.WRC-12)</w:t>
      </w:r>
      <w:r w:rsidRPr="0034583E">
        <w:rPr>
          <w:lang w:val="en-NZ"/>
        </w:rPr>
        <w:t xml:space="preserve"> applies”</w:t>
      </w:r>
      <w:r w:rsidRPr="007A01EE">
        <w:rPr>
          <w:lang w:val="en-NZ"/>
        </w:rPr>
        <w:t>;</w:t>
      </w:r>
    </w:p>
    <w:p w:rsidR="002F7494" w:rsidRPr="007A01EE" w:rsidRDefault="002F7494" w:rsidP="001A31BC">
      <w:pPr>
        <w:numPr>
          <w:ilvl w:val="0"/>
          <w:numId w:val="27"/>
        </w:numPr>
        <w:spacing w:after="120"/>
        <w:jc w:val="both"/>
        <w:rPr>
          <w:lang w:val="en-NZ"/>
        </w:rPr>
      </w:pPr>
      <w:r w:rsidRPr="007A01EE">
        <w:rPr>
          <w:lang w:val="en-NZ"/>
        </w:rPr>
        <w:t>Approach B</w:t>
      </w:r>
      <w:r>
        <w:rPr>
          <w:lang w:val="en-NZ"/>
        </w:rPr>
        <w:t>:</w:t>
      </w:r>
      <w:r w:rsidRPr="007A01EE">
        <w:rPr>
          <w:lang w:val="en-NZ"/>
        </w:rPr>
        <w:t xml:space="preserve"> </w:t>
      </w:r>
      <w:r w:rsidRPr="0034583E">
        <w:rPr>
          <w:lang w:val="en-NZ"/>
        </w:rPr>
        <w:t xml:space="preserve">To delete the references to the Recommendations in both footnotes RR Nos. </w:t>
      </w:r>
      <w:r w:rsidRPr="0034583E">
        <w:rPr>
          <w:b/>
          <w:lang w:val="en-NZ"/>
        </w:rPr>
        <w:t>5.447F</w:t>
      </w:r>
      <w:r w:rsidRPr="0034583E">
        <w:rPr>
          <w:lang w:val="en-NZ"/>
        </w:rPr>
        <w:t xml:space="preserve"> and </w:t>
      </w:r>
      <w:r w:rsidRPr="0034583E">
        <w:rPr>
          <w:b/>
          <w:lang w:val="en-NZ"/>
        </w:rPr>
        <w:t>5.450A</w:t>
      </w:r>
      <w:r>
        <w:rPr>
          <w:lang w:val="en-NZ"/>
        </w:rPr>
        <w:t xml:space="preserve">, </w:t>
      </w:r>
      <w:r w:rsidRPr="0034583E">
        <w:rPr>
          <w:lang w:val="en-NZ"/>
        </w:rPr>
        <w:t xml:space="preserve">and refer to footnote RR </w:t>
      </w:r>
      <w:r w:rsidRPr="0034583E">
        <w:rPr>
          <w:b/>
          <w:lang w:val="en-NZ"/>
        </w:rPr>
        <w:t>No. 5.446A</w:t>
      </w:r>
      <w:r w:rsidRPr="0034583E">
        <w:rPr>
          <w:lang w:val="en-NZ"/>
        </w:rPr>
        <w:t xml:space="preserve"> instead</w:t>
      </w:r>
      <w:r>
        <w:rPr>
          <w:lang w:val="en-NZ"/>
        </w:rPr>
        <w:t>.</w:t>
      </w:r>
    </w:p>
    <w:p w:rsidR="00FE1B96" w:rsidRDefault="00FE1B96" w:rsidP="00FE1B96">
      <w:pPr>
        <w:snapToGrid w:val="0"/>
        <w:spacing w:beforeLines="50" w:before="120" w:afterLines="50" w:after="12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Relevant ITU-R Reports/Recommendations and ongoing studies are as follows,</w:t>
      </w:r>
    </w:p>
    <w:p w:rsidR="00FE1B96" w:rsidRDefault="00FE1B96" w:rsidP="00FE1B96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lang w:val="en-GB"/>
        </w:rPr>
      </w:pPr>
      <w:r>
        <w:rPr>
          <w:lang w:val="en-GB"/>
        </w:rPr>
        <w:t xml:space="preserve">Recommendation ITU-R M.1638-0 - Characteristics of and protection criteria for sharing studies for radiolocation, aeronautical radionavigation and meteorological radars operating in the frequency bands between 5 250 </w:t>
      </w:r>
      <w:r w:rsidR="000C302F">
        <w:rPr>
          <w:lang w:val="en-GB"/>
        </w:rPr>
        <w:t xml:space="preserve">MHz </w:t>
      </w:r>
      <w:r>
        <w:rPr>
          <w:lang w:val="en-GB"/>
        </w:rPr>
        <w:t>and 5 850 MHz</w:t>
      </w:r>
    </w:p>
    <w:p w:rsidR="00FE1B96" w:rsidRDefault="00FE1B96" w:rsidP="00FE1B96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lang w:val="en-GB"/>
        </w:rPr>
      </w:pPr>
      <w:r>
        <w:rPr>
          <w:lang w:val="en-GB"/>
        </w:rPr>
        <w:t>Recommendation ITU-R M.1638-1 - Characteristics of and protection criteria for sharing studies for radiolocation (except ground based meteorological radars) and aeronautical radionavigation radars operating in the frequency bands between 5 250 and 5 850 MHz</w:t>
      </w:r>
    </w:p>
    <w:p w:rsidR="00FE1B96" w:rsidRDefault="00FE1B96" w:rsidP="00FE1B96">
      <w:pPr>
        <w:pStyle w:val="ListParagraph"/>
        <w:numPr>
          <w:ilvl w:val="0"/>
          <w:numId w:val="23"/>
        </w:numPr>
        <w:snapToGrid w:val="0"/>
        <w:spacing w:before="120" w:after="120"/>
        <w:jc w:val="both"/>
        <w:rPr>
          <w:lang w:val="en-GB"/>
        </w:rPr>
      </w:pPr>
      <w:r>
        <w:rPr>
          <w:lang w:val="en-GB"/>
        </w:rPr>
        <w:t>Recommendation ITU-R M.1849-1 - Technical and operational aspects of ground-based meteorological radars</w:t>
      </w:r>
    </w:p>
    <w:p w:rsidR="002A0111" w:rsidRPr="00FE1B96" w:rsidRDefault="002A0111" w:rsidP="002A0111">
      <w:pPr>
        <w:jc w:val="both"/>
        <w:rPr>
          <w:lang w:val="en-GB"/>
        </w:rPr>
      </w:pPr>
    </w:p>
    <w:p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:rsidR="002A0111" w:rsidRPr="00441526" w:rsidRDefault="002A0111" w:rsidP="000E4A4C">
      <w:pPr>
        <w:numPr>
          <w:ilvl w:val="0"/>
          <w:numId w:val="18"/>
        </w:numPr>
        <w:spacing w:after="120"/>
        <w:ind w:leftChars="145" w:left="705" w:hanging="357"/>
        <w:jc w:val="both"/>
        <w:rPr>
          <w:lang w:val="en-NZ"/>
        </w:rPr>
      </w:pPr>
      <w:r w:rsidRPr="00441526">
        <w:rPr>
          <w:lang w:val="en-NZ"/>
        </w:rPr>
        <w:t>Input Documents</w:t>
      </w:r>
      <w:r w:rsidR="00F17B13" w:rsidRPr="00F17B13">
        <w:rPr>
          <w:lang w:val="en-NZ"/>
        </w:rPr>
        <w:t xml:space="preserve">: </w:t>
      </w:r>
      <w:r w:rsidR="00F17B13">
        <w:rPr>
          <w:lang w:val="en-NZ"/>
        </w:rPr>
        <w:t>APG19-5</w:t>
      </w:r>
      <w:r w:rsidR="00F17B13" w:rsidRPr="00F17B13">
        <w:rPr>
          <w:lang w:val="en-NZ"/>
        </w:rPr>
        <w:t>/</w:t>
      </w:r>
      <w:r w:rsidR="00882E69" w:rsidRPr="00F17B13">
        <w:rPr>
          <w:lang w:val="en-NZ"/>
        </w:rPr>
        <w:t>INP-</w:t>
      </w:r>
      <w:r w:rsidR="00882E69">
        <w:rPr>
          <w:lang w:val="en-NZ"/>
        </w:rPr>
        <w:t>17</w:t>
      </w:r>
      <w:r w:rsidR="00882E69" w:rsidRPr="00F17B13">
        <w:rPr>
          <w:lang w:val="en-NZ"/>
        </w:rPr>
        <w:t xml:space="preserve"> (NZL), INP-</w:t>
      </w:r>
      <w:r w:rsidR="00882E69">
        <w:rPr>
          <w:lang w:val="en-NZ"/>
        </w:rPr>
        <w:t>37</w:t>
      </w:r>
      <w:r w:rsidR="00882E69" w:rsidRPr="00F17B13">
        <w:rPr>
          <w:lang w:val="en-NZ"/>
        </w:rPr>
        <w:t xml:space="preserve"> (IRN), </w:t>
      </w:r>
      <w:r w:rsidR="00F17B13" w:rsidRPr="00F17B13">
        <w:rPr>
          <w:lang w:val="en-NZ"/>
        </w:rPr>
        <w:t>INP-</w:t>
      </w:r>
      <w:r w:rsidR="00882E69">
        <w:rPr>
          <w:lang w:val="en-NZ"/>
        </w:rPr>
        <w:t>43</w:t>
      </w:r>
      <w:r w:rsidR="006B3BE8" w:rsidRPr="00417218">
        <w:rPr>
          <w:lang w:val="en-NZ"/>
        </w:rPr>
        <w:t>(Rev.1)</w:t>
      </w:r>
      <w:r w:rsidR="00F17B13" w:rsidRPr="00F17B13">
        <w:rPr>
          <w:lang w:val="en-NZ"/>
        </w:rPr>
        <w:t xml:space="preserve"> (AUS), </w:t>
      </w:r>
      <w:r w:rsidR="00882E69" w:rsidRPr="00F17B13">
        <w:rPr>
          <w:lang w:val="en-NZ"/>
        </w:rPr>
        <w:t>INP-</w:t>
      </w:r>
      <w:r w:rsidR="00882E69">
        <w:rPr>
          <w:lang w:val="en-NZ"/>
        </w:rPr>
        <w:t>50</w:t>
      </w:r>
      <w:r w:rsidR="00882E69" w:rsidRPr="00F17B13">
        <w:rPr>
          <w:lang w:val="en-NZ"/>
        </w:rPr>
        <w:t xml:space="preserve"> (</w:t>
      </w:r>
      <w:r w:rsidR="00882E69" w:rsidRPr="00882E69">
        <w:rPr>
          <w:rFonts w:hint="eastAsia"/>
          <w:lang w:val="en-NZ"/>
        </w:rPr>
        <w:t>INS</w:t>
      </w:r>
      <w:r w:rsidR="00882E69" w:rsidRPr="00F17B13">
        <w:rPr>
          <w:lang w:val="en-NZ"/>
        </w:rPr>
        <w:t>)</w:t>
      </w:r>
      <w:r w:rsidR="00882E69">
        <w:rPr>
          <w:lang w:val="en-NZ"/>
        </w:rPr>
        <w:t xml:space="preserve">, </w:t>
      </w:r>
      <w:r w:rsidR="00882E69" w:rsidRPr="00F17B13">
        <w:rPr>
          <w:lang w:val="en-NZ"/>
        </w:rPr>
        <w:t>INP-</w:t>
      </w:r>
      <w:r w:rsidR="00882E69">
        <w:rPr>
          <w:lang w:val="en-NZ"/>
        </w:rPr>
        <w:t>66</w:t>
      </w:r>
      <w:r w:rsidR="00882E69" w:rsidRPr="00F17B13">
        <w:rPr>
          <w:lang w:val="en-NZ"/>
        </w:rPr>
        <w:t xml:space="preserve"> (CHN), INP-</w:t>
      </w:r>
      <w:r w:rsidR="00003379">
        <w:rPr>
          <w:lang w:val="en-NZ"/>
        </w:rPr>
        <w:t>80</w:t>
      </w:r>
      <w:r w:rsidR="00882E69" w:rsidRPr="00F17B13">
        <w:rPr>
          <w:lang w:val="en-NZ"/>
        </w:rPr>
        <w:t xml:space="preserve"> (J), INP-</w:t>
      </w:r>
      <w:r w:rsidR="00882E69">
        <w:rPr>
          <w:lang w:val="en-NZ"/>
        </w:rPr>
        <w:t>106</w:t>
      </w:r>
      <w:r w:rsidR="00882E69" w:rsidRPr="00F17B13">
        <w:rPr>
          <w:lang w:val="en-NZ"/>
        </w:rPr>
        <w:t xml:space="preserve"> (MLA</w:t>
      </w:r>
      <w:r w:rsidR="00882E69">
        <w:rPr>
          <w:lang w:val="en-NZ"/>
        </w:rPr>
        <w:t xml:space="preserve">, </w:t>
      </w:r>
      <w:r w:rsidR="00882E69" w:rsidRPr="00F17B13">
        <w:rPr>
          <w:lang w:val="en-NZ"/>
        </w:rPr>
        <w:t xml:space="preserve">THA), </w:t>
      </w:r>
      <w:r w:rsidR="00F17B13" w:rsidRPr="00F17B13">
        <w:rPr>
          <w:lang w:val="en-NZ"/>
        </w:rPr>
        <w:t>INP-</w:t>
      </w:r>
      <w:r w:rsidR="00882E69">
        <w:rPr>
          <w:lang w:val="en-NZ"/>
        </w:rPr>
        <w:t>128</w:t>
      </w:r>
      <w:r w:rsidR="00F17B13" w:rsidRPr="00F17B13">
        <w:rPr>
          <w:lang w:val="en-NZ"/>
        </w:rPr>
        <w:t xml:space="preserve"> (KOR)</w:t>
      </w:r>
    </w:p>
    <w:p w:rsidR="006B3BE8" w:rsidRPr="000E4A4C" w:rsidRDefault="002A0111" w:rsidP="000E4A4C">
      <w:pPr>
        <w:numPr>
          <w:ilvl w:val="0"/>
          <w:numId w:val="18"/>
        </w:numPr>
        <w:spacing w:after="120"/>
        <w:ind w:leftChars="145" w:left="705" w:hanging="357"/>
        <w:jc w:val="both"/>
        <w:rPr>
          <w:lang w:val="en-NZ"/>
        </w:rPr>
      </w:pPr>
      <w:r w:rsidRPr="000E4A4C">
        <w:rPr>
          <w:lang w:val="en-NZ"/>
        </w:rPr>
        <w:t>Information Documents</w:t>
      </w:r>
      <w:r w:rsidR="00F17B13" w:rsidRPr="000E4A4C">
        <w:rPr>
          <w:lang w:val="en-NZ"/>
        </w:rPr>
        <w:t>: APG19-5/INF-0</w:t>
      </w:r>
      <w:r w:rsidR="00CE3B04" w:rsidRPr="000E4A4C">
        <w:rPr>
          <w:lang w:val="en-NZ"/>
        </w:rPr>
        <w:t>1</w:t>
      </w:r>
      <w:r w:rsidR="00F17B13" w:rsidRPr="000E4A4C">
        <w:rPr>
          <w:lang w:val="en-NZ"/>
        </w:rPr>
        <w:t xml:space="preserve"> (WMO), </w:t>
      </w:r>
      <w:r w:rsidR="00CE3B04" w:rsidRPr="000E4A4C">
        <w:rPr>
          <w:lang w:val="en-NZ"/>
        </w:rPr>
        <w:t xml:space="preserve">INF-18 (CEPT), </w:t>
      </w:r>
      <w:r w:rsidR="006B3BE8" w:rsidRPr="000E4A4C">
        <w:rPr>
          <w:lang w:val="en-NZ"/>
        </w:rPr>
        <w:t>INF-19 (ATU), INF-20 (CITEL), INF-22 (RCC)</w:t>
      </w:r>
      <w:r w:rsidRPr="000E4A4C">
        <w:rPr>
          <w:lang w:val="en-NZ"/>
        </w:rPr>
        <w:t xml:space="preserve"> </w:t>
      </w:r>
    </w:p>
    <w:p w:rsidR="002A0111" w:rsidRPr="00441526" w:rsidRDefault="002A0111" w:rsidP="006B3BE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:rsidR="002A0111" w:rsidRPr="00F34253" w:rsidRDefault="002A0111" w:rsidP="00F34253">
      <w:pPr>
        <w:spacing w:beforeLines="50" w:before="120" w:afterLines="50"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3.1.1 </w:t>
      </w:r>
      <w:r w:rsidRPr="00441526">
        <w:rPr>
          <w:b/>
          <w:lang w:val="en-NZ" w:eastAsia="ko-KR"/>
        </w:rPr>
        <w:tab/>
      </w:r>
      <w:r w:rsidR="00F34253" w:rsidRPr="00E456F4">
        <w:rPr>
          <w:rFonts w:eastAsiaTheme="minorEastAsia"/>
          <w:b/>
          <w:lang w:val="en-NZ" w:eastAsia="zh-CN"/>
        </w:rPr>
        <w:t>New Zealand</w:t>
      </w:r>
      <w:r w:rsidR="00F34253">
        <w:rPr>
          <w:b/>
          <w:lang w:val="en-NZ" w:eastAsia="ko-KR"/>
        </w:rPr>
        <w:t xml:space="preserve"> </w:t>
      </w:r>
      <w:r w:rsidR="00F34253">
        <w:t xml:space="preserve">- </w:t>
      </w:r>
      <w:r w:rsidR="00F34253">
        <w:rPr>
          <w:b/>
          <w:lang w:val="en-NZ" w:eastAsia="ko-KR"/>
        </w:rPr>
        <w:t>Document APG19-5/INP-17</w:t>
      </w:r>
    </w:p>
    <w:p w:rsidR="00EE0E5A" w:rsidRPr="000F100D" w:rsidRDefault="00EE0E5A" w:rsidP="001A31BC">
      <w:pPr>
        <w:tabs>
          <w:tab w:val="left" w:pos="600"/>
        </w:tabs>
        <w:spacing w:after="120"/>
        <w:jc w:val="both"/>
        <w:rPr>
          <w:lang w:val="en-NZ"/>
        </w:rPr>
      </w:pPr>
      <w:r w:rsidRPr="00EA5D59">
        <w:rPr>
          <w:lang w:val="en-NZ"/>
        </w:rPr>
        <w:t xml:space="preserve">New Zealand supports Approach A by referencing </w:t>
      </w:r>
      <w:r>
        <w:rPr>
          <w:lang w:val="en-NZ"/>
        </w:rPr>
        <w:t>Resolution</w:t>
      </w:r>
      <w:r w:rsidRPr="0034583E">
        <w:rPr>
          <w:b/>
          <w:lang w:val="en-NZ"/>
        </w:rPr>
        <w:t xml:space="preserve"> 229 (Rev. WRC-12)</w:t>
      </w:r>
      <w:r w:rsidRPr="00EA5D59">
        <w:rPr>
          <w:lang w:val="en-NZ"/>
        </w:rPr>
        <w:t xml:space="preserve"> in RR No. </w:t>
      </w:r>
      <w:r w:rsidRPr="00EA5D59">
        <w:rPr>
          <w:b/>
          <w:lang w:val="en-NZ"/>
        </w:rPr>
        <w:t>5.4</w:t>
      </w:r>
      <w:r>
        <w:rPr>
          <w:b/>
          <w:lang w:val="en-NZ"/>
        </w:rPr>
        <w:t>47F</w:t>
      </w:r>
      <w:r w:rsidRPr="00EA5D59">
        <w:rPr>
          <w:b/>
          <w:lang w:val="en-NZ"/>
        </w:rPr>
        <w:t xml:space="preserve"> </w:t>
      </w:r>
      <w:r w:rsidRPr="0034583E">
        <w:rPr>
          <w:lang w:val="en-NZ"/>
        </w:rPr>
        <w:t xml:space="preserve">and </w:t>
      </w:r>
      <w:r w:rsidRPr="00EA5D59">
        <w:rPr>
          <w:b/>
          <w:lang w:val="en-NZ"/>
        </w:rPr>
        <w:t>5.450A</w:t>
      </w:r>
      <w:r w:rsidRPr="0034583E">
        <w:t xml:space="preserve"> </w:t>
      </w:r>
      <w:r w:rsidRPr="0034583E">
        <w:rPr>
          <w:lang w:val="en-NZ"/>
        </w:rPr>
        <w:t>as a long-term solution that would avoid reopening the issue of re-assessing technical and regulatory impacts when referencing new versions of ITU-R Recommendations in the future</w:t>
      </w:r>
      <w:r w:rsidRPr="008E3CD8">
        <w:rPr>
          <w:lang w:val="en-NZ"/>
        </w:rPr>
        <w:t>.</w:t>
      </w:r>
    </w:p>
    <w:p w:rsidR="00F34253" w:rsidRPr="00C50B11" w:rsidRDefault="00F34253" w:rsidP="00F34253">
      <w:pPr>
        <w:spacing w:beforeLines="50" w:before="120" w:afterLines="50" w:after="120"/>
        <w:jc w:val="both"/>
        <w:rPr>
          <w:rFonts w:eastAsiaTheme="minorEastAsia"/>
          <w:b/>
          <w:lang w:val="en-NZ" w:eastAsia="zh-CN"/>
        </w:rPr>
      </w:pPr>
      <w:r>
        <w:rPr>
          <w:rFonts w:eastAsiaTheme="minorEastAsia" w:hint="eastAsia"/>
          <w:b/>
          <w:lang w:val="en-NZ" w:eastAsia="zh-CN"/>
        </w:rPr>
        <w:t>3.1.</w:t>
      </w:r>
      <w:r w:rsidR="00EE0E5A">
        <w:rPr>
          <w:rFonts w:eastAsiaTheme="minorEastAsia"/>
          <w:b/>
          <w:lang w:val="en-NZ" w:eastAsia="zh-CN"/>
        </w:rPr>
        <w:t>2</w:t>
      </w:r>
      <w:r w:rsidR="00E87BD6" w:rsidRPr="00441526">
        <w:rPr>
          <w:b/>
          <w:lang w:val="en-NZ" w:eastAsia="ko-KR"/>
        </w:rPr>
        <w:t xml:space="preserve"> </w:t>
      </w:r>
      <w:r w:rsidR="00E87BD6" w:rsidRPr="00441526">
        <w:rPr>
          <w:b/>
          <w:lang w:val="en-NZ" w:eastAsia="ko-KR"/>
        </w:rPr>
        <w:tab/>
      </w:r>
      <w:r>
        <w:rPr>
          <w:rFonts w:eastAsiaTheme="minorEastAsia"/>
          <w:b/>
          <w:lang w:val="en-NZ" w:eastAsia="zh-CN"/>
        </w:rPr>
        <w:t>Iran</w:t>
      </w:r>
      <w:r>
        <w:rPr>
          <w:b/>
          <w:lang w:val="en-NZ" w:eastAsia="ko-KR"/>
        </w:rPr>
        <w:t xml:space="preserve"> </w:t>
      </w:r>
      <w:r>
        <w:t xml:space="preserve">- </w:t>
      </w:r>
      <w:r>
        <w:rPr>
          <w:b/>
          <w:lang w:val="en-NZ" w:eastAsia="ko-KR"/>
        </w:rPr>
        <w:t>Document APG19-5/INP</w:t>
      </w:r>
      <w:r w:rsidRPr="00D6145D">
        <w:rPr>
          <w:b/>
          <w:lang w:val="en-NZ" w:eastAsia="ko-KR"/>
        </w:rPr>
        <w:t>-</w:t>
      </w:r>
      <w:r>
        <w:rPr>
          <w:b/>
          <w:lang w:val="en-NZ" w:eastAsia="ko-KR"/>
        </w:rPr>
        <w:t>37</w:t>
      </w:r>
    </w:p>
    <w:p w:rsidR="00F34253" w:rsidRDefault="002F7494" w:rsidP="001A31BC">
      <w:pPr>
        <w:spacing w:after="120"/>
      </w:pPr>
      <w:r>
        <w:rPr>
          <w:rFonts w:eastAsia="Malgun Gothic"/>
          <w:bCs/>
          <w:snapToGrid w:val="0"/>
          <w:lang w:eastAsia="ko-KR"/>
        </w:rPr>
        <w:t>This Administration</w:t>
      </w:r>
      <w:r w:rsidRPr="0076337F">
        <w:rPr>
          <w:rFonts w:eastAsia="Malgun Gothic"/>
          <w:bCs/>
          <w:snapToGrid w:val="0"/>
          <w:lang w:eastAsia="ko-KR"/>
        </w:rPr>
        <w:t xml:space="preserve"> supports </w:t>
      </w:r>
      <w:r>
        <w:rPr>
          <w:rFonts w:eastAsia="Malgun Gothic"/>
          <w:bCs/>
          <w:snapToGrid w:val="0"/>
          <w:lang w:eastAsia="ko-KR"/>
        </w:rPr>
        <w:t xml:space="preserve">Approach A of </w:t>
      </w:r>
      <w:r w:rsidR="000C302F">
        <w:rPr>
          <w:rFonts w:eastAsia="Malgun Gothic"/>
          <w:bCs/>
          <w:snapToGrid w:val="0"/>
          <w:lang w:eastAsia="ko-KR"/>
        </w:rPr>
        <w:t xml:space="preserve">the </w:t>
      </w:r>
      <w:r>
        <w:rPr>
          <w:rFonts w:eastAsia="Malgun Gothic"/>
          <w:bCs/>
          <w:snapToGrid w:val="0"/>
          <w:lang w:eastAsia="ko-KR"/>
        </w:rPr>
        <w:t>CPM Report.</w:t>
      </w:r>
      <w:r>
        <w:rPr>
          <w:rFonts w:eastAsia="Malgun Gothic"/>
          <w:bCs/>
          <w:snapToGrid w:val="0"/>
          <w:lang w:eastAsia="ko-KR"/>
        </w:rPr>
        <w:tab/>
      </w:r>
      <w:r>
        <w:rPr>
          <w:rFonts w:eastAsia="Malgun Gothic"/>
          <w:bCs/>
          <w:snapToGrid w:val="0"/>
          <w:lang w:eastAsia="ko-KR"/>
        </w:rPr>
        <w:br/>
      </w:r>
      <w:r w:rsidRPr="004515FA">
        <w:rPr>
          <w:rFonts w:eastAsia="Malgun Gothic"/>
          <w:bCs/>
          <w:snapToGrid w:val="0"/>
          <w:sz w:val="8"/>
          <w:szCs w:val="8"/>
          <w:lang w:eastAsia="ko-KR"/>
        </w:rPr>
        <w:br/>
      </w:r>
      <w:r>
        <w:rPr>
          <w:rFonts w:eastAsia="Malgun Gothic"/>
          <w:bCs/>
          <w:snapToGrid w:val="0"/>
          <w:lang w:eastAsia="ko-KR"/>
        </w:rPr>
        <w:t xml:space="preserve">Reason: </w:t>
      </w:r>
      <w:r>
        <w:rPr>
          <w:rFonts w:ascii="TimesNewRomanPSMT" w:eastAsia="Batang" w:hAnsi="TimesNewRomanPSMT" w:cs="TimesNewRomanPSMT"/>
          <w:lang w:bidi="fa-IR"/>
        </w:rPr>
        <w:t xml:space="preserve">This approach is a long-term solution that would avoid reopening the issue of technical and regulatory impacts of referencing new Recommendation versions in RR Nos. </w:t>
      </w:r>
      <w:r>
        <w:rPr>
          <w:rFonts w:ascii="TimesNewRomanPS-BoldMT" w:eastAsia="Batang" w:hAnsi="TimesNewRomanPS-BoldMT" w:cs="TimesNewRomanPS-BoldMT"/>
          <w:b/>
          <w:bCs/>
          <w:lang w:bidi="fa-IR"/>
        </w:rPr>
        <w:t xml:space="preserve">5.447F </w:t>
      </w:r>
      <w:r>
        <w:rPr>
          <w:rFonts w:ascii="TimesNewRomanPSMT" w:eastAsia="Batang" w:hAnsi="TimesNewRomanPSMT" w:cs="TimesNewRomanPSMT"/>
          <w:lang w:bidi="fa-IR"/>
        </w:rPr>
        <w:t xml:space="preserve">and </w:t>
      </w:r>
      <w:r>
        <w:rPr>
          <w:rFonts w:ascii="TimesNewRomanPS-BoldMT" w:eastAsia="Batang" w:hAnsi="TimesNewRomanPS-BoldMT" w:cs="TimesNewRomanPS-BoldMT"/>
          <w:b/>
          <w:bCs/>
          <w:lang w:bidi="fa-IR"/>
        </w:rPr>
        <w:t>5.450A</w:t>
      </w:r>
      <w:r>
        <w:rPr>
          <w:rFonts w:ascii="TimesNewRomanPSMT" w:eastAsia="Batang" w:hAnsi="TimesNewRomanPSMT" w:cs="TimesNewRomanPSMT"/>
          <w:lang w:bidi="fa-IR"/>
        </w:rPr>
        <w:t xml:space="preserve">. This should in particular be seen in the light of the fact that, in practice, the coexistence between WAS/RLAN and radars is not driven by those two footnotes but by Resolution </w:t>
      </w:r>
      <w:r>
        <w:rPr>
          <w:rFonts w:ascii="TimesNewRomanPS-BoldMT" w:eastAsia="Batang" w:hAnsi="TimesNewRomanPS-BoldMT" w:cs="TimesNewRomanPS-BoldMT"/>
          <w:b/>
          <w:bCs/>
          <w:lang w:bidi="fa-IR"/>
        </w:rPr>
        <w:t xml:space="preserve">229 (Rev.WRC-12) </w:t>
      </w:r>
      <w:r>
        <w:rPr>
          <w:rFonts w:ascii="TimesNewRomanPSMT" w:eastAsia="Batang" w:hAnsi="TimesNewRomanPSMT" w:cs="TimesNewRomanPSMT"/>
          <w:lang w:bidi="fa-IR"/>
        </w:rPr>
        <w:t>that defines the conditions for the mobile service to operate in these bands.</w:t>
      </w:r>
    </w:p>
    <w:p w:rsidR="000C6095" w:rsidRPr="00441526" w:rsidRDefault="000C6095" w:rsidP="000C6095">
      <w:pPr>
        <w:spacing w:after="120"/>
        <w:jc w:val="both"/>
        <w:rPr>
          <w:lang w:val="en-NZ"/>
        </w:rPr>
      </w:pPr>
      <w:r w:rsidRPr="00441526">
        <w:rPr>
          <w:b/>
          <w:lang w:val="en-NZ" w:eastAsia="ko-KR"/>
        </w:rPr>
        <w:t>3.1.</w:t>
      </w:r>
      <w:r w:rsidR="002F7494"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0F6941">
        <w:rPr>
          <w:rFonts w:eastAsiaTheme="minorEastAsia"/>
          <w:b/>
          <w:lang w:val="en-NZ" w:eastAsia="zh-CN"/>
        </w:rPr>
        <w:t>Australia</w:t>
      </w:r>
      <w:r w:rsidRPr="00745EE4">
        <w:rPr>
          <w:rFonts w:eastAsiaTheme="minorEastAsia"/>
          <w:b/>
          <w:lang w:val="en-NZ" w:eastAsia="zh-CN"/>
        </w:rPr>
        <w:t xml:space="preserve"> </w:t>
      </w:r>
      <w:r>
        <w:rPr>
          <w:b/>
          <w:lang w:val="en-NZ" w:eastAsia="ko-KR"/>
        </w:rPr>
        <w:t>-</w:t>
      </w:r>
      <w:r>
        <w:t xml:space="preserve"> </w:t>
      </w:r>
      <w:r>
        <w:rPr>
          <w:b/>
          <w:lang w:val="en-NZ" w:eastAsia="ko-KR"/>
        </w:rPr>
        <w:t>Document APG19-5/INP-43</w:t>
      </w:r>
      <w:r w:rsidR="00320234">
        <w:rPr>
          <w:b/>
          <w:lang w:val="en-NZ" w:eastAsia="ko-KR"/>
        </w:rPr>
        <w:t xml:space="preserve"> (Rev.1)</w:t>
      </w:r>
    </w:p>
    <w:p w:rsidR="002F7494" w:rsidRPr="00DE401A" w:rsidRDefault="002F7494" w:rsidP="001A31BC">
      <w:pPr>
        <w:spacing w:after="120"/>
        <w:rPr>
          <w:rFonts w:eastAsia="Times New Roman"/>
          <w:iCs/>
          <w:szCs w:val="20"/>
          <w:lang w:val="en-AU"/>
        </w:rPr>
      </w:pPr>
      <w:r w:rsidRPr="00DE401A">
        <w:rPr>
          <w:rFonts w:eastAsia="Times New Roman"/>
          <w:iCs/>
          <w:szCs w:val="20"/>
          <w:lang w:val="en-AU"/>
        </w:rPr>
        <w:t xml:space="preserve">Australia supports a long-term solution that requires less regulation should Recommendations ITU-R M.1638 or M.1849 be updated again in the future, while creating no additional constraints to the mobile service, and also ensuring protection of the radiolocation service. </w:t>
      </w:r>
    </w:p>
    <w:p w:rsidR="002F7494" w:rsidRDefault="002F7494" w:rsidP="001A31BC">
      <w:pPr>
        <w:spacing w:after="120"/>
        <w:rPr>
          <w:rFonts w:eastAsia="Times New Roman"/>
          <w:iCs/>
          <w:szCs w:val="20"/>
          <w:lang w:val="en-AU"/>
        </w:rPr>
      </w:pPr>
      <w:r w:rsidRPr="00DE401A">
        <w:rPr>
          <w:rFonts w:eastAsia="Times New Roman"/>
          <w:iCs/>
          <w:szCs w:val="20"/>
          <w:lang w:val="en-AU"/>
        </w:rPr>
        <w:t xml:space="preserve">Australia supports </w:t>
      </w:r>
      <w:r w:rsidR="000C302F">
        <w:rPr>
          <w:rFonts w:eastAsia="Times New Roman"/>
          <w:iCs/>
          <w:szCs w:val="20"/>
          <w:lang w:val="en-AU"/>
        </w:rPr>
        <w:t>the CPM R</w:t>
      </w:r>
      <w:r w:rsidRPr="00DE401A">
        <w:rPr>
          <w:rFonts w:eastAsia="Times New Roman"/>
          <w:iCs/>
          <w:szCs w:val="20"/>
          <w:lang w:val="en-AU"/>
        </w:rPr>
        <w:t>eport Approach A.</w:t>
      </w:r>
    </w:p>
    <w:p w:rsidR="000B317E" w:rsidRPr="00441526" w:rsidRDefault="000B317E" w:rsidP="000B317E">
      <w:pPr>
        <w:spacing w:after="120"/>
        <w:jc w:val="both"/>
        <w:rPr>
          <w:lang w:val="en-NZ"/>
        </w:rPr>
      </w:pPr>
      <w:r w:rsidRPr="00441526">
        <w:rPr>
          <w:b/>
          <w:lang w:val="en-NZ" w:eastAsia="ko-KR"/>
        </w:rPr>
        <w:t>3.1.</w:t>
      </w:r>
      <w:r w:rsidR="002F7494">
        <w:rPr>
          <w:b/>
          <w:lang w:val="en-NZ" w:eastAsia="ko-KR"/>
        </w:rPr>
        <w:t>4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0B317E">
        <w:rPr>
          <w:rFonts w:eastAsiaTheme="minorEastAsia"/>
          <w:b/>
          <w:lang w:val="en-NZ" w:eastAsia="zh-CN"/>
        </w:rPr>
        <w:t xml:space="preserve">Indonesia </w:t>
      </w:r>
      <w:r>
        <w:rPr>
          <w:b/>
          <w:lang w:val="en-NZ" w:eastAsia="ko-KR"/>
        </w:rPr>
        <w:t>-</w:t>
      </w:r>
      <w:r>
        <w:t xml:space="preserve"> </w:t>
      </w:r>
      <w:r>
        <w:rPr>
          <w:b/>
          <w:lang w:val="en-NZ" w:eastAsia="ko-KR"/>
        </w:rPr>
        <w:t>Document APG19-5/INP-50</w:t>
      </w:r>
    </w:p>
    <w:p w:rsidR="00AB13BD" w:rsidRDefault="00AB13BD" w:rsidP="001A31BC">
      <w:pPr>
        <w:autoSpaceDE w:val="0"/>
        <w:autoSpaceDN w:val="0"/>
        <w:adjustRightInd w:val="0"/>
        <w:spacing w:after="120"/>
        <w:jc w:val="both"/>
      </w:pPr>
      <w:r>
        <w:t xml:space="preserve">Indonesia is of the view to support </w:t>
      </w:r>
      <w:r w:rsidRPr="001047B6">
        <w:rPr>
          <w:b/>
        </w:rPr>
        <w:t>Approach A</w:t>
      </w:r>
      <w:r>
        <w:t xml:space="preserve"> to satisfy Agenda Item 9.1 (issue 9.1.5) of WRC-19 which </w:t>
      </w:r>
      <w:r w:rsidRPr="001D38AC">
        <w:t>delete the second sentence of the footnotes</w:t>
      </w:r>
      <w:r>
        <w:t xml:space="preserve"> RR 5.447F and 5.450A</w:t>
      </w:r>
      <w:r w:rsidRPr="001D38AC">
        <w:t xml:space="preserve">, where the Recommendations </w:t>
      </w:r>
      <w:r>
        <w:t xml:space="preserve">ITU-R M.1638-0 and ITU-R RS.1632-0 </w:t>
      </w:r>
      <w:r w:rsidRPr="001D38AC">
        <w:t xml:space="preserve">are referenced, and clarify that the provisions of Resolution </w:t>
      </w:r>
      <w:r w:rsidRPr="000C302F">
        <w:rPr>
          <w:b/>
        </w:rPr>
        <w:t>229 (Rev.WRC-12)</w:t>
      </w:r>
      <w:r w:rsidRPr="001D38AC">
        <w:t xml:space="preserve"> apply in this case</w:t>
      </w:r>
      <w:r>
        <w:t>.</w:t>
      </w:r>
    </w:p>
    <w:p w:rsidR="000B317E" w:rsidRPr="00441526" w:rsidRDefault="000B317E" w:rsidP="000B317E">
      <w:pPr>
        <w:spacing w:after="120"/>
        <w:jc w:val="both"/>
        <w:rPr>
          <w:lang w:val="en-NZ"/>
        </w:rPr>
      </w:pPr>
      <w:r w:rsidRPr="00441526">
        <w:rPr>
          <w:b/>
          <w:lang w:val="en-NZ" w:eastAsia="ko-KR"/>
        </w:rPr>
        <w:t>3.1.</w:t>
      </w:r>
      <w:r w:rsidR="00AB13BD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0B317E">
        <w:rPr>
          <w:rFonts w:eastAsiaTheme="minorEastAsia"/>
          <w:b/>
          <w:lang w:val="en-NZ" w:eastAsia="zh-CN"/>
        </w:rPr>
        <w:t xml:space="preserve">China </w:t>
      </w:r>
      <w:r>
        <w:rPr>
          <w:b/>
          <w:lang w:val="en-NZ" w:eastAsia="ko-KR"/>
        </w:rPr>
        <w:t>-</w:t>
      </w:r>
      <w:r>
        <w:t xml:space="preserve"> </w:t>
      </w:r>
      <w:r>
        <w:rPr>
          <w:b/>
          <w:lang w:val="en-NZ" w:eastAsia="ko-KR"/>
        </w:rPr>
        <w:t>Document APG19-5/INP-66</w:t>
      </w:r>
    </w:p>
    <w:p w:rsidR="002F7494" w:rsidRDefault="002F7494" w:rsidP="001A31BC">
      <w:pPr>
        <w:spacing w:after="120"/>
        <w:jc w:val="both"/>
        <w:rPr>
          <w:rFonts w:eastAsia="SimSun"/>
        </w:rPr>
      </w:pPr>
      <w:r>
        <w:rPr>
          <w:rFonts w:eastAsia="SimSun" w:hint="eastAsia"/>
          <w:lang w:eastAsia="zh-CN"/>
        </w:rPr>
        <w:t>A</w:t>
      </w:r>
      <w:r>
        <w:rPr>
          <w:rFonts w:eastAsia="SimSun"/>
          <w:lang w:eastAsia="zh-CN"/>
        </w:rPr>
        <w:t xml:space="preserve">fter investigating the two approaches, China considers that both </w:t>
      </w:r>
      <w:r>
        <w:rPr>
          <w:rFonts w:eastAsia="SimSun"/>
        </w:rPr>
        <w:t xml:space="preserve">Approach A and Approach B could satisfy this issue, meanwhile avoid the need to address this topic again at future WRCs if Recommendations ITU-R M.1638 and M.1849 were updated in the future, i.e., </w:t>
      </w:r>
      <w:r>
        <w:rPr>
          <w:lang w:val="en-NZ"/>
        </w:rPr>
        <w:t>a long-term solution</w:t>
      </w:r>
      <w:r>
        <w:rPr>
          <w:rFonts w:eastAsia="SimSun"/>
        </w:rPr>
        <w:t xml:space="preserve">.  </w:t>
      </w:r>
    </w:p>
    <w:p w:rsidR="002F7494" w:rsidRDefault="002F7494" w:rsidP="001A31BC">
      <w:pPr>
        <w:spacing w:after="120"/>
        <w:jc w:val="both"/>
        <w:rPr>
          <w:rFonts w:eastAsia="SimSun"/>
          <w:lang w:eastAsia="zh-CN"/>
        </w:rPr>
      </w:pPr>
      <w:r>
        <w:rPr>
          <w:rFonts w:eastAsia="SimSun"/>
        </w:rPr>
        <w:t xml:space="preserve">Moreover, China believes that the reference to No. </w:t>
      </w:r>
      <w:r>
        <w:rPr>
          <w:rFonts w:eastAsia="SimSun"/>
          <w:b/>
        </w:rPr>
        <w:t>5.446A</w:t>
      </w:r>
      <w:r>
        <w:rPr>
          <w:rFonts w:eastAsia="SimSun"/>
        </w:rPr>
        <w:t xml:space="preserve"> in Approach B provides an indirect reference to Resolution </w:t>
      </w:r>
      <w:r>
        <w:rPr>
          <w:rFonts w:eastAsia="SimSun"/>
          <w:b/>
        </w:rPr>
        <w:t>229 (Rev. WRC-12)</w:t>
      </w:r>
      <w:r>
        <w:rPr>
          <w:rFonts w:eastAsia="SimSun"/>
        </w:rPr>
        <w:t xml:space="preserve"> and it would be clearer and more transparent if the reference directly points to Resolution</w:t>
      </w:r>
      <w:r>
        <w:rPr>
          <w:rFonts w:eastAsia="SimSun"/>
          <w:b/>
        </w:rPr>
        <w:t xml:space="preserve"> 229 (Rev. WRC-12)</w:t>
      </w:r>
      <w:r>
        <w:rPr>
          <w:rFonts w:eastAsia="SimSun"/>
        </w:rPr>
        <w:t xml:space="preserve"> instead of No. </w:t>
      </w:r>
      <w:r>
        <w:rPr>
          <w:rFonts w:eastAsia="SimSun"/>
          <w:b/>
        </w:rPr>
        <w:t>5.446A</w:t>
      </w:r>
      <w:r>
        <w:rPr>
          <w:rFonts w:eastAsia="SimSun"/>
        </w:rPr>
        <w:t>.</w:t>
      </w:r>
    </w:p>
    <w:p w:rsidR="000B317E" w:rsidRPr="00441526" w:rsidRDefault="000B317E" w:rsidP="000B317E">
      <w:pPr>
        <w:spacing w:after="120"/>
        <w:jc w:val="both"/>
        <w:rPr>
          <w:lang w:val="en-NZ"/>
        </w:rPr>
      </w:pPr>
      <w:r w:rsidRPr="00441526">
        <w:rPr>
          <w:b/>
          <w:lang w:val="en-NZ" w:eastAsia="ko-KR"/>
        </w:rPr>
        <w:t>3.1.</w:t>
      </w:r>
      <w:r w:rsidR="00AB13BD">
        <w:rPr>
          <w:b/>
          <w:lang w:val="en-NZ" w:eastAsia="ko-KR"/>
        </w:rPr>
        <w:t>6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0B317E">
        <w:rPr>
          <w:rFonts w:eastAsiaTheme="minorEastAsia"/>
          <w:b/>
          <w:lang w:val="en-NZ" w:eastAsia="zh-CN"/>
        </w:rPr>
        <w:t xml:space="preserve">Japan </w:t>
      </w:r>
      <w:r>
        <w:rPr>
          <w:b/>
          <w:lang w:val="en-NZ" w:eastAsia="ko-KR"/>
        </w:rPr>
        <w:t>-</w:t>
      </w:r>
      <w:r>
        <w:t xml:space="preserve"> </w:t>
      </w:r>
      <w:r>
        <w:rPr>
          <w:b/>
          <w:lang w:val="en-NZ" w:eastAsia="ko-KR"/>
        </w:rPr>
        <w:t>Document APG19-5/INP-</w:t>
      </w:r>
      <w:r w:rsidR="00AB13BD">
        <w:rPr>
          <w:b/>
          <w:lang w:val="en-NZ" w:eastAsia="ko-KR"/>
        </w:rPr>
        <w:t>80</w:t>
      </w:r>
    </w:p>
    <w:p w:rsidR="00AB13BD" w:rsidRPr="009978D2" w:rsidRDefault="00AB13BD" w:rsidP="001A31BC">
      <w:pPr>
        <w:tabs>
          <w:tab w:val="left" w:pos="600"/>
        </w:tabs>
        <w:spacing w:after="120"/>
      </w:pPr>
      <w:r w:rsidRPr="009978D2">
        <w:t xml:space="preserve">In the case of Approach A, when a meteorological radar is harmfully interfered by wireless access systems (WAS) including radio local area networks (RLANs), the radar </w:t>
      </w:r>
      <w:r w:rsidRPr="009978D2">
        <w:rPr>
          <w:rFonts w:eastAsiaTheme="minorEastAsia"/>
          <w:lang w:eastAsia="ja-JP"/>
        </w:rPr>
        <w:t>may</w:t>
      </w:r>
      <w:r w:rsidRPr="009978D2">
        <w:t xml:space="preserve"> impose on </w:t>
      </w:r>
      <w:r w:rsidRPr="009978D2">
        <w:lastRenderedPageBreak/>
        <w:t xml:space="preserve">the mobile service more stringent protection criteria than those stated in Resolution </w:t>
      </w:r>
      <w:r w:rsidRPr="000E4A4C">
        <w:rPr>
          <w:b/>
          <w:bCs/>
        </w:rPr>
        <w:t>229 (Rev.WRC-12)</w:t>
      </w:r>
      <w:r w:rsidRPr="009978D2">
        <w:t xml:space="preserve"> based on RR No. </w:t>
      </w:r>
      <w:r w:rsidRPr="000E4A4C">
        <w:rPr>
          <w:b/>
          <w:bCs/>
        </w:rPr>
        <w:t>5.43A</w:t>
      </w:r>
      <w:r w:rsidRPr="009978D2">
        <w:t xml:space="preserve">. On the other hand, the radar cannot impose more stringent technical and operational limits upon the mobile service other than those in Resolution </w:t>
      </w:r>
      <w:r w:rsidRPr="000E4A4C">
        <w:rPr>
          <w:b/>
          <w:bCs/>
        </w:rPr>
        <w:t>229 (Rev.WRC-12)</w:t>
      </w:r>
      <w:r w:rsidRPr="009978D2">
        <w:t xml:space="preserve"> in the case of Approach B. </w:t>
      </w:r>
    </w:p>
    <w:p w:rsidR="00AB13BD" w:rsidRPr="009978D2" w:rsidRDefault="00AB13BD" w:rsidP="001A31BC">
      <w:pPr>
        <w:spacing w:after="120"/>
        <w:jc w:val="both"/>
        <w:rPr>
          <w:rFonts w:eastAsiaTheme="minorEastAsia"/>
          <w:color w:val="FF0000"/>
          <w:lang w:eastAsia="ja-JP"/>
        </w:rPr>
      </w:pPr>
      <w:r w:rsidRPr="009978D2">
        <w:rPr>
          <w:rFonts w:eastAsiaTheme="minorEastAsia"/>
          <w:lang w:eastAsia="ja-JP"/>
        </w:rPr>
        <w:t xml:space="preserve">Therefore, </w:t>
      </w:r>
      <w:r w:rsidRPr="009978D2">
        <w:rPr>
          <w:rFonts w:eastAsiaTheme="minorEastAsia" w:hint="eastAsia"/>
          <w:lang w:eastAsia="ja-JP"/>
        </w:rPr>
        <w:t xml:space="preserve">Japan supports Approach A in terms of </w:t>
      </w:r>
      <w:r w:rsidRPr="009978D2">
        <w:rPr>
          <w:rFonts w:eastAsiaTheme="minorEastAsia"/>
          <w:lang w:eastAsia="ja-JP"/>
        </w:rPr>
        <w:t>protection of meteorological radars from WAS/RLANs.</w:t>
      </w:r>
    </w:p>
    <w:p w:rsidR="000B317E" w:rsidRPr="00441526" w:rsidRDefault="000B317E" w:rsidP="000B317E">
      <w:pPr>
        <w:spacing w:after="120"/>
        <w:jc w:val="both"/>
        <w:rPr>
          <w:lang w:val="en-NZ"/>
        </w:rPr>
      </w:pPr>
      <w:r w:rsidRPr="00441526">
        <w:rPr>
          <w:b/>
          <w:lang w:val="en-NZ" w:eastAsia="ko-KR"/>
        </w:rPr>
        <w:t>3.1.</w:t>
      </w:r>
      <w:r w:rsidR="00AB13BD"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0B317E">
        <w:rPr>
          <w:rFonts w:eastAsiaTheme="minorEastAsia"/>
          <w:b/>
          <w:lang w:val="en-NZ" w:eastAsia="zh-CN"/>
        </w:rPr>
        <w:t xml:space="preserve">Malaysia, Thailand </w:t>
      </w:r>
      <w:r>
        <w:rPr>
          <w:b/>
          <w:lang w:val="en-NZ" w:eastAsia="ko-KR"/>
        </w:rPr>
        <w:t>-</w:t>
      </w:r>
      <w:r>
        <w:t xml:space="preserve"> </w:t>
      </w:r>
      <w:r>
        <w:rPr>
          <w:b/>
          <w:lang w:val="en-NZ" w:eastAsia="ko-KR"/>
        </w:rPr>
        <w:t>Document APG19-5/INP-106</w:t>
      </w:r>
    </w:p>
    <w:p w:rsidR="00AB13BD" w:rsidRPr="00651827" w:rsidRDefault="00AB13BD" w:rsidP="000E4A4C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Malaysia and Thailand support</w:t>
      </w:r>
      <w:r w:rsidRPr="00651827">
        <w:rPr>
          <w:color w:val="000000" w:themeColor="text1"/>
        </w:rPr>
        <w:t xml:space="preserve"> long-term solution that requires less regulation should the Recommendations ITU-R M.1638 or M.1849 be updated again in the future, while also ensuring </w:t>
      </w:r>
      <w:r w:rsidRPr="00651827">
        <w:rPr>
          <w:rFonts w:eastAsiaTheme="minorEastAsia"/>
          <w:iCs/>
          <w:color w:val="000000" w:themeColor="text1"/>
          <w:lang w:eastAsia="zh-CN"/>
        </w:rPr>
        <w:t xml:space="preserve">protection of the services to which the band is allocated including those which are referenced in </w:t>
      </w:r>
      <w:r w:rsidRPr="00651827">
        <w:rPr>
          <w:color w:val="000000" w:themeColor="text1"/>
          <w:lang w:eastAsia="zh-CN"/>
        </w:rPr>
        <w:t xml:space="preserve">RR Nos. </w:t>
      </w:r>
      <w:r w:rsidRPr="00651827">
        <w:rPr>
          <w:b/>
          <w:bCs/>
          <w:color w:val="000000" w:themeColor="text1"/>
        </w:rPr>
        <w:t>5.447F</w:t>
      </w:r>
      <w:r w:rsidRPr="00651827">
        <w:rPr>
          <w:color w:val="000000" w:themeColor="text1"/>
        </w:rPr>
        <w:t xml:space="preserve"> and </w:t>
      </w:r>
      <w:r w:rsidRPr="00651827">
        <w:rPr>
          <w:b/>
          <w:bCs/>
          <w:color w:val="000000" w:themeColor="text1"/>
        </w:rPr>
        <w:t xml:space="preserve">5.450A </w:t>
      </w:r>
      <w:r w:rsidRPr="00651827">
        <w:rPr>
          <w:color w:val="000000" w:themeColor="text1"/>
          <w:lang w:val="en-NZ"/>
        </w:rPr>
        <w:t>and creating no additional constraints to the mobile service.</w:t>
      </w:r>
    </w:p>
    <w:p w:rsidR="00AB13BD" w:rsidRPr="00B32359" w:rsidRDefault="00AB13BD" w:rsidP="000E4A4C">
      <w:pPr>
        <w:spacing w:after="120"/>
        <w:ind w:left="284" w:hanging="284"/>
        <w:jc w:val="thaiDistribute"/>
        <w:rPr>
          <w:szCs w:val="22"/>
        </w:rPr>
      </w:pPr>
      <w:r>
        <w:rPr>
          <w:szCs w:val="22"/>
        </w:rPr>
        <w:t>Malaysia and Thailand support Approach B</w:t>
      </w:r>
      <w:r w:rsidRPr="000551E0">
        <w:rPr>
          <w:szCs w:val="22"/>
        </w:rPr>
        <w:t xml:space="preserve"> in the CPM Report </w:t>
      </w:r>
      <w:r w:rsidRPr="00651827">
        <w:rPr>
          <w:rFonts w:eastAsiaTheme="minorEastAsia"/>
          <w:iCs/>
          <w:color w:val="000000" w:themeColor="text1"/>
          <w:lang w:eastAsia="zh-CN"/>
        </w:rPr>
        <w:t>in addressing this Issue</w:t>
      </w:r>
      <w:r w:rsidRPr="000551E0">
        <w:rPr>
          <w:szCs w:val="22"/>
        </w:rPr>
        <w:t>.</w:t>
      </w:r>
      <w:r>
        <w:rPr>
          <w:szCs w:val="22"/>
        </w:rPr>
        <w:t xml:space="preserve"> </w:t>
      </w:r>
    </w:p>
    <w:p w:rsidR="000B317E" w:rsidRPr="00441526" w:rsidRDefault="000B317E" w:rsidP="000B317E">
      <w:pPr>
        <w:spacing w:after="120"/>
        <w:jc w:val="both"/>
        <w:rPr>
          <w:lang w:val="en-NZ"/>
        </w:rPr>
      </w:pPr>
      <w:r w:rsidRPr="00441526">
        <w:rPr>
          <w:b/>
          <w:lang w:val="en-NZ" w:eastAsia="ko-KR"/>
        </w:rPr>
        <w:t>3.1.</w:t>
      </w:r>
      <w:r w:rsidR="00AB13BD">
        <w:rPr>
          <w:b/>
          <w:lang w:val="en-NZ" w:eastAsia="ko-KR"/>
        </w:rPr>
        <w:t>8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Pr="000B317E">
        <w:rPr>
          <w:rFonts w:eastAsiaTheme="minorEastAsia"/>
          <w:b/>
          <w:lang w:val="en-NZ" w:eastAsia="zh-CN"/>
        </w:rPr>
        <w:t xml:space="preserve">Korea </w:t>
      </w:r>
      <w:r>
        <w:rPr>
          <w:b/>
          <w:lang w:val="en-NZ" w:eastAsia="ko-KR"/>
        </w:rPr>
        <w:t>-</w:t>
      </w:r>
      <w:r>
        <w:t xml:space="preserve"> </w:t>
      </w:r>
      <w:r>
        <w:rPr>
          <w:b/>
          <w:lang w:val="en-NZ" w:eastAsia="ko-KR"/>
        </w:rPr>
        <w:t>Document APG19-5/INP-128</w:t>
      </w:r>
    </w:p>
    <w:p w:rsidR="00AB13BD" w:rsidRDefault="00AB13BD" w:rsidP="001A31BC">
      <w:pPr>
        <w:spacing w:after="120"/>
        <w:jc w:val="both"/>
        <w:rPr>
          <w:spacing w:val="-2"/>
        </w:rPr>
      </w:pPr>
      <w:r>
        <w:rPr>
          <w:lang w:val="en-NZ"/>
        </w:rPr>
        <w:t xml:space="preserve">The Republic of Korea </w:t>
      </w:r>
      <w:r w:rsidRPr="00544EB4">
        <w:rPr>
          <w:lang w:val="en-NZ"/>
        </w:rPr>
        <w:t>support</w:t>
      </w:r>
      <w:r>
        <w:rPr>
          <w:lang w:val="en-NZ"/>
        </w:rPr>
        <w:t xml:space="preserve">s Approach B </w:t>
      </w:r>
      <w:r>
        <w:rPr>
          <w:lang w:eastAsia="ko-KR"/>
        </w:rPr>
        <w:t>provided in the CPM Report</w:t>
      </w:r>
      <w:r>
        <w:rPr>
          <w:lang w:val="en-NZ"/>
        </w:rPr>
        <w:t xml:space="preserve"> </w:t>
      </w:r>
      <w:r>
        <w:rPr>
          <w:spacing w:val="-2"/>
        </w:rPr>
        <w:t>t</w:t>
      </w:r>
      <w:r w:rsidRPr="00265951">
        <w:rPr>
          <w:spacing w:val="-2"/>
        </w:rPr>
        <w:t xml:space="preserve">o </w:t>
      </w:r>
      <w:r>
        <w:rPr>
          <w:spacing w:val="-2"/>
          <w:lang w:eastAsia="ko-KR"/>
        </w:rPr>
        <w:t xml:space="preserve">update both footnotes of RR Nos. </w:t>
      </w:r>
      <w:r w:rsidRPr="003E51A3">
        <w:rPr>
          <w:b/>
          <w:spacing w:val="-2"/>
          <w:lang w:eastAsia="ko-KR"/>
        </w:rPr>
        <w:t>5.447F</w:t>
      </w:r>
      <w:r>
        <w:rPr>
          <w:spacing w:val="-2"/>
          <w:lang w:eastAsia="ko-KR"/>
        </w:rPr>
        <w:t xml:space="preserve"> and </w:t>
      </w:r>
      <w:r w:rsidRPr="003E51A3">
        <w:rPr>
          <w:b/>
          <w:spacing w:val="-2"/>
          <w:lang w:eastAsia="ko-KR"/>
        </w:rPr>
        <w:t>5.450A</w:t>
      </w:r>
      <w:r>
        <w:rPr>
          <w:spacing w:val="-2"/>
          <w:lang w:eastAsia="ko-KR"/>
        </w:rPr>
        <w:t xml:space="preserve"> by </w:t>
      </w:r>
      <w:bookmarkStart w:id="1" w:name="_Hlk11427259"/>
      <w:r>
        <w:rPr>
          <w:spacing w:val="-2"/>
          <w:lang w:eastAsia="ko-KR"/>
        </w:rPr>
        <w:t xml:space="preserve">removing the references to the Recommendations and replacing them with references to RR No. </w:t>
      </w:r>
      <w:r w:rsidRPr="00687027">
        <w:rPr>
          <w:b/>
          <w:spacing w:val="-2"/>
          <w:lang w:eastAsia="ko-KR"/>
        </w:rPr>
        <w:t>5.446A</w:t>
      </w:r>
      <w:bookmarkEnd w:id="1"/>
      <w:r>
        <w:rPr>
          <w:spacing w:val="-2"/>
        </w:rPr>
        <w:t>.</w:t>
      </w:r>
    </w:p>
    <w:p w:rsidR="002A0111" w:rsidRPr="00441526" w:rsidRDefault="002A0111" w:rsidP="002A0111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:rsidR="00713C4A" w:rsidRDefault="00713C4A" w:rsidP="00713C4A">
      <w:pPr>
        <w:jc w:val="both"/>
        <w:rPr>
          <w:lang w:val="en-NZ"/>
        </w:rPr>
      </w:pPr>
      <w:r w:rsidRPr="0019769D">
        <w:rPr>
          <w:rFonts w:eastAsiaTheme="minorEastAsia"/>
          <w:iCs/>
          <w:lang w:eastAsia="zh-CN"/>
        </w:rPr>
        <w:t>During the drafting group sessions, some issues have been raised by APT Members as below:</w:t>
      </w:r>
    </w:p>
    <w:p w:rsidR="00713C4A" w:rsidRPr="00441526" w:rsidRDefault="007B6170" w:rsidP="00713C4A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>
        <w:rPr>
          <w:lang w:val="en-NZ"/>
        </w:rPr>
        <w:t>Although</w:t>
      </w:r>
      <w:r w:rsidR="00713C4A">
        <w:rPr>
          <w:lang w:val="en-NZ"/>
        </w:rPr>
        <w:t xml:space="preserve"> some APT Members support Approach B or modified Approach B</w:t>
      </w:r>
      <w:r>
        <w:rPr>
          <w:lang w:val="en-NZ"/>
        </w:rPr>
        <w:t>, these Members do not oppose Approach A as the PACP for this issue. With this understanding, Approach A was agreed to be the PACP for this issue.</w:t>
      </w:r>
    </w:p>
    <w:p w:rsidR="009465A6" w:rsidRPr="00713C4A" w:rsidRDefault="009465A6" w:rsidP="003D3D47">
      <w:pPr>
        <w:jc w:val="both"/>
        <w:rPr>
          <w:lang w:val="en-NZ"/>
        </w:rPr>
      </w:pPr>
    </w:p>
    <w:p w:rsidR="005206E9" w:rsidRDefault="005206E9">
      <w:pPr>
        <w:rPr>
          <w:b/>
          <w:lang w:val="en-NZ" w:eastAsia="ko-KR"/>
        </w:rPr>
      </w:pPr>
    </w:p>
    <w:p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  <w:t>APT View(s)</w:t>
      </w:r>
    </w:p>
    <w:p w:rsidR="00713C4A" w:rsidRPr="007B6170" w:rsidRDefault="00713C4A" w:rsidP="00713C4A">
      <w:pPr>
        <w:numPr>
          <w:ilvl w:val="0"/>
          <w:numId w:val="18"/>
        </w:numPr>
        <w:ind w:leftChars="145" w:left="708"/>
        <w:rPr>
          <w:lang w:val="en-NZ"/>
        </w:rPr>
      </w:pPr>
      <w:bookmarkStart w:id="2" w:name="_Hlk15760966"/>
      <w:r w:rsidRPr="00713C4A">
        <w:rPr>
          <w:rFonts w:hint="eastAsia"/>
          <w:lang w:val="en-NZ"/>
        </w:rPr>
        <w:t xml:space="preserve">APT </w:t>
      </w:r>
      <w:r w:rsidRPr="00713C4A">
        <w:rPr>
          <w:lang w:val="en-NZ"/>
        </w:rPr>
        <w:t>M</w:t>
      </w:r>
      <w:r w:rsidRPr="00713C4A">
        <w:rPr>
          <w:rFonts w:hint="eastAsia"/>
          <w:lang w:val="en-NZ"/>
        </w:rPr>
        <w:t xml:space="preserve">embers </w:t>
      </w:r>
      <w:r w:rsidRPr="00713C4A">
        <w:rPr>
          <w:lang w:val="en-NZ"/>
        </w:rPr>
        <w:t>support Approach A by referencing Resolution</w:t>
      </w:r>
      <w:r w:rsidRPr="00713C4A">
        <w:rPr>
          <w:b/>
          <w:lang w:val="en-NZ"/>
        </w:rPr>
        <w:t xml:space="preserve"> 229 (Rev. WRC-12)</w:t>
      </w:r>
      <w:r w:rsidRPr="00713C4A">
        <w:rPr>
          <w:lang w:val="en-NZ"/>
        </w:rPr>
        <w:t xml:space="preserve"> in RR No. </w:t>
      </w:r>
      <w:r w:rsidRPr="007B6170">
        <w:rPr>
          <w:b/>
          <w:lang w:val="en-NZ"/>
        </w:rPr>
        <w:t xml:space="preserve">5.447F </w:t>
      </w:r>
      <w:r w:rsidRPr="007B6170">
        <w:rPr>
          <w:lang w:val="en-NZ"/>
        </w:rPr>
        <w:t xml:space="preserve">and </w:t>
      </w:r>
      <w:r w:rsidRPr="007B6170">
        <w:rPr>
          <w:b/>
          <w:lang w:val="en-NZ"/>
        </w:rPr>
        <w:t>5.450A</w:t>
      </w:r>
      <w:r w:rsidRPr="0034583E">
        <w:t xml:space="preserve"> </w:t>
      </w:r>
      <w:r w:rsidRPr="00713C4A">
        <w:rPr>
          <w:lang w:val="en-NZ"/>
        </w:rPr>
        <w:t>as a long-term solution that would avoid reopening the issue of re-assessing technical and regulatory impacts when referencing new versions of ITU-R Recommendations in the future</w:t>
      </w:r>
      <w:r w:rsidRPr="00713C4A">
        <w:rPr>
          <w:rFonts w:eastAsia="Times New Roman"/>
          <w:iCs/>
          <w:szCs w:val="20"/>
          <w:lang w:val="en-AU"/>
        </w:rPr>
        <w:t>, while creating no additional constraints to the mobile service, and also ensuring protection of the radiolocation</w:t>
      </w:r>
      <w:r w:rsidRPr="007B6170">
        <w:rPr>
          <w:rFonts w:eastAsia="Times New Roman"/>
          <w:iCs/>
          <w:szCs w:val="20"/>
          <w:lang w:val="en-AU"/>
        </w:rPr>
        <w:t xml:space="preserve"> service.</w:t>
      </w:r>
      <w:bookmarkEnd w:id="2"/>
    </w:p>
    <w:p w:rsidR="002A0111" w:rsidRPr="00441526" w:rsidRDefault="002A0111" w:rsidP="002A0111">
      <w:pPr>
        <w:rPr>
          <w:lang w:val="en-NZ"/>
        </w:rPr>
      </w:pPr>
    </w:p>
    <w:p w:rsidR="002A0111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</w:r>
      <w:r w:rsidR="001A717C">
        <w:rPr>
          <w:b/>
          <w:lang w:val="en-NZ" w:eastAsia="ko-KR"/>
        </w:rPr>
        <w:t>Preliminary APT Common Proposal(s)</w:t>
      </w:r>
    </w:p>
    <w:bookmarkStart w:id="3" w:name="_MON_1626300192"/>
    <w:bookmarkEnd w:id="3"/>
    <w:p w:rsidR="007B6170" w:rsidRPr="00441526" w:rsidRDefault="00ED68AA" w:rsidP="007B6170">
      <w:pPr>
        <w:spacing w:after="120"/>
        <w:ind w:firstLineChars="300" w:firstLine="720"/>
        <w:jc w:val="both"/>
        <w:rPr>
          <w:b/>
          <w:lang w:val="en-NZ" w:eastAsia="ko-KR"/>
        </w:rPr>
      </w:pPr>
      <w:r>
        <w:rPr>
          <w:b/>
          <w:lang w:val="en-NZ" w:eastAsia="ko-KR"/>
        </w:rPr>
        <w:object w:dxaOrig="1175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42.75pt" o:ole="">
            <v:imagedata r:id="rId9" o:title=""/>
          </v:shape>
          <o:OLEObject Type="Embed" ProgID="Word.Document.12" ShapeID="_x0000_i1025" DrawAspect="Icon" ObjectID="_1626766646" r:id="rId10">
            <o:FieldCodes>\s</o:FieldCodes>
          </o:OLEObject>
        </w:object>
      </w:r>
      <w:bookmarkStart w:id="4" w:name="_GoBack"/>
      <w:bookmarkEnd w:id="4"/>
    </w:p>
    <w:sectPr w:rsidR="007B6170" w:rsidRPr="00441526" w:rsidSect="00C51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CC" w:rsidRDefault="003B20CC">
      <w:r>
        <w:separator/>
      </w:r>
    </w:p>
  </w:endnote>
  <w:endnote w:type="continuationSeparator" w:id="0">
    <w:p w:rsidR="003B20CC" w:rsidRDefault="003B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1D" w:rsidRDefault="0021451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51D" w:rsidRDefault="0021451D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1D" w:rsidRDefault="0021451D" w:rsidP="0092727B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>
      <w:rPr>
        <w:lang w:eastAsia="ko-KR"/>
      </w:rPr>
      <w:t>PG19-5/</w:t>
    </w:r>
    <w:r w:rsidR="00556A46">
      <w:rPr>
        <w:lang w:eastAsia="ko-KR"/>
      </w:rPr>
      <w:t>OUT</w:t>
    </w:r>
    <w:r>
      <w:rPr>
        <w:lang w:eastAsia="ko-KR"/>
      </w:rPr>
      <w:t>-</w:t>
    </w:r>
    <w:r w:rsidR="00556A46">
      <w:rPr>
        <w:lang w:eastAsia="ko-KR"/>
      </w:rPr>
      <w:t>37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D68AA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D68AA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5184"/>
      <w:gridCol w:w="2880"/>
    </w:tblGrid>
    <w:tr w:rsidR="0021451D" w:rsidTr="00BB0EA4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:rsidR="0021451D" w:rsidRDefault="0021451D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  <w:tcBorders>
            <w:top w:val="single" w:sz="8" w:space="0" w:color="auto"/>
            <w:left w:val="nil"/>
            <w:bottom w:val="nil"/>
            <w:right w:val="nil"/>
          </w:tcBorders>
        </w:tcPr>
        <w:p w:rsidR="0021451D" w:rsidRDefault="0021451D" w:rsidP="0092727B">
          <w:pPr>
            <w:pStyle w:val="Footer"/>
            <w:tabs>
              <w:tab w:val="clear" w:pos="4320"/>
              <w:tab w:val="clear" w:pos="8640"/>
            </w:tabs>
          </w:pPr>
          <w:r>
            <w:t>Name of the DG/WP Chairman</w:t>
          </w:r>
        </w:p>
        <w:p w:rsidR="0021451D" w:rsidRPr="002A0111" w:rsidRDefault="0021451D" w:rsidP="0092727B">
          <w:pPr>
            <w:pStyle w:val="Footer"/>
            <w:tabs>
              <w:tab w:val="clear" w:pos="4320"/>
              <w:tab w:val="clear" w:pos="8640"/>
            </w:tabs>
          </w:pPr>
          <w:r>
            <w:t>Chairman, DG AI1.x/WP x</w:t>
          </w:r>
        </w:p>
      </w:tc>
      <w:tc>
        <w:tcPr>
          <w:tcW w:w="2880" w:type="dxa"/>
          <w:tcBorders>
            <w:top w:val="single" w:sz="8" w:space="0" w:color="auto"/>
            <w:left w:val="nil"/>
            <w:bottom w:val="nil"/>
          </w:tcBorders>
        </w:tcPr>
        <w:p w:rsidR="0021451D" w:rsidRPr="0092727B" w:rsidRDefault="0021451D" w:rsidP="0092727B">
          <w:pPr>
            <w:pStyle w:val="Footer"/>
            <w:tabs>
              <w:tab w:val="clear" w:pos="4320"/>
              <w:tab w:val="clear" w:pos="8640"/>
            </w:tabs>
          </w:pPr>
          <w:r>
            <w:t>E-mail:</w:t>
          </w:r>
        </w:p>
      </w:tc>
    </w:tr>
  </w:tbl>
  <w:p w:rsidR="0021451D" w:rsidRDefault="0021451D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CC" w:rsidRDefault="003B20CC">
      <w:r>
        <w:separator/>
      </w:r>
    </w:p>
  </w:footnote>
  <w:footnote w:type="continuationSeparator" w:id="0">
    <w:p w:rsidR="003B20CC" w:rsidRDefault="003B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46" w:rsidRDefault="00556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1D" w:rsidRDefault="0021451D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:rsidR="0021451D" w:rsidRDefault="0021451D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1D" w:rsidRDefault="0021451D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66AF7"/>
    <w:multiLevelType w:val="hybridMultilevel"/>
    <w:tmpl w:val="F1504300"/>
    <w:lvl w:ilvl="0" w:tplc="2D9AF566">
      <w:start w:val="1"/>
      <w:numFmt w:val="decimal"/>
      <w:lvlText w:val="(%1)"/>
      <w:lvlJc w:val="left"/>
      <w:pPr>
        <w:ind w:left="420" w:hanging="420"/>
      </w:pPr>
    </w:lvl>
    <w:lvl w:ilvl="1" w:tplc="D90E906C">
      <w:start w:val="1"/>
      <w:numFmt w:val="decimal"/>
      <w:lvlText w:val="%2"/>
      <w:lvlJc w:val="left"/>
      <w:pPr>
        <w:ind w:left="1140" w:hanging="7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F17B17"/>
    <w:multiLevelType w:val="hybridMultilevel"/>
    <w:tmpl w:val="0A861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4" w15:restartNumberingAfterBreak="0">
    <w:nsid w:val="4B166195"/>
    <w:multiLevelType w:val="hybridMultilevel"/>
    <w:tmpl w:val="CFFC73B2"/>
    <w:lvl w:ilvl="0" w:tplc="26387F42">
      <w:start w:val="1"/>
      <w:numFmt w:val="bullet"/>
      <w:lvlText w:val="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518B"/>
    <w:multiLevelType w:val="hybridMultilevel"/>
    <w:tmpl w:val="A41EBBA0"/>
    <w:lvl w:ilvl="0" w:tplc="25105EE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60AB"/>
    <w:multiLevelType w:val="hybridMultilevel"/>
    <w:tmpl w:val="491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2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0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23"/>
  </w:num>
  <w:num w:numId="10">
    <w:abstractNumId w:val="18"/>
  </w:num>
  <w:num w:numId="11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</w:num>
  <w:num w:numId="17">
    <w:abstractNumId w:val="17"/>
  </w:num>
  <w:num w:numId="18">
    <w:abstractNumId w:val="13"/>
  </w:num>
  <w:num w:numId="19">
    <w:abstractNumId w:val="22"/>
  </w:num>
  <w:num w:numId="20">
    <w:abstractNumId w:val="9"/>
  </w:num>
  <w:num w:numId="21">
    <w:abstractNumId w:val="21"/>
  </w:num>
  <w:num w:numId="22">
    <w:abstractNumId w:val="25"/>
  </w:num>
  <w:num w:numId="23">
    <w:abstractNumId w:val="14"/>
  </w:num>
  <w:num w:numId="24">
    <w:abstractNumId w:val="19"/>
  </w:num>
  <w:num w:numId="25">
    <w:abstractNumId w:val="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379"/>
    <w:rsid w:val="00010C8E"/>
    <w:rsid w:val="0003595B"/>
    <w:rsid w:val="00036517"/>
    <w:rsid w:val="00036CC9"/>
    <w:rsid w:val="00040149"/>
    <w:rsid w:val="000474BF"/>
    <w:rsid w:val="00070642"/>
    <w:rsid w:val="000713CF"/>
    <w:rsid w:val="00075C14"/>
    <w:rsid w:val="000822B5"/>
    <w:rsid w:val="00084863"/>
    <w:rsid w:val="00094B87"/>
    <w:rsid w:val="000A012B"/>
    <w:rsid w:val="000A5418"/>
    <w:rsid w:val="000B317E"/>
    <w:rsid w:val="000C302F"/>
    <w:rsid w:val="000C6095"/>
    <w:rsid w:val="000D47FB"/>
    <w:rsid w:val="000E4A4C"/>
    <w:rsid w:val="000F345F"/>
    <w:rsid w:val="000F517C"/>
    <w:rsid w:val="000F5540"/>
    <w:rsid w:val="000F7D6C"/>
    <w:rsid w:val="00105F1A"/>
    <w:rsid w:val="00125FBD"/>
    <w:rsid w:val="00136215"/>
    <w:rsid w:val="001409B2"/>
    <w:rsid w:val="00152636"/>
    <w:rsid w:val="001539DD"/>
    <w:rsid w:val="00156782"/>
    <w:rsid w:val="00165846"/>
    <w:rsid w:val="00165F01"/>
    <w:rsid w:val="001731F4"/>
    <w:rsid w:val="001916F2"/>
    <w:rsid w:val="001930A7"/>
    <w:rsid w:val="00194450"/>
    <w:rsid w:val="00196568"/>
    <w:rsid w:val="00197C18"/>
    <w:rsid w:val="001A2F16"/>
    <w:rsid w:val="001A31BC"/>
    <w:rsid w:val="001A717C"/>
    <w:rsid w:val="001B1804"/>
    <w:rsid w:val="001B18C2"/>
    <w:rsid w:val="001C443F"/>
    <w:rsid w:val="001C61A5"/>
    <w:rsid w:val="001C6707"/>
    <w:rsid w:val="001D5D7E"/>
    <w:rsid w:val="001F5947"/>
    <w:rsid w:val="00202410"/>
    <w:rsid w:val="0021451D"/>
    <w:rsid w:val="00214A0C"/>
    <w:rsid w:val="0021588B"/>
    <w:rsid w:val="002161B6"/>
    <w:rsid w:val="002216AC"/>
    <w:rsid w:val="0023212E"/>
    <w:rsid w:val="00247377"/>
    <w:rsid w:val="002475E2"/>
    <w:rsid w:val="002506D2"/>
    <w:rsid w:val="00250DE2"/>
    <w:rsid w:val="00254A1B"/>
    <w:rsid w:val="00256723"/>
    <w:rsid w:val="0026064A"/>
    <w:rsid w:val="00264566"/>
    <w:rsid w:val="0028454D"/>
    <w:rsid w:val="00291C9E"/>
    <w:rsid w:val="002926D4"/>
    <w:rsid w:val="0029734E"/>
    <w:rsid w:val="002A0111"/>
    <w:rsid w:val="002A3CF5"/>
    <w:rsid w:val="002B06A3"/>
    <w:rsid w:val="002B435C"/>
    <w:rsid w:val="002B447F"/>
    <w:rsid w:val="002C07DA"/>
    <w:rsid w:val="002C2A49"/>
    <w:rsid w:val="002C7EA9"/>
    <w:rsid w:val="002F575D"/>
    <w:rsid w:val="002F7494"/>
    <w:rsid w:val="003113D7"/>
    <w:rsid w:val="00311E8A"/>
    <w:rsid w:val="00320234"/>
    <w:rsid w:val="00341390"/>
    <w:rsid w:val="00342F20"/>
    <w:rsid w:val="00360377"/>
    <w:rsid w:val="00366548"/>
    <w:rsid w:val="0038005B"/>
    <w:rsid w:val="003809C7"/>
    <w:rsid w:val="0038236C"/>
    <w:rsid w:val="00393DCD"/>
    <w:rsid w:val="00395B40"/>
    <w:rsid w:val="003A2006"/>
    <w:rsid w:val="003A6568"/>
    <w:rsid w:val="003B20CC"/>
    <w:rsid w:val="003B4FD1"/>
    <w:rsid w:val="003B6263"/>
    <w:rsid w:val="003C29E6"/>
    <w:rsid w:val="003C64A7"/>
    <w:rsid w:val="003D1128"/>
    <w:rsid w:val="003D1671"/>
    <w:rsid w:val="003D3D47"/>
    <w:rsid w:val="003D3FDA"/>
    <w:rsid w:val="003D6D00"/>
    <w:rsid w:val="003E166F"/>
    <w:rsid w:val="003F307E"/>
    <w:rsid w:val="004001E5"/>
    <w:rsid w:val="0041313C"/>
    <w:rsid w:val="00417218"/>
    <w:rsid w:val="00420822"/>
    <w:rsid w:val="00420C74"/>
    <w:rsid w:val="00441526"/>
    <w:rsid w:val="004465AA"/>
    <w:rsid w:val="00446A5E"/>
    <w:rsid w:val="00451770"/>
    <w:rsid w:val="0045458F"/>
    <w:rsid w:val="004579BE"/>
    <w:rsid w:val="00460215"/>
    <w:rsid w:val="004633B4"/>
    <w:rsid w:val="00495CED"/>
    <w:rsid w:val="004A29EE"/>
    <w:rsid w:val="004A2F96"/>
    <w:rsid w:val="004A4BDF"/>
    <w:rsid w:val="004B3553"/>
    <w:rsid w:val="004B3F4B"/>
    <w:rsid w:val="004C07E4"/>
    <w:rsid w:val="004C23A3"/>
    <w:rsid w:val="004E1FCA"/>
    <w:rsid w:val="004E47D6"/>
    <w:rsid w:val="004F477A"/>
    <w:rsid w:val="004F78A1"/>
    <w:rsid w:val="00503189"/>
    <w:rsid w:val="00504750"/>
    <w:rsid w:val="00516BD1"/>
    <w:rsid w:val="005206E9"/>
    <w:rsid w:val="0052356A"/>
    <w:rsid w:val="00526D01"/>
    <w:rsid w:val="00530E8C"/>
    <w:rsid w:val="00535D34"/>
    <w:rsid w:val="005371EB"/>
    <w:rsid w:val="005375AD"/>
    <w:rsid w:val="00545933"/>
    <w:rsid w:val="0055091E"/>
    <w:rsid w:val="00552105"/>
    <w:rsid w:val="005562F2"/>
    <w:rsid w:val="00556A46"/>
    <w:rsid w:val="00557544"/>
    <w:rsid w:val="00565BBB"/>
    <w:rsid w:val="005811B6"/>
    <w:rsid w:val="00585F3C"/>
    <w:rsid w:val="00586CA0"/>
    <w:rsid w:val="00587875"/>
    <w:rsid w:val="005A63EB"/>
    <w:rsid w:val="005B0876"/>
    <w:rsid w:val="005C33B6"/>
    <w:rsid w:val="005D6202"/>
    <w:rsid w:val="005D6E98"/>
    <w:rsid w:val="005E72EB"/>
    <w:rsid w:val="00607E2B"/>
    <w:rsid w:val="006139D6"/>
    <w:rsid w:val="00616D1B"/>
    <w:rsid w:val="00623CE1"/>
    <w:rsid w:val="00627880"/>
    <w:rsid w:val="00630557"/>
    <w:rsid w:val="0063062B"/>
    <w:rsid w:val="00634A82"/>
    <w:rsid w:val="00637351"/>
    <w:rsid w:val="00646166"/>
    <w:rsid w:val="00654896"/>
    <w:rsid w:val="006621F0"/>
    <w:rsid w:val="006647BA"/>
    <w:rsid w:val="00667229"/>
    <w:rsid w:val="00682BE5"/>
    <w:rsid w:val="00683846"/>
    <w:rsid w:val="00690FED"/>
    <w:rsid w:val="006939A5"/>
    <w:rsid w:val="006B3BE8"/>
    <w:rsid w:val="006B483F"/>
    <w:rsid w:val="006C57F4"/>
    <w:rsid w:val="006D5223"/>
    <w:rsid w:val="006D5970"/>
    <w:rsid w:val="006E12FC"/>
    <w:rsid w:val="006F0F24"/>
    <w:rsid w:val="006F2B2E"/>
    <w:rsid w:val="006F6A5C"/>
    <w:rsid w:val="00703F6F"/>
    <w:rsid w:val="007052B3"/>
    <w:rsid w:val="00705962"/>
    <w:rsid w:val="00707C21"/>
    <w:rsid w:val="00712451"/>
    <w:rsid w:val="00713C4A"/>
    <w:rsid w:val="00717DE9"/>
    <w:rsid w:val="0072518B"/>
    <w:rsid w:val="00731041"/>
    <w:rsid w:val="007329E4"/>
    <w:rsid w:val="00732F08"/>
    <w:rsid w:val="007342F0"/>
    <w:rsid w:val="0074190C"/>
    <w:rsid w:val="0075493D"/>
    <w:rsid w:val="00762576"/>
    <w:rsid w:val="007673CA"/>
    <w:rsid w:val="007736E1"/>
    <w:rsid w:val="00791060"/>
    <w:rsid w:val="007926EA"/>
    <w:rsid w:val="007B5626"/>
    <w:rsid w:val="007B6124"/>
    <w:rsid w:val="007B6170"/>
    <w:rsid w:val="007C7434"/>
    <w:rsid w:val="007D3C53"/>
    <w:rsid w:val="007E3A0F"/>
    <w:rsid w:val="007F2628"/>
    <w:rsid w:val="007F2FBA"/>
    <w:rsid w:val="007F32F9"/>
    <w:rsid w:val="00800C3A"/>
    <w:rsid w:val="0080570B"/>
    <w:rsid w:val="00813585"/>
    <w:rsid w:val="008148E1"/>
    <w:rsid w:val="008162E5"/>
    <w:rsid w:val="008319BF"/>
    <w:rsid w:val="008415F0"/>
    <w:rsid w:val="008433C2"/>
    <w:rsid w:val="00844457"/>
    <w:rsid w:val="008454C8"/>
    <w:rsid w:val="00851D78"/>
    <w:rsid w:val="00882E69"/>
    <w:rsid w:val="00896851"/>
    <w:rsid w:val="008A016F"/>
    <w:rsid w:val="008A1A0D"/>
    <w:rsid w:val="008A72E1"/>
    <w:rsid w:val="008A76ED"/>
    <w:rsid w:val="008B3C72"/>
    <w:rsid w:val="008C5FED"/>
    <w:rsid w:val="008D0E09"/>
    <w:rsid w:val="008F617E"/>
    <w:rsid w:val="00903007"/>
    <w:rsid w:val="00907BA9"/>
    <w:rsid w:val="00923816"/>
    <w:rsid w:val="0092727B"/>
    <w:rsid w:val="0093074B"/>
    <w:rsid w:val="00930E64"/>
    <w:rsid w:val="00943CF9"/>
    <w:rsid w:val="009465A6"/>
    <w:rsid w:val="00953846"/>
    <w:rsid w:val="00956F8C"/>
    <w:rsid w:val="00961D57"/>
    <w:rsid w:val="00976716"/>
    <w:rsid w:val="0097693B"/>
    <w:rsid w:val="00986020"/>
    <w:rsid w:val="00993355"/>
    <w:rsid w:val="009963F7"/>
    <w:rsid w:val="009A11CB"/>
    <w:rsid w:val="009A4A6D"/>
    <w:rsid w:val="009B44DD"/>
    <w:rsid w:val="009B6BD5"/>
    <w:rsid w:val="009B7E42"/>
    <w:rsid w:val="009C7235"/>
    <w:rsid w:val="009D46CE"/>
    <w:rsid w:val="009D4ADA"/>
    <w:rsid w:val="009E13DD"/>
    <w:rsid w:val="009F547A"/>
    <w:rsid w:val="00A03D78"/>
    <w:rsid w:val="00A0503B"/>
    <w:rsid w:val="00A059CD"/>
    <w:rsid w:val="00A106EE"/>
    <w:rsid w:val="00A13265"/>
    <w:rsid w:val="00A14900"/>
    <w:rsid w:val="00A2159F"/>
    <w:rsid w:val="00A324FF"/>
    <w:rsid w:val="00A40607"/>
    <w:rsid w:val="00A529BC"/>
    <w:rsid w:val="00A5346C"/>
    <w:rsid w:val="00A53F51"/>
    <w:rsid w:val="00A562F0"/>
    <w:rsid w:val="00A564FB"/>
    <w:rsid w:val="00A614C1"/>
    <w:rsid w:val="00A61EA6"/>
    <w:rsid w:val="00A61F1C"/>
    <w:rsid w:val="00A657BF"/>
    <w:rsid w:val="00A67974"/>
    <w:rsid w:val="00A71136"/>
    <w:rsid w:val="00A86562"/>
    <w:rsid w:val="00A92578"/>
    <w:rsid w:val="00AA474C"/>
    <w:rsid w:val="00AB13BD"/>
    <w:rsid w:val="00AC35EF"/>
    <w:rsid w:val="00AC4D5B"/>
    <w:rsid w:val="00AD1DDB"/>
    <w:rsid w:val="00AD235D"/>
    <w:rsid w:val="00AD2697"/>
    <w:rsid w:val="00AD7E5F"/>
    <w:rsid w:val="00AE3066"/>
    <w:rsid w:val="00AE75A7"/>
    <w:rsid w:val="00AF68E4"/>
    <w:rsid w:val="00B00A87"/>
    <w:rsid w:val="00B01AA1"/>
    <w:rsid w:val="00B023E0"/>
    <w:rsid w:val="00B06025"/>
    <w:rsid w:val="00B07636"/>
    <w:rsid w:val="00B30C81"/>
    <w:rsid w:val="00B30DA1"/>
    <w:rsid w:val="00B4793B"/>
    <w:rsid w:val="00B56099"/>
    <w:rsid w:val="00B57D77"/>
    <w:rsid w:val="00B64A60"/>
    <w:rsid w:val="00B661AC"/>
    <w:rsid w:val="00B8468D"/>
    <w:rsid w:val="00B937D7"/>
    <w:rsid w:val="00B96B67"/>
    <w:rsid w:val="00BB0EA4"/>
    <w:rsid w:val="00BC57EF"/>
    <w:rsid w:val="00BC69DB"/>
    <w:rsid w:val="00BE6B6B"/>
    <w:rsid w:val="00BF25F9"/>
    <w:rsid w:val="00C00B04"/>
    <w:rsid w:val="00C13FD5"/>
    <w:rsid w:val="00C15633"/>
    <w:rsid w:val="00C15799"/>
    <w:rsid w:val="00C32E84"/>
    <w:rsid w:val="00C35415"/>
    <w:rsid w:val="00C357AD"/>
    <w:rsid w:val="00C516C7"/>
    <w:rsid w:val="00C51C5F"/>
    <w:rsid w:val="00C53E76"/>
    <w:rsid w:val="00C554CC"/>
    <w:rsid w:val="00C6069C"/>
    <w:rsid w:val="00C70477"/>
    <w:rsid w:val="00C74745"/>
    <w:rsid w:val="00C85119"/>
    <w:rsid w:val="00C95572"/>
    <w:rsid w:val="00C95C48"/>
    <w:rsid w:val="00CA41E7"/>
    <w:rsid w:val="00CD170C"/>
    <w:rsid w:val="00CD256B"/>
    <w:rsid w:val="00CD320B"/>
    <w:rsid w:val="00CD3F37"/>
    <w:rsid w:val="00CD5431"/>
    <w:rsid w:val="00CE3B04"/>
    <w:rsid w:val="00CE4B93"/>
    <w:rsid w:val="00CF2491"/>
    <w:rsid w:val="00CF3963"/>
    <w:rsid w:val="00D00828"/>
    <w:rsid w:val="00D1252E"/>
    <w:rsid w:val="00D13D9D"/>
    <w:rsid w:val="00D14AFE"/>
    <w:rsid w:val="00D356F5"/>
    <w:rsid w:val="00D416A3"/>
    <w:rsid w:val="00D459A2"/>
    <w:rsid w:val="00D530FF"/>
    <w:rsid w:val="00D53688"/>
    <w:rsid w:val="00D5407A"/>
    <w:rsid w:val="00D57772"/>
    <w:rsid w:val="00D72AE3"/>
    <w:rsid w:val="00D75A4D"/>
    <w:rsid w:val="00D80DB5"/>
    <w:rsid w:val="00D8478B"/>
    <w:rsid w:val="00D86151"/>
    <w:rsid w:val="00D9172D"/>
    <w:rsid w:val="00D97E84"/>
    <w:rsid w:val="00DA5641"/>
    <w:rsid w:val="00DA7595"/>
    <w:rsid w:val="00DB0A68"/>
    <w:rsid w:val="00DC43A3"/>
    <w:rsid w:val="00DC4CF3"/>
    <w:rsid w:val="00DC5C01"/>
    <w:rsid w:val="00DD7C09"/>
    <w:rsid w:val="00DF0EB4"/>
    <w:rsid w:val="00DF111E"/>
    <w:rsid w:val="00E0124F"/>
    <w:rsid w:val="00E126F1"/>
    <w:rsid w:val="00E14921"/>
    <w:rsid w:val="00E20862"/>
    <w:rsid w:val="00E27C63"/>
    <w:rsid w:val="00E374C1"/>
    <w:rsid w:val="00E5762A"/>
    <w:rsid w:val="00E674D3"/>
    <w:rsid w:val="00E70FD0"/>
    <w:rsid w:val="00E72B2C"/>
    <w:rsid w:val="00E7309D"/>
    <w:rsid w:val="00E77C4B"/>
    <w:rsid w:val="00E87BD6"/>
    <w:rsid w:val="00E9301F"/>
    <w:rsid w:val="00E9690A"/>
    <w:rsid w:val="00E97DC7"/>
    <w:rsid w:val="00ED68AA"/>
    <w:rsid w:val="00EE0E5A"/>
    <w:rsid w:val="00EE5249"/>
    <w:rsid w:val="00F000EF"/>
    <w:rsid w:val="00F17B13"/>
    <w:rsid w:val="00F2504E"/>
    <w:rsid w:val="00F2585B"/>
    <w:rsid w:val="00F324E0"/>
    <w:rsid w:val="00F34253"/>
    <w:rsid w:val="00F4053F"/>
    <w:rsid w:val="00F506E7"/>
    <w:rsid w:val="00F516E7"/>
    <w:rsid w:val="00F57BF7"/>
    <w:rsid w:val="00F6263E"/>
    <w:rsid w:val="00F627C2"/>
    <w:rsid w:val="00F736FD"/>
    <w:rsid w:val="00F84067"/>
    <w:rsid w:val="00FA50B4"/>
    <w:rsid w:val="00FB6E83"/>
    <w:rsid w:val="00FC156A"/>
    <w:rsid w:val="00FD6235"/>
    <w:rsid w:val="00FE13D1"/>
    <w:rsid w:val="00FE1B96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7BC03D-D9D5-464C-8329-4362D567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qFormat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unhideWhenUsed/>
    <w:qFormat/>
    <w:rsid w:val="00D5407A"/>
    <w:rPr>
      <w:sz w:val="20"/>
      <w:szCs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uiPriority w:val="99"/>
    <w:qFormat/>
    <w:rsid w:val="00D5407A"/>
    <w:rPr>
      <w:rFonts w:eastAsia="BatangChe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unhideWhenUsed/>
    <w:qFormat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34253"/>
    <w:rPr>
      <w:rFonts w:eastAsia="BatangChe"/>
      <w:sz w:val="24"/>
      <w:szCs w:val="24"/>
    </w:rPr>
  </w:style>
  <w:style w:type="character" w:customStyle="1" w:styleId="href">
    <w:name w:val="href"/>
    <w:basedOn w:val="DefaultParagraphFont"/>
    <w:qFormat/>
    <w:rsid w:val="00907BA9"/>
  </w:style>
  <w:style w:type="character" w:customStyle="1" w:styleId="Section1Char">
    <w:name w:val="Section_1 Char"/>
    <w:link w:val="Section1"/>
    <w:qFormat/>
    <w:locked/>
    <w:rsid w:val="00907BA9"/>
    <w:rPr>
      <w:rFonts w:eastAsia="Times New Roman"/>
      <w:b/>
      <w:sz w:val="24"/>
      <w:lang w:val="en-GB"/>
    </w:rPr>
  </w:style>
  <w:style w:type="character" w:customStyle="1" w:styleId="ProposalChar">
    <w:name w:val="Proposal Char"/>
    <w:link w:val="Proposal"/>
    <w:qFormat/>
    <w:locked/>
    <w:rsid w:val="00907BA9"/>
    <w:rPr>
      <w:rFonts w:eastAsia="Times New Roman" w:hAnsi="Times New Roman Bold"/>
      <w:b/>
      <w:sz w:val="24"/>
      <w:lang w:val="en-GB"/>
    </w:rPr>
  </w:style>
  <w:style w:type="character" w:customStyle="1" w:styleId="RestitleChar">
    <w:name w:val="Res_title Char"/>
    <w:link w:val="Restitle"/>
    <w:qFormat/>
    <w:rsid w:val="00907BA9"/>
    <w:rPr>
      <w:rFonts w:ascii="Times New Roman Bold" w:eastAsia="SimSun" w:hAnsi="Times New Roman Bold"/>
      <w:b/>
      <w:sz w:val="28"/>
      <w:lang w:val="en-GB"/>
    </w:rPr>
  </w:style>
  <w:style w:type="character" w:customStyle="1" w:styleId="ResNoChar">
    <w:name w:val="Res_No Char"/>
    <w:link w:val="ResNo"/>
    <w:qFormat/>
    <w:rsid w:val="00907BA9"/>
    <w:rPr>
      <w:rFonts w:eastAsia="SimSun"/>
      <w:caps/>
      <w:sz w:val="28"/>
      <w:lang w:val="en-GB"/>
    </w:rPr>
  </w:style>
  <w:style w:type="character" w:customStyle="1" w:styleId="ArttitleCar">
    <w:name w:val="Art_title Car"/>
    <w:link w:val="Arttitle"/>
    <w:qFormat/>
    <w:locked/>
    <w:rsid w:val="00907BA9"/>
    <w:rPr>
      <w:rFonts w:eastAsia="Times New Roman"/>
      <w:b/>
      <w:sz w:val="28"/>
      <w:lang w:val="en-GB"/>
    </w:rPr>
  </w:style>
  <w:style w:type="character" w:customStyle="1" w:styleId="ArtNoChar">
    <w:name w:val="Art_No Char"/>
    <w:link w:val="ArtNo"/>
    <w:locked/>
    <w:rsid w:val="00907BA9"/>
    <w:rPr>
      <w:rFonts w:eastAsia="Times New Roman"/>
      <w:caps/>
      <w:sz w:val="28"/>
      <w:lang w:val="en-GB"/>
    </w:rPr>
  </w:style>
  <w:style w:type="paragraph" w:customStyle="1" w:styleId="ArtNo">
    <w:name w:val="Art_No"/>
    <w:basedOn w:val="Normal"/>
    <w:next w:val="Normal"/>
    <w:link w:val="ArtNoChar"/>
    <w:rsid w:val="00907B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qFormat/>
    <w:rsid w:val="00907B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SimSun" w:hAnsi="Times New Roman Bold"/>
      <w:b/>
      <w:sz w:val="28"/>
      <w:szCs w:val="20"/>
      <w:lang w:val="en-GB"/>
    </w:rPr>
  </w:style>
  <w:style w:type="paragraph" w:customStyle="1" w:styleId="Proposal">
    <w:name w:val="Proposal"/>
    <w:basedOn w:val="Normal"/>
    <w:next w:val="Normal"/>
    <w:link w:val="ProposalChar"/>
    <w:qFormat/>
    <w:rsid w:val="00907BA9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paragraph" w:customStyle="1" w:styleId="ResNo">
    <w:name w:val="Res_No"/>
    <w:basedOn w:val="Normal"/>
    <w:next w:val="Normal"/>
    <w:link w:val="ResNoChar"/>
    <w:qFormat/>
    <w:rsid w:val="00907B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caps/>
      <w:sz w:val="28"/>
      <w:szCs w:val="20"/>
      <w:lang w:val="en-GB"/>
    </w:rPr>
  </w:style>
  <w:style w:type="paragraph" w:customStyle="1" w:styleId="Section1">
    <w:name w:val="Section_1"/>
    <w:basedOn w:val="Normal"/>
    <w:link w:val="Section1Char"/>
    <w:qFormat/>
    <w:rsid w:val="00907BA9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en-GB"/>
    </w:rPr>
  </w:style>
  <w:style w:type="paragraph" w:customStyle="1" w:styleId="Arttitle">
    <w:name w:val="Art_title"/>
    <w:basedOn w:val="Normal"/>
    <w:next w:val="Normal"/>
    <w:link w:val="ArttitleCar"/>
    <w:rsid w:val="00907B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4C07E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MS Mincho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locked/>
    <w:rsid w:val="004C07E4"/>
    <w:rPr>
      <w:rFonts w:eastAsia="MS Mincho"/>
      <w:sz w:val="24"/>
      <w:lang w:val="en-GB"/>
    </w:rPr>
  </w:style>
  <w:style w:type="paragraph" w:customStyle="1" w:styleId="Call">
    <w:name w:val="Call"/>
    <w:basedOn w:val="Normal"/>
    <w:next w:val="Normal"/>
    <w:link w:val="CallChar"/>
    <w:qFormat/>
    <w:rsid w:val="004C07E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MS Mincho"/>
      <w:i/>
      <w:szCs w:val="20"/>
      <w:lang w:val="en-GB"/>
    </w:rPr>
  </w:style>
  <w:style w:type="character" w:customStyle="1" w:styleId="Artref">
    <w:name w:val="Art_ref"/>
    <w:basedOn w:val="DefaultParagraphFont"/>
    <w:qFormat/>
    <w:rsid w:val="004C07E4"/>
  </w:style>
  <w:style w:type="paragraph" w:customStyle="1" w:styleId="Normalaftertitle">
    <w:name w:val="Normal after title"/>
    <w:basedOn w:val="Normal"/>
    <w:next w:val="Normal"/>
    <w:link w:val="NormalaftertitleChar"/>
    <w:qFormat/>
    <w:rsid w:val="004C07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4C07E4"/>
    <w:rPr>
      <w:rFonts w:eastAsia="MS Mincho"/>
      <w:sz w:val="24"/>
      <w:lang w:val="en-GB"/>
    </w:rPr>
  </w:style>
  <w:style w:type="character" w:customStyle="1" w:styleId="CallChar">
    <w:name w:val="Call Char"/>
    <w:basedOn w:val="DefaultParagraphFont"/>
    <w:link w:val="Call"/>
    <w:qFormat/>
    <w:rsid w:val="004C07E4"/>
    <w:rPr>
      <w:rFonts w:eastAsia="MS Mincho"/>
      <w:i/>
      <w:sz w:val="24"/>
      <w:lang w:val="en-GB"/>
    </w:rPr>
  </w:style>
  <w:style w:type="paragraph" w:customStyle="1" w:styleId="Tablehead">
    <w:name w:val="Table_head"/>
    <w:basedOn w:val="Normal"/>
    <w:link w:val="TableheadChar"/>
    <w:qFormat/>
    <w:rsid w:val="0013621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Batang" w:hAnsi="Times New Roman Bold" w:cs="Times New Roman Bold"/>
      <w:b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qFormat/>
    <w:rsid w:val="0013621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Batang" w:hAnsi="Times New Roman Bold"/>
      <w:b/>
      <w:sz w:val="20"/>
      <w:szCs w:val="20"/>
      <w:lang w:val="en-GB"/>
    </w:rPr>
  </w:style>
  <w:style w:type="character" w:customStyle="1" w:styleId="Artdef">
    <w:name w:val="Art_def"/>
    <w:basedOn w:val="DefaultParagraphFont"/>
    <w:qFormat/>
    <w:rsid w:val="0013621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136215"/>
    <w:rPr>
      <w:b/>
      <w:color w:val="auto"/>
      <w:sz w:val="20"/>
    </w:rPr>
  </w:style>
  <w:style w:type="paragraph" w:customStyle="1" w:styleId="Reasons">
    <w:name w:val="Reasons"/>
    <w:basedOn w:val="Normal"/>
    <w:link w:val="ReasonsChar"/>
    <w:qFormat/>
    <w:rsid w:val="00136215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  <w:style w:type="paragraph" w:customStyle="1" w:styleId="TableTextS5">
    <w:name w:val="Table_TextS5"/>
    <w:basedOn w:val="Normal"/>
    <w:link w:val="TableTextS5Char"/>
    <w:qFormat/>
    <w:rsid w:val="0013621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ind w:left="170" w:hanging="170"/>
      <w:textAlignment w:val="baseline"/>
    </w:pPr>
    <w:rPr>
      <w:rFonts w:eastAsia="Batang"/>
      <w:sz w:val="20"/>
      <w:szCs w:val="20"/>
      <w:lang w:val="en-GB"/>
    </w:rPr>
  </w:style>
  <w:style w:type="character" w:customStyle="1" w:styleId="ReasonsChar">
    <w:name w:val="Reasons Char"/>
    <w:basedOn w:val="DefaultParagraphFont"/>
    <w:link w:val="Reasons"/>
    <w:locked/>
    <w:rsid w:val="00136215"/>
    <w:rPr>
      <w:sz w:val="24"/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136215"/>
    <w:rPr>
      <w:rFonts w:eastAsia="BatangChe"/>
      <w:noProof/>
      <w:lang w:eastAsia="ko-KR"/>
    </w:rPr>
  </w:style>
  <w:style w:type="character" w:customStyle="1" w:styleId="TableheadChar">
    <w:name w:val="Table_head Char"/>
    <w:basedOn w:val="DefaultParagraphFont"/>
    <w:link w:val="Tablehead"/>
    <w:qFormat/>
    <w:locked/>
    <w:rsid w:val="00136215"/>
    <w:rPr>
      <w:rFonts w:ascii="Times New Roman Bold" w:hAnsi="Times New Roman Bold" w:cs="Times New Roman Bold"/>
      <w:b/>
      <w:lang w:val="en-GB"/>
    </w:rPr>
  </w:style>
  <w:style w:type="character" w:customStyle="1" w:styleId="TabletitleChar">
    <w:name w:val="Table_title Char"/>
    <w:basedOn w:val="DefaultParagraphFont"/>
    <w:link w:val="Tabletitle"/>
    <w:qFormat/>
    <w:locked/>
    <w:rsid w:val="00136215"/>
    <w:rPr>
      <w:rFonts w:ascii="Times New Roman Bold" w:hAnsi="Times New Roman Bold"/>
      <w:b/>
      <w:lang w:val="en-GB"/>
    </w:rPr>
  </w:style>
  <w:style w:type="character" w:customStyle="1" w:styleId="TableTextS5Char">
    <w:name w:val="Table_TextS5 Char"/>
    <w:link w:val="TableTextS5"/>
    <w:locked/>
    <w:rsid w:val="001362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E686-4F5D-4D46-8E40-654B8846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2019-08-08T03:51:00Z</dcterms:created>
  <dcterms:modified xsi:type="dcterms:W3CDTF">2019-08-08T03:51:00Z</dcterms:modified>
</cp:coreProperties>
</file>