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0"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621"/>
        <w:gridCol w:w="2070"/>
      </w:tblGrid>
      <w:tr w:rsidR="00CF6ED6" w:rsidRPr="00891D0B" w14:paraId="669A9FEF" w14:textId="77777777" w:rsidTr="00C51458">
        <w:trPr>
          <w:cantSplit/>
          <w:trHeight w:val="288"/>
        </w:trPr>
        <w:tc>
          <w:tcPr>
            <w:tcW w:w="1399" w:type="dxa"/>
            <w:vMerge w:val="restart"/>
          </w:tcPr>
          <w:p w14:paraId="033F21F4" w14:textId="77777777" w:rsidR="00CF6ED6" w:rsidRPr="00891D0B" w:rsidRDefault="00CF6ED6" w:rsidP="00C51458">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val="en-NZ" w:eastAsia="zh-CN"/>
              </w:rPr>
              <w:drawing>
                <wp:inline distT="0" distB="0" distL="0" distR="0" wp14:anchorId="75CA4845" wp14:editId="6C437454">
                  <wp:extent cx="762635" cy="716280"/>
                  <wp:effectExtent l="0" t="0" r="0" b="762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621" w:type="dxa"/>
          </w:tcPr>
          <w:p w14:paraId="28064850" w14:textId="77777777" w:rsidR="00CF6ED6" w:rsidRPr="00891D0B" w:rsidRDefault="00CF6ED6" w:rsidP="00C51458">
            <w:pPr>
              <w:spacing w:before="40"/>
              <w:rPr>
                <w:sz w:val="22"/>
                <w:szCs w:val="22"/>
              </w:rPr>
            </w:pPr>
            <w:r w:rsidRPr="00891D0B">
              <w:rPr>
                <w:sz w:val="22"/>
                <w:szCs w:val="22"/>
              </w:rPr>
              <w:t>ASIA-PACIFIC TELECOMMUNITY</w:t>
            </w:r>
          </w:p>
        </w:tc>
        <w:tc>
          <w:tcPr>
            <w:tcW w:w="2070" w:type="dxa"/>
          </w:tcPr>
          <w:p w14:paraId="1410E129" w14:textId="77777777" w:rsidR="00CF6ED6" w:rsidRPr="00843C1A" w:rsidRDefault="00CF6ED6" w:rsidP="00C51458">
            <w:pPr>
              <w:spacing w:before="40"/>
              <w:rPr>
                <w:b/>
                <w:bCs/>
                <w:lang w:val="fr-FR"/>
              </w:rPr>
            </w:pPr>
            <w:r w:rsidRPr="00843C1A">
              <w:rPr>
                <w:b/>
                <w:lang w:val="fr-FR"/>
              </w:rPr>
              <w:t>Document</w:t>
            </w:r>
            <w:r>
              <w:rPr>
                <w:b/>
                <w:lang w:val="fr-FR"/>
              </w:rPr>
              <w:t xml:space="preserve"> No</w:t>
            </w:r>
            <w:r w:rsidRPr="00843C1A">
              <w:rPr>
                <w:b/>
                <w:lang w:val="fr-FR"/>
              </w:rPr>
              <w:t>:</w:t>
            </w:r>
          </w:p>
        </w:tc>
      </w:tr>
      <w:tr w:rsidR="00CF6ED6" w:rsidRPr="00594C2E" w14:paraId="660EDBC3" w14:textId="77777777" w:rsidTr="00C51458">
        <w:trPr>
          <w:cantSplit/>
          <w:trHeight w:val="504"/>
        </w:trPr>
        <w:tc>
          <w:tcPr>
            <w:tcW w:w="1399" w:type="dxa"/>
            <w:vMerge/>
          </w:tcPr>
          <w:p w14:paraId="54F67CF3" w14:textId="77777777" w:rsidR="00CF6ED6" w:rsidRPr="00891D0B" w:rsidRDefault="00CF6ED6" w:rsidP="00C51458"/>
        </w:tc>
        <w:tc>
          <w:tcPr>
            <w:tcW w:w="5621" w:type="dxa"/>
            <w:vAlign w:val="center"/>
          </w:tcPr>
          <w:p w14:paraId="0F244A0D" w14:textId="77777777" w:rsidR="00CF6ED6" w:rsidRDefault="00CF6ED6" w:rsidP="00C51458">
            <w:pPr>
              <w:spacing w:before="40"/>
              <w:rPr>
                <w:b/>
              </w:rPr>
            </w:pPr>
            <w:r>
              <w:rPr>
                <w:b/>
              </w:rPr>
              <w:t>The 5th Meeting of the APT Conference Preparatory</w:t>
            </w:r>
          </w:p>
          <w:p w14:paraId="7E398B0B" w14:textId="77777777" w:rsidR="00CF6ED6" w:rsidRPr="00891D0B" w:rsidRDefault="00CF6ED6" w:rsidP="00C51458">
            <w:pPr>
              <w:spacing w:line="0" w:lineRule="atLeast"/>
            </w:pPr>
            <w:r>
              <w:rPr>
                <w:b/>
              </w:rPr>
              <w:t>Group for WRC-19 (APG19-5)</w:t>
            </w:r>
          </w:p>
        </w:tc>
        <w:tc>
          <w:tcPr>
            <w:tcW w:w="2070" w:type="dxa"/>
          </w:tcPr>
          <w:p w14:paraId="0098194A" w14:textId="61EBFC6B" w:rsidR="00CF6ED6" w:rsidRPr="00594C2E" w:rsidRDefault="00CF6ED6" w:rsidP="00EA5FED">
            <w:pPr>
              <w:spacing w:before="40"/>
              <w:rPr>
                <w:b/>
                <w:bCs/>
                <w:lang w:val="en-GB"/>
              </w:rPr>
            </w:pPr>
            <w:r w:rsidRPr="00594C2E">
              <w:rPr>
                <w:b/>
                <w:bCs/>
                <w:lang w:val="en-GB"/>
              </w:rPr>
              <w:t>A</w:t>
            </w:r>
            <w:r w:rsidRPr="00594C2E">
              <w:rPr>
                <w:b/>
                <w:bCs/>
                <w:szCs w:val="30"/>
                <w:lang w:bidi="th-TH"/>
              </w:rPr>
              <w:t>PG19-5</w:t>
            </w:r>
            <w:r w:rsidRPr="00594C2E">
              <w:rPr>
                <w:b/>
                <w:bCs/>
                <w:lang w:val="en-GB"/>
              </w:rPr>
              <w:t>/</w:t>
            </w:r>
            <w:r w:rsidR="000E43BD">
              <w:rPr>
                <w:b/>
                <w:bCs/>
                <w:lang w:val="en-GB"/>
              </w:rPr>
              <w:t>OUT</w:t>
            </w:r>
            <w:r w:rsidRPr="00594C2E">
              <w:rPr>
                <w:b/>
                <w:bCs/>
                <w:lang w:val="fr-FR"/>
              </w:rPr>
              <w:t>-</w:t>
            </w:r>
            <w:r w:rsidR="00EA5FED">
              <w:rPr>
                <w:b/>
                <w:bCs/>
                <w:lang w:val="fr-FR"/>
              </w:rPr>
              <w:t>46</w:t>
            </w:r>
          </w:p>
        </w:tc>
      </w:tr>
      <w:tr w:rsidR="00CF6ED6" w:rsidRPr="00891D0B" w14:paraId="51C3945E" w14:textId="77777777" w:rsidTr="00C51458">
        <w:trPr>
          <w:cantSplit/>
          <w:trHeight w:val="288"/>
        </w:trPr>
        <w:tc>
          <w:tcPr>
            <w:tcW w:w="1399" w:type="dxa"/>
            <w:vMerge/>
          </w:tcPr>
          <w:p w14:paraId="6311A44D" w14:textId="77777777" w:rsidR="00CF6ED6" w:rsidRPr="007E1FDD" w:rsidRDefault="00CF6ED6" w:rsidP="00C51458">
            <w:pPr>
              <w:rPr>
                <w:lang w:val="en-GB"/>
              </w:rPr>
            </w:pPr>
          </w:p>
        </w:tc>
        <w:tc>
          <w:tcPr>
            <w:tcW w:w="5621" w:type="dxa"/>
            <w:vAlign w:val="bottom"/>
          </w:tcPr>
          <w:p w14:paraId="36D908D2" w14:textId="77777777" w:rsidR="00CF6ED6" w:rsidRPr="00712451" w:rsidRDefault="00CF6ED6" w:rsidP="00C51458">
            <w:pPr>
              <w:spacing w:before="40"/>
              <w:rPr>
                <w:b/>
              </w:rPr>
            </w:pPr>
            <w:r>
              <w:t>31 July – 6 August 2019</w:t>
            </w:r>
            <w:r w:rsidRPr="00891D0B">
              <w:t xml:space="preserve">, </w:t>
            </w:r>
            <w:r>
              <w:t>Tokyo, Japan</w:t>
            </w:r>
          </w:p>
        </w:tc>
        <w:tc>
          <w:tcPr>
            <w:tcW w:w="2070" w:type="dxa"/>
            <w:vAlign w:val="bottom"/>
          </w:tcPr>
          <w:p w14:paraId="3F343AE1" w14:textId="6283545E" w:rsidR="00CF6ED6" w:rsidRPr="007E1FDD" w:rsidRDefault="00EA5FED" w:rsidP="00C51458">
            <w:pPr>
              <w:spacing w:before="40"/>
              <w:rPr>
                <w:bCs/>
              </w:rPr>
            </w:pPr>
            <w:r>
              <w:rPr>
                <w:bCs/>
              </w:rPr>
              <w:t>6</w:t>
            </w:r>
            <w:r w:rsidR="00CF6ED6">
              <w:rPr>
                <w:bCs/>
              </w:rPr>
              <w:t xml:space="preserve"> </w:t>
            </w:r>
            <w:r w:rsidR="00A637E2" w:rsidRPr="00A637E2">
              <w:rPr>
                <w:rFonts w:hint="eastAsia"/>
                <w:bCs/>
              </w:rPr>
              <w:t>August</w:t>
            </w:r>
            <w:r w:rsidR="00CF6ED6">
              <w:rPr>
                <w:bCs/>
              </w:rPr>
              <w:t xml:space="preserve"> </w:t>
            </w:r>
            <w:r w:rsidR="00CF6ED6" w:rsidRPr="007E1FDD">
              <w:rPr>
                <w:bCs/>
              </w:rPr>
              <w:t>201</w:t>
            </w:r>
            <w:r w:rsidR="00CF6ED6">
              <w:rPr>
                <w:bCs/>
              </w:rPr>
              <w:t>9</w:t>
            </w:r>
          </w:p>
        </w:tc>
      </w:tr>
    </w:tbl>
    <w:p w14:paraId="571FB0B1" w14:textId="77777777" w:rsidR="00CF6ED6" w:rsidRDefault="00CF6ED6" w:rsidP="00CF6ED6">
      <w:pPr>
        <w:rPr>
          <w:lang w:eastAsia="ko-KR"/>
        </w:rPr>
      </w:pPr>
    </w:p>
    <w:p w14:paraId="0275C087" w14:textId="77777777" w:rsidR="00A94865" w:rsidRDefault="00A94865" w:rsidP="00930E64">
      <w:pPr>
        <w:jc w:val="center"/>
        <w:rPr>
          <w:lang w:val="en-NZ"/>
        </w:rPr>
      </w:pPr>
    </w:p>
    <w:p w14:paraId="2F9B930C" w14:textId="4D152963" w:rsidR="00EE4AA3" w:rsidRPr="00EE4AA3" w:rsidRDefault="000E43BD" w:rsidP="000E43BD">
      <w:pPr>
        <w:jc w:val="center"/>
        <w:rPr>
          <w:rFonts w:eastAsiaTheme="minorEastAsia"/>
          <w:lang w:val="en-NZ" w:eastAsia="zh-CN"/>
        </w:rPr>
      </w:pPr>
      <w:r>
        <w:rPr>
          <w:lang w:val="en-NZ" w:eastAsia="ko-KR"/>
        </w:rPr>
        <w:t>Working Party 6</w:t>
      </w:r>
    </w:p>
    <w:p w14:paraId="7E650A1F" w14:textId="77777777" w:rsidR="00EE4AA3" w:rsidRPr="002A0111" w:rsidRDefault="00EE4AA3" w:rsidP="00EE4AA3">
      <w:pPr>
        <w:jc w:val="center"/>
        <w:rPr>
          <w:bCs/>
          <w:caps/>
          <w:lang w:val="en-NZ"/>
        </w:rPr>
      </w:pPr>
    </w:p>
    <w:p w14:paraId="05425481" w14:textId="37E4D8AA" w:rsidR="00EE4AA3" w:rsidRDefault="00EE4AA3" w:rsidP="00EE4AA3">
      <w:pPr>
        <w:jc w:val="center"/>
        <w:rPr>
          <w:b/>
          <w:bCs/>
          <w:caps/>
          <w:lang w:val="en-NZ"/>
        </w:rPr>
      </w:pPr>
      <w:r>
        <w:rPr>
          <w:b/>
          <w:bCs/>
          <w:caps/>
          <w:lang w:val="en-NZ"/>
        </w:rPr>
        <w:t xml:space="preserve">APT VIEW AND PRELIMINARY APT COMMON PROPOSAL </w:t>
      </w:r>
    </w:p>
    <w:p w14:paraId="2E0E6746" w14:textId="2CB23ABC" w:rsidR="00B64A60" w:rsidRDefault="00EE4AA3" w:rsidP="00EE4AA3">
      <w:pPr>
        <w:jc w:val="center"/>
        <w:rPr>
          <w:rFonts w:eastAsiaTheme="minorEastAsia"/>
          <w:b/>
          <w:bCs/>
          <w:caps/>
          <w:lang w:val="en-NZ" w:eastAsia="zh-CN"/>
        </w:rPr>
      </w:pPr>
      <w:r w:rsidRPr="00441526">
        <w:rPr>
          <w:b/>
          <w:bCs/>
          <w:caps/>
          <w:lang w:val="en-NZ"/>
        </w:rPr>
        <w:t xml:space="preserve">on WRC-19 agenda item </w:t>
      </w:r>
      <w:r>
        <w:rPr>
          <w:rFonts w:eastAsiaTheme="minorEastAsia" w:hint="eastAsia"/>
          <w:b/>
          <w:bCs/>
          <w:caps/>
          <w:lang w:val="en-NZ" w:eastAsia="zh-CN"/>
        </w:rPr>
        <w:t>9.1</w:t>
      </w:r>
      <w:r w:rsidR="00B64A60" w:rsidRPr="00311E8A">
        <w:rPr>
          <w:b/>
          <w:bCs/>
          <w:caps/>
          <w:lang w:val="en-NZ"/>
        </w:rPr>
        <w:t xml:space="preserve"> </w:t>
      </w:r>
      <w:r w:rsidR="00A94865">
        <w:rPr>
          <w:rFonts w:eastAsiaTheme="minorEastAsia" w:hint="eastAsia"/>
          <w:b/>
          <w:bCs/>
          <w:caps/>
          <w:lang w:val="en-NZ" w:eastAsia="zh-CN"/>
        </w:rPr>
        <w:t>(</w:t>
      </w:r>
      <w:r w:rsidR="00363F49">
        <w:rPr>
          <w:rFonts w:eastAsiaTheme="minorEastAsia" w:hint="eastAsia"/>
          <w:b/>
          <w:bCs/>
          <w:caps/>
          <w:lang w:val="en-NZ" w:eastAsia="zh-CN"/>
        </w:rPr>
        <w:t>issue 9.1.</w:t>
      </w:r>
      <w:r w:rsidR="00FD1156">
        <w:rPr>
          <w:rFonts w:eastAsiaTheme="minorEastAsia" w:hint="eastAsia"/>
          <w:b/>
          <w:bCs/>
          <w:caps/>
          <w:lang w:val="en-NZ" w:eastAsia="zh-CN"/>
        </w:rPr>
        <w:t>7</w:t>
      </w:r>
      <w:r w:rsidR="00A94865">
        <w:rPr>
          <w:rFonts w:eastAsiaTheme="minorEastAsia"/>
          <w:b/>
          <w:bCs/>
          <w:caps/>
          <w:lang w:val="en-NZ" w:eastAsia="zh-CN"/>
        </w:rPr>
        <w:t>)</w:t>
      </w:r>
    </w:p>
    <w:p w14:paraId="4EFC834C" w14:textId="77777777" w:rsidR="007570AC" w:rsidRPr="00184DEE" w:rsidRDefault="007570AC" w:rsidP="00B64A60">
      <w:pPr>
        <w:jc w:val="center"/>
        <w:rPr>
          <w:rFonts w:eastAsiaTheme="minorEastAsia"/>
          <w:b/>
          <w:bCs/>
          <w:caps/>
          <w:lang w:val="en-NZ" w:eastAsia="zh-CN"/>
        </w:rPr>
      </w:pPr>
    </w:p>
    <w:p w14:paraId="494DF968" w14:textId="77777777" w:rsidR="00BB7C9E" w:rsidRPr="00BB7C9E" w:rsidRDefault="00BB7C9E" w:rsidP="00B64A60">
      <w:pPr>
        <w:rPr>
          <w:rFonts w:eastAsiaTheme="minorEastAsia"/>
          <w:lang w:val="en-NZ" w:eastAsia="zh-CN"/>
        </w:rPr>
      </w:pPr>
    </w:p>
    <w:p w14:paraId="2E0E6748" w14:textId="3FE18A77" w:rsidR="00B64A60" w:rsidRPr="00710333" w:rsidRDefault="00B64A60" w:rsidP="000E43BD">
      <w:pPr>
        <w:jc w:val="both"/>
        <w:rPr>
          <w:lang w:val="en-NZ"/>
        </w:rPr>
      </w:pPr>
      <w:bookmarkStart w:id="0" w:name="OLE_LINK26"/>
      <w:bookmarkStart w:id="1" w:name="OLE_LINK27"/>
      <w:r w:rsidRPr="00710333">
        <w:rPr>
          <w:b/>
          <w:lang w:val="en-NZ"/>
        </w:rPr>
        <w:t xml:space="preserve">Agenda Item </w:t>
      </w:r>
      <w:r w:rsidR="00834E47">
        <w:rPr>
          <w:rFonts w:eastAsiaTheme="minorEastAsia" w:hint="eastAsia"/>
          <w:b/>
          <w:lang w:val="en-NZ" w:eastAsia="zh-CN"/>
        </w:rPr>
        <w:t xml:space="preserve">9.1, issue </w:t>
      </w:r>
      <w:r w:rsidR="00FD1156">
        <w:rPr>
          <w:rFonts w:eastAsiaTheme="minorEastAsia" w:hint="eastAsia"/>
          <w:b/>
          <w:lang w:val="en-NZ" w:eastAsia="zh-CN"/>
        </w:rPr>
        <w:t>9.1</w:t>
      </w:r>
      <w:r w:rsidR="002C6D7C">
        <w:rPr>
          <w:rFonts w:eastAsiaTheme="minorEastAsia" w:hint="eastAsia"/>
          <w:b/>
          <w:lang w:val="en-NZ" w:eastAsia="zh-CN"/>
        </w:rPr>
        <w:t>.7</w:t>
      </w:r>
      <w:bookmarkEnd w:id="0"/>
      <w:bookmarkEnd w:id="1"/>
      <w:r w:rsidRPr="00710333">
        <w:rPr>
          <w:b/>
          <w:lang w:val="en-NZ"/>
        </w:rPr>
        <w:t>:</w:t>
      </w:r>
    </w:p>
    <w:p w14:paraId="03F571B7" w14:textId="77777777" w:rsidR="00316A36" w:rsidRPr="00B219E0" w:rsidRDefault="009A77F4" w:rsidP="00316A36">
      <w:pPr>
        <w:rPr>
          <w:rFonts w:asciiTheme="majorBidi" w:hAnsiTheme="majorBidi" w:cstheme="majorBidi"/>
          <w:i/>
          <w:iCs/>
        </w:rPr>
      </w:pPr>
      <w:r w:rsidRPr="00B219E0">
        <w:rPr>
          <w:rFonts w:asciiTheme="majorBidi" w:hAnsiTheme="majorBidi" w:cstheme="majorBidi"/>
          <w:i/>
          <w:iCs/>
        </w:rPr>
        <w:t xml:space="preserve">Issue 2) in the Annex to </w:t>
      </w:r>
      <w:r w:rsidRPr="00397954">
        <w:rPr>
          <w:rFonts w:asciiTheme="majorBidi" w:hAnsiTheme="majorBidi" w:cstheme="majorBidi"/>
          <w:i/>
          <w:iCs/>
        </w:rPr>
        <w:t>Resolution</w:t>
      </w:r>
      <w:r w:rsidRPr="009B27FD">
        <w:rPr>
          <w:rFonts w:asciiTheme="majorBidi" w:hAnsiTheme="majorBidi" w:cstheme="majorBidi"/>
          <w:b/>
          <w:i/>
          <w:iCs/>
        </w:rPr>
        <w:t xml:space="preserve"> </w:t>
      </w:r>
      <w:hyperlink r:id="rId10" w:history="1">
        <w:r w:rsidRPr="009B27FD">
          <w:rPr>
            <w:rFonts w:asciiTheme="majorBidi" w:hAnsiTheme="majorBidi" w:cstheme="majorBidi"/>
            <w:b/>
            <w:iCs/>
          </w:rPr>
          <w:t>958 (WRC-15)</w:t>
        </w:r>
      </w:hyperlink>
    </w:p>
    <w:p w14:paraId="5642D64B" w14:textId="776FA347" w:rsidR="009A77F4" w:rsidRPr="00B219E0" w:rsidRDefault="00316A36" w:rsidP="00316A36">
      <w:pPr>
        <w:rPr>
          <w:rFonts w:asciiTheme="majorBidi" w:hAnsiTheme="majorBidi" w:cstheme="majorBidi"/>
          <w:i/>
          <w:iCs/>
        </w:rPr>
      </w:pPr>
      <w:r w:rsidRPr="00B219E0">
        <w:rPr>
          <w:rFonts w:asciiTheme="majorBidi" w:hAnsiTheme="majorBidi" w:cstheme="majorBidi"/>
          <w:i/>
          <w:iCs/>
        </w:rPr>
        <w:t>2)</w:t>
      </w:r>
      <w:r w:rsidRPr="00B219E0">
        <w:rPr>
          <w:rFonts w:asciiTheme="majorBidi" w:hAnsiTheme="majorBidi" w:cstheme="majorBidi"/>
          <w:i/>
          <w:iCs/>
        </w:rPr>
        <w:tab/>
      </w:r>
      <w:r w:rsidR="009A77F4" w:rsidRPr="00B219E0">
        <w:rPr>
          <w:rFonts w:asciiTheme="majorBidi" w:hAnsiTheme="majorBidi" w:cstheme="majorBidi"/>
          <w:i/>
          <w:iCs/>
        </w:rPr>
        <w:t xml:space="preserve">Studies to examine: </w:t>
      </w:r>
    </w:p>
    <w:p w14:paraId="4EC2165F" w14:textId="77777777" w:rsidR="00FD1156" w:rsidRPr="00B219E0" w:rsidRDefault="00FD1156" w:rsidP="009750F9">
      <w:pPr>
        <w:jc w:val="both"/>
        <w:rPr>
          <w:rFonts w:asciiTheme="majorBidi" w:hAnsiTheme="majorBidi" w:cstheme="majorBidi"/>
          <w:i/>
          <w:iCs/>
        </w:rPr>
      </w:pPr>
      <w:r w:rsidRPr="00B219E0">
        <w:rPr>
          <w:rFonts w:asciiTheme="majorBidi" w:hAnsiTheme="majorBidi" w:cstheme="majorBidi"/>
          <w:i/>
          <w:iCs/>
        </w:rPr>
        <w:t>a)</w:t>
      </w:r>
      <w:r w:rsidRPr="00B219E0">
        <w:rPr>
          <w:rFonts w:asciiTheme="majorBidi" w:hAnsiTheme="majorBidi" w:cstheme="majorBidi"/>
          <w:i/>
          <w:iCs/>
        </w:rPr>
        <w:tab/>
        <w:t xml:space="preserve">whether there is a need for possible additional measures in order to limit uplink transmissions of terminals to those authorized terminals in accordance with No. </w:t>
      </w:r>
      <w:r w:rsidRPr="00B219E0">
        <w:rPr>
          <w:rFonts w:asciiTheme="majorBidi" w:hAnsiTheme="majorBidi" w:cstheme="majorBidi"/>
          <w:b/>
          <w:bCs/>
          <w:i/>
          <w:iCs/>
        </w:rPr>
        <w:t>18.1</w:t>
      </w:r>
      <w:r w:rsidRPr="00B219E0">
        <w:rPr>
          <w:rFonts w:asciiTheme="majorBidi" w:hAnsiTheme="majorBidi" w:cstheme="majorBidi"/>
          <w:i/>
          <w:iCs/>
        </w:rPr>
        <w:t>;</w:t>
      </w:r>
    </w:p>
    <w:p w14:paraId="2E0E674A" w14:textId="38FC686C" w:rsidR="00B64A60" w:rsidRDefault="00FD1156" w:rsidP="009750F9">
      <w:pPr>
        <w:jc w:val="both"/>
        <w:rPr>
          <w:rFonts w:asciiTheme="majorBidi" w:eastAsiaTheme="minorEastAsia" w:hAnsiTheme="majorBidi" w:cstheme="majorBidi"/>
          <w:i/>
          <w:iCs/>
          <w:lang w:eastAsia="zh-CN"/>
        </w:rPr>
      </w:pPr>
      <w:r w:rsidRPr="00B219E0">
        <w:rPr>
          <w:rFonts w:asciiTheme="majorBidi" w:hAnsiTheme="majorBidi" w:cstheme="majorBidi"/>
          <w:i/>
          <w:iCs/>
        </w:rPr>
        <w:t>b)</w:t>
      </w:r>
      <w:r w:rsidRPr="00B219E0">
        <w:rPr>
          <w:rFonts w:asciiTheme="majorBidi" w:hAnsiTheme="majorBidi" w:cstheme="majorBidi"/>
          <w:i/>
          <w:iCs/>
        </w:rPr>
        <w:tab/>
        <w:t>the possible methods that will assist administrations in managing the unauthorized operation of earth station terminals deployed within its territory, as a tool to guide their national spectrum management programme, in accordance with Resolution ITU-R 64 (RA-15).</w:t>
      </w:r>
    </w:p>
    <w:p w14:paraId="463EBECA" w14:textId="77777777" w:rsidR="00FD1156" w:rsidRDefault="00FD1156" w:rsidP="00FD1156">
      <w:pPr>
        <w:rPr>
          <w:rFonts w:eastAsiaTheme="minorEastAsia"/>
          <w:lang w:val="en-NZ" w:eastAsia="zh-CN"/>
        </w:rPr>
      </w:pPr>
    </w:p>
    <w:p w14:paraId="2241C3CB" w14:textId="77777777" w:rsidR="001269DB" w:rsidRPr="00FD1156" w:rsidRDefault="001269DB" w:rsidP="00FD1156">
      <w:pPr>
        <w:rPr>
          <w:rFonts w:eastAsiaTheme="minorEastAsia"/>
          <w:lang w:val="en-NZ" w:eastAsia="zh-CN"/>
        </w:rPr>
      </w:pPr>
    </w:p>
    <w:p w14:paraId="2E0E674B" w14:textId="3020A2A2" w:rsidR="00B64A60" w:rsidRPr="00B22BD2" w:rsidRDefault="00B64A60" w:rsidP="00E04D00">
      <w:pPr>
        <w:pStyle w:val="Heading1"/>
        <w:numPr>
          <w:ilvl w:val="0"/>
          <w:numId w:val="22"/>
        </w:numPr>
        <w:spacing w:line="360" w:lineRule="auto"/>
        <w:jc w:val="left"/>
        <w:rPr>
          <w:u w:val="none"/>
          <w:lang w:val="en-NZ" w:eastAsia="ko-KR"/>
        </w:rPr>
      </w:pPr>
      <w:r w:rsidRPr="005D1FE8">
        <w:rPr>
          <w:u w:val="none"/>
          <w:lang w:val="en-NZ" w:eastAsia="ko-KR"/>
        </w:rPr>
        <w:t>Background</w:t>
      </w:r>
    </w:p>
    <w:p w14:paraId="0B8203F3" w14:textId="7B70DAC7" w:rsidR="00F44A65" w:rsidRPr="00B219E0" w:rsidRDefault="00F44A65" w:rsidP="00F3356B">
      <w:pPr>
        <w:pStyle w:val="NormalWeb"/>
        <w:spacing w:before="0" w:beforeAutospacing="0"/>
        <w:jc w:val="both"/>
      </w:pPr>
      <w:bookmarkStart w:id="2" w:name="OLE_LINK8"/>
      <w:r w:rsidRPr="00B219E0">
        <w:t>While the 2015 ITU Radiocommunication Assembly (RA</w:t>
      </w:r>
      <w:r w:rsidR="004B427A" w:rsidRPr="00B219E0">
        <w:rPr>
          <w:rFonts w:eastAsiaTheme="minorEastAsia"/>
          <w:lang w:eastAsia="zh-CN"/>
        </w:rPr>
        <w:t>-</w:t>
      </w:r>
      <w:r w:rsidRPr="00B219E0">
        <w:t xml:space="preserve">15) addressed this matter through the establishment of Resolution ITU-R 64 </w:t>
      </w:r>
      <w:r w:rsidRPr="00B219E0">
        <w:rPr>
          <w:rFonts w:cs="Segoe UI"/>
          <w:i/>
          <w:color w:val="000000"/>
        </w:rPr>
        <w:t>Guidelines for the management of unauthorized operation of earth station terminals</w:t>
      </w:r>
      <w:r w:rsidRPr="00B219E0">
        <w:rPr>
          <w:rFonts w:cs="Segoe UI"/>
          <w:color w:val="000000"/>
        </w:rPr>
        <w:t>, WRC-15 subsequently included further studies under Issue</w:t>
      </w:r>
      <w:r w:rsidRPr="00B219E0">
        <w:rPr>
          <w:rFonts w:eastAsiaTheme="minorEastAsia" w:cs="Segoe UI"/>
          <w:color w:val="000000"/>
          <w:lang w:eastAsia="zh-CN"/>
        </w:rPr>
        <w:t xml:space="preserve"> </w:t>
      </w:r>
      <w:r w:rsidRPr="00B219E0">
        <w:rPr>
          <w:rFonts w:cs="Segoe UI"/>
          <w:color w:val="000000"/>
        </w:rPr>
        <w:t xml:space="preserve">2 Annexed to Resolution </w:t>
      </w:r>
      <w:r w:rsidRPr="00B219E0">
        <w:rPr>
          <w:rFonts w:cs="Segoe UI"/>
          <w:b/>
          <w:color w:val="000000"/>
        </w:rPr>
        <w:t>958 (WRC</w:t>
      </w:r>
      <w:r w:rsidR="00397954">
        <w:rPr>
          <w:rFonts w:asciiTheme="minorEastAsia" w:eastAsiaTheme="minorEastAsia" w:hAnsiTheme="minorEastAsia" w:cs="Segoe UI" w:hint="eastAsia"/>
          <w:b/>
          <w:color w:val="000000"/>
          <w:lang w:eastAsia="zh-CN"/>
        </w:rPr>
        <w:t>-</w:t>
      </w:r>
      <w:r w:rsidR="00397954">
        <w:rPr>
          <w:rFonts w:eastAsiaTheme="minorEastAsia" w:cs="Segoe UI" w:hint="eastAsia"/>
          <w:b/>
          <w:color w:val="000000"/>
          <w:lang w:eastAsia="zh-CN"/>
        </w:rPr>
        <w:t>15</w:t>
      </w:r>
      <w:r w:rsidRPr="00B219E0">
        <w:rPr>
          <w:rFonts w:cs="Segoe UI"/>
          <w:b/>
          <w:color w:val="000000"/>
        </w:rPr>
        <w:t>)</w:t>
      </w:r>
      <w:r w:rsidRPr="00B219E0">
        <w:rPr>
          <w:rFonts w:cs="Segoe UI"/>
          <w:color w:val="000000"/>
        </w:rPr>
        <w:t xml:space="preserve">. </w:t>
      </w:r>
    </w:p>
    <w:p w14:paraId="15DE373B" w14:textId="0258F379" w:rsidR="00F44A65" w:rsidRPr="004B427A" w:rsidRDefault="00F44A65" w:rsidP="00497B6C">
      <w:pPr>
        <w:pStyle w:val="NormalWeb"/>
        <w:spacing w:before="0" w:beforeAutospacing="0"/>
        <w:jc w:val="both"/>
        <w:rPr>
          <w:rFonts w:eastAsiaTheme="minorEastAsia"/>
          <w:lang w:eastAsia="zh-CN"/>
        </w:rPr>
      </w:pPr>
      <w:r w:rsidRPr="00B219E0">
        <w:t xml:space="preserve">The Annex to Resolution </w:t>
      </w:r>
      <w:r w:rsidRPr="00B219E0">
        <w:rPr>
          <w:b/>
        </w:rPr>
        <w:t>958 (WRC-15)</w:t>
      </w:r>
      <w:r w:rsidRPr="00B219E0">
        <w:t xml:space="preserve"> sought urgent studies for the 2019 World Radiocommunication Conference. The studies (the responsibility of ITU-R Working Party 1B) are to consider if</w:t>
      </w:r>
      <w:r w:rsidRPr="00B219E0">
        <w:rPr>
          <w:lang w:val="en-GB"/>
        </w:rPr>
        <w:t xml:space="preserve"> there is a need for possible additional measures in order to limit uplink transmissions of terminals to those authorised terminals in accordance with RR No.</w:t>
      </w:r>
      <w:r w:rsidRPr="00B219E0">
        <w:rPr>
          <w:rFonts w:eastAsiaTheme="minorEastAsia"/>
          <w:b/>
          <w:bCs/>
          <w:lang w:val="en-GB" w:eastAsia="zh-CN"/>
        </w:rPr>
        <w:t xml:space="preserve"> </w:t>
      </w:r>
      <w:r w:rsidRPr="00B219E0">
        <w:rPr>
          <w:b/>
          <w:bCs/>
          <w:lang w:val="en-GB"/>
        </w:rPr>
        <w:t>18.1</w:t>
      </w:r>
      <w:r w:rsidRPr="00B219E0">
        <w:rPr>
          <w:lang w:val="en-GB"/>
        </w:rPr>
        <w:t>, and possible methods to ‘assist administrations in managing the unauthorized operation of earth station terminals deployed within its territory, as a tool to guide their national spectrum management programme,’ in accordance with Resolution</w:t>
      </w:r>
      <w:r w:rsidRPr="00B219E0">
        <w:rPr>
          <w:rFonts w:eastAsiaTheme="minorEastAsia"/>
          <w:lang w:val="en-GB" w:eastAsia="zh-CN"/>
        </w:rPr>
        <w:t xml:space="preserve"> </w:t>
      </w:r>
      <w:r w:rsidR="004B427A" w:rsidRPr="00B219E0">
        <w:rPr>
          <w:lang w:val="en-GB"/>
        </w:rPr>
        <w:t>ITU</w:t>
      </w:r>
      <w:r w:rsidR="004B427A" w:rsidRPr="00B219E0">
        <w:rPr>
          <w:rFonts w:eastAsiaTheme="minorEastAsia"/>
          <w:lang w:val="en-GB" w:eastAsia="zh-CN"/>
        </w:rPr>
        <w:t>-</w:t>
      </w:r>
      <w:r w:rsidRPr="00B219E0">
        <w:rPr>
          <w:lang w:val="en-GB"/>
        </w:rPr>
        <w:t>R</w:t>
      </w:r>
      <w:r w:rsidRPr="00B219E0">
        <w:rPr>
          <w:rFonts w:eastAsiaTheme="minorEastAsia"/>
          <w:lang w:val="en-GB" w:eastAsia="zh-CN"/>
        </w:rPr>
        <w:t xml:space="preserve"> </w:t>
      </w:r>
      <w:r w:rsidRPr="003F4789">
        <w:rPr>
          <w:b/>
          <w:lang w:val="en-GB"/>
        </w:rPr>
        <w:t>64</w:t>
      </w:r>
      <w:r w:rsidRPr="00B219E0">
        <w:rPr>
          <w:lang w:val="en-GB"/>
        </w:rPr>
        <w:t xml:space="preserve"> (</w:t>
      </w:r>
      <w:r w:rsidRPr="003F4789">
        <w:rPr>
          <w:b/>
          <w:lang w:val="en-GB"/>
        </w:rPr>
        <w:t>RA</w:t>
      </w:r>
      <w:r w:rsidR="004B427A" w:rsidRPr="003F4789">
        <w:rPr>
          <w:rFonts w:eastAsiaTheme="minorEastAsia"/>
          <w:b/>
          <w:lang w:val="en-GB" w:eastAsia="zh-CN"/>
        </w:rPr>
        <w:t>-</w:t>
      </w:r>
      <w:r w:rsidRPr="003F4789">
        <w:rPr>
          <w:b/>
          <w:lang w:val="en-GB"/>
        </w:rPr>
        <w:t>15</w:t>
      </w:r>
      <w:r w:rsidRPr="00B219E0">
        <w:rPr>
          <w:lang w:val="en-GB"/>
        </w:rPr>
        <w:t>).</w:t>
      </w:r>
      <w:r w:rsidR="004B427A">
        <w:t xml:space="preserve"> </w:t>
      </w:r>
    </w:p>
    <w:p w14:paraId="38B22A14" w14:textId="032A9790" w:rsidR="000F7521" w:rsidRPr="009527D6" w:rsidRDefault="00787806" w:rsidP="009527D6">
      <w:pPr>
        <w:spacing w:afterLines="100" w:after="240"/>
        <w:jc w:val="both"/>
        <w:rPr>
          <w:rFonts w:asciiTheme="majorBidi" w:eastAsiaTheme="minorEastAsia" w:hAnsiTheme="majorBidi"/>
          <w:lang w:eastAsia="zh-CN"/>
        </w:rPr>
      </w:pPr>
      <w:r w:rsidRPr="003F4789">
        <w:rPr>
          <w:rFonts w:asciiTheme="majorBidi" w:hAnsiTheme="majorBidi"/>
        </w:rPr>
        <w:t>Studies under WRC-19 agenda item 9.1</w:t>
      </w:r>
      <w:r w:rsidR="009527D6">
        <w:rPr>
          <w:rFonts w:asciiTheme="majorBidi" w:eastAsiaTheme="minorEastAsia" w:hAnsiTheme="majorBidi" w:hint="eastAsia"/>
          <w:lang w:eastAsia="zh-CN"/>
        </w:rPr>
        <w:t>,</w:t>
      </w:r>
      <w:r w:rsidRPr="003F4789">
        <w:rPr>
          <w:rFonts w:asciiTheme="majorBidi" w:hAnsiTheme="majorBidi"/>
        </w:rPr>
        <w:t xml:space="preserve"> issue 9.1.7 examined the need for additional measures to limit uplink transmissions of terminals to authorized ones and possible methods to assist administrations in managing unauthorized operation of earth </w:t>
      </w:r>
      <w:r w:rsidR="004D4CA3">
        <w:rPr>
          <w:rFonts w:asciiTheme="majorBidi" w:eastAsiaTheme="minorEastAsia" w:hAnsiTheme="majorBidi" w:hint="eastAsia"/>
          <w:lang w:eastAsia="zh-CN"/>
        </w:rPr>
        <w:t>stations</w:t>
      </w:r>
      <w:r w:rsidRPr="003F4789">
        <w:rPr>
          <w:rFonts w:asciiTheme="majorBidi" w:hAnsiTheme="majorBidi"/>
        </w:rPr>
        <w:t xml:space="preserve">. </w:t>
      </w:r>
      <w:r w:rsidR="003F4789">
        <w:rPr>
          <w:rFonts w:asciiTheme="majorBidi" w:hAnsiTheme="majorBidi"/>
        </w:rPr>
        <w:t>A</w:t>
      </w:r>
      <w:r w:rsidR="003F4789" w:rsidRPr="003F4789">
        <w:rPr>
          <w:rFonts w:eastAsiaTheme="minorEastAsia"/>
          <w:lang w:eastAsia="zh-CN"/>
        </w:rPr>
        <w:t xml:space="preserve">t the </w:t>
      </w:r>
      <w:r w:rsidR="003F4789" w:rsidRPr="003F4789">
        <w:rPr>
          <w:lang w:eastAsia="zh-CN"/>
        </w:rPr>
        <w:t xml:space="preserve">June 2018 meeting, WP1B </w:t>
      </w:r>
      <w:r w:rsidR="009527D6">
        <w:rPr>
          <w:rFonts w:eastAsiaTheme="minorEastAsia" w:hint="eastAsia"/>
          <w:lang w:eastAsia="zh-CN"/>
        </w:rPr>
        <w:t>completed the studies and</w:t>
      </w:r>
      <w:r w:rsidR="003F4789" w:rsidRPr="003F4789">
        <w:rPr>
          <w:lang w:eastAsia="zh-CN"/>
        </w:rPr>
        <w:t xml:space="preserve"> finalized the d</w:t>
      </w:r>
      <w:r w:rsidR="003F4789" w:rsidRPr="003F4789">
        <w:t>raft CPM text</w:t>
      </w:r>
      <w:r w:rsidR="009527D6">
        <w:rPr>
          <w:rFonts w:eastAsiaTheme="minorEastAsia" w:hint="eastAsia"/>
          <w:lang w:eastAsia="zh-CN"/>
        </w:rPr>
        <w:t xml:space="preserve"> on this agenda item</w:t>
      </w:r>
      <w:r w:rsidR="003F4789" w:rsidRPr="003F4789">
        <w:t xml:space="preserve"> (see Doc</w:t>
      </w:r>
      <w:r w:rsidR="006E06B6">
        <w:t>ument</w:t>
      </w:r>
      <w:r w:rsidR="003F4789" w:rsidRPr="003F4789">
        <w:t> </w:t>
      </w:r>
      <w:r w:rsidR="0044511E" w:rsidRPr="0044511E">
        <w:rPr>
          <w:rStyle w:val="Hyperlink"/>
          <w:spacing w:val="-2"/>
        </w:rPr>
        <w:t xml:space="preserve"> CPM19-2/1-E</w:t>
      </w:r>
      <w:r w:rsidR="003F4789" w:rsidRPr="003F4789">
        <w:t>)</w:t>
      </w:r>
      <w:r w:rsidR="003F4789" w:rsidRPr="003F4789">
        <w:rPr>
          <w:lang w:eastAsia="zh-CN"/>
        </w:rPr>
        <w:t>.</w:t>
      </w:r>
      <w:r w:rsidR="009527D6">
        <w:rPr>
          <w:rFonts w:eastAsiaTheme="minorEastAsia" w:hint="eastAsia"/>
          <w:lang w:eastAsia="zh-CN"/>
        </w:rPr>
        <w:t xml:space="preserve"> </w:t>
      </w:r>
      <w:r w:rsidR="004D4CA3" w:rsidRPr="009527D6">
        <w:rPr>
          <w:rFonts w:asciiTheme="majorBidi" w:hAnsiTheme="majorBidi" w:hint="eastAsia"/>
        </w:rPr>
        <w:t xml:space="preserve">At the </w:t>
      </w:r>
      <w:r w:rsidR="004D4CA3" w:rsidRPr="009527D6">
        <w:rPr>
          <w:rFonts w:asciiTheme="majorBidi" w:hAnsiTheme="majorBidi"/>
        </w:rPr>
        <w:t>February</w:t>
      </w:r>
      <w:r w:rsidR="004D4CA3" w:rsidRPr="009527D6">
        <w:rPr>
          <w:rFonts w:asciiTheme="majorBidi" w:hAnsiTheme="majorBidi" w:hint="eastAsia"/>
        </w:rPr>
        <w:t xml:space="preserve"> </w:t>
      </w:r>
      <w:r w:rsidR="009527D6">
        <w:rPr>
          <w:rFonts w:asciiTheme="majorBidi" w:eastAsiaTheme="minorEastAsia" w:hAnsiTheme="majorBidi" w:hint="eastAsia"/>
          <w:lang w:eastAsia="zh-CN"/>
        </w:rPr>
        <w:t>2019</w:t>
      </w:r>
      <w:r w:rsidR="00120F6E" w:rsidRPr="00120F6E">
        <w:rPr>
          <w:rFonts w:asciiTheme="majorBidi" w:hAnsiTheme="majorBidi"/>
        </w:rPr>
        <w:t xml:space="preserve"> </w:t>
      </w:r>
      <w:r w:rsidR="00120F6E" w:rsidRPr="009527D6">
        <w:rPr>
          <w:rFonts w:asciiTheme="majorBidi" w:hAnsiTheme="majorBidi"/>
        </w:rPr>
        <w:t>Meeting</w:t>
      </w:r>
      <w:r w:rsidR="009527D6">
        <w:rPr>
          <w:rFonts w:asciiTheme="majorBidi" w:eastAsiaTheme="minorEastAsia" w:hAnsiTheme="majorBidi" w:hint="eastAsia"/>
          <w:lang w:eastAsia="zh-CN"/>
        </w:rPr>
        <w:t xml:space="preserve">, </w:t>
      </w:r>
      <w:r w:rsidR="00120F6E">
        <w:rPr>
          <w:rFonts w:asciiTheme="majorBidi" w:eastAsiaTheme="minorEastAsia" w:hAnsiTheme="majorBidi" w:hint="eastAsia"/>
          <w:lang w:eastAsia="zh-CN"/>
        </w:rPr>
        <w:t>CPM19-2</w:t>
      </w:r>
      <w:r w:rsidR="009527D6">
        <w:rPr>
          <w:rFonts w:asciiTheme="majorBidi" w:eastAsiaTheme="minorEastAsia" w:hAnsiTheme="majorBidi" w:hint="eastAsia"/>
          <w:lang w:eastAsia="zh-CN"/>
        </w:rPr>
        <w:t xml:space="preserve"> approved the CPM text on </w:t>
      </w:r>
      <w:r w:rsidR="009527D6" w:rsidRPr="003F4789">
        <w:t>WRC</w:t>
      </w:r>
      <w:r w:rsidR="009527D6" w:rsidRPr="003F4789">
        <w:noBreakHyphen/>
        <w:t>19 agenda item 9.1, issue 9.1.7</w:t>
      </w:r>
      <w:r w:rsidR="009527D6">
        <w:rPr>
          <w:rFonts w:eastAsiaTheme="minorEastAsia" w:hint="eastAsia"/>
          <w:lang w:eastAsia="zh-CN"/>
        </w:rPr>
        <w:t>(</w:t>
      </w:r>
      <w:r w:rsidR="009527D6" w:rsidRPr="003F4789">
        <w:t>see Doc</w:t>
      </w:r>
      <w:r w:rsidR="009527D6">
        <w:t>ument</w:t>
      </w:r>
      <w:bookmarkStart w:id="3" w:name="OLE_LINK5"/>
      <w:bookmarkStart w:id="4" w:name="OLE_LINK6"/>
      <w:r w:rsidR="009527D6" w:rsidRPr="009527D6">
        <w:t xml:space="preserve"> </w:t>
      </w:r>
      <w:hyperlink r:id="rId11" w:history="1">
        <w:r w:rsidR="009527D6" w:rsidRPr="009527D6">
          <w:rPr>
            <w:rStyle w:val="Hyperlink"/>
          </w:rPr>
          <w:t>R15-CPM19.02-R-0001</w:t>
        </w:r>
      </w:hyperlink>
      <w:bookmarkEnd w:id="3"/>
      <w:bookmarkEnd w:id="4"/>
      <w:r w:rsidR="009527D6">
        <w:rPr>
          <w:rFonts w:eastAsiaTheme="minorEastAsia" w:hint="eastAsia"/>
          <w:lang w:eastAsia="zh-CN"/>
        </w:rPr>
        <w:t>).</w:t>
      </w:r>
    </w:p>
    <w:p w14:paraId="744E96DC" w14:textId="77777777" w:rsidR="00787806" w:rsidRPr="003F4789" w:rsidRDefault="00787806" w:rsidP="00787806">
      <w:pPr>
        <w:rPr>
          <w:rFonts w:asciiTheme="majorBidi" w:hAnsiTheme="majorBidi"/>
        </w:rPr>
      </w:pPr>
      <w:r w:rsidRPr="003F4789">
        <w:rPr>
          <w:rFonts w:asciiTheme="majorBidi" w:hAnsiTheme="majorBidi"/>
        </w:rPr>
        <w:t xml:space="preserve">With respect to </w:t>
      </w:r>
      <w:r w:rsidRPr="003F4789">
        <w:rPr>
          <w:rFonts w:asciiTheme="majorBidi" w:hAnsiTheme="majorBidi"/>
          <w:i/>
        </w:rPr>
        <w:t>Issue 2a</w:t>
      </w:r>
      <w:r w:rsidRPr="003F4789">
        <w:rPr>
          <w:rFonts w:asciiTheme="majorBidi" w:hAnsiTheme="majorBidi"/>
        </w:rPr>
        <w:t xml:space="preserve">) in the Annex of Resolution </w:t>
      </w:r>
      <w:r w:rsidRPr="003F4789">
        <w:rPr>
          <w:rFonts w:asciiTheme="majorBidi" w:hAnsiTheme="majorBidi"/>
          <w:b/>
        </w:rPr>
        <w:t>958 (WRC-15)</w:t>
      </w:r>
      <w:r w:rsidRPr="003F4789">
        <w:rPr>
          <w:rFonts w:asciiTheme="majorBidi" w:hAnsiTheme="majorBidi"/>
        </w:rPr>
        <w:t>, two options have been identified:</w:t>
      </w:r>
    </w:p>
    <w:p w14:paraId="0A21082D" w14:textId="45548B37" w:rsidR="00787806" w:rsidRPr="00B22BD2" w:rsidRDefault="00787806" w:rsidP="00787806">
      <w:pPr>
        <w:pStyle w:val="ListParagraph"/>
        <w:numPr>
          <w:ilvl w:val="0"/>
          <w:numId w:val="37"/>
        </w:numPr>
        <w:tabs>
          <w:tab w:val="left" w:pos="1134"/>
          <w:tab w:val="left" w:pos="1871"/>
          <w:tab w:val="left" w:pos="2268"/>
        </w:tabs>
        <w:overflowPunct w:val="0"/>
        <w:autoSpaceDE w:val="0"/>
        <w:autoSpaceDN w:val="0"/>
        <w:adjustRightInd w:val="0"/>
        <w:spacing w:before="120"/>
        <w:ind w:left="1080"/>
        <w:contextualSpacing/>
        <w:textAlignment w:val="baseline"/>
        <w:rPr>
          <w:rFonts w:asciiTheme="majorBidi" w:hAnsiTheme="majorBidi"/>
        </w:rPr>
      </w:pPr>
      <w:r w:rsidRPr="00B22BD2">
        <w:rPr>
          <w:rFonts w:asciiTheme="majorBidi" w:hAnsiTheme="majorBidi"/>
        </w:rPr>
        <w:t>Option 1:  no change to the Radio Regulations as current measures are sufficient.</w:t>
      </w:r>
      <w:r w:rsidR="00B22BD2">
        <w:rPr>
          <w:rFonts w:asciiTheme="majorBidi" w:eastAsiaTheme="minorEastAsia" w:hAnsiTheme="majorBidi" w:hint="eastAsia"/>
          <w:lang w:eastAsia="zh-CN"/>
        </w:rPr>
        <w:t xml:space="preserve"> </w:t>
      </w:r>
      <w:r w:rsidR="00B22BD2" w:rsidRPr="0042498F">
        <w:t xml:space="preserve">The Radio Regulations, specifically the provisions of Article </w:t>
      </w:r>
      <w:r w:rsidR="00B22BD2" w:rsidRPr="00B22BD2">
        <w:rPr>
          <w:b/>
          <w:bCs/>
        </w:rPr>
        <w:t>18</w:t>
      </w:r>
      <w:r w:rsidR="00B22BD2" w:rsidRPr="0042498F">
        <w:t xml:space="preserve">, contain a clear and unambiguous requirement to operate an earth station only if duly authorized. New </w:t>
      </w:r>
      <w:r w:rsidR="00B22BD2" w:rsidRPr="0042498F">
        <w:lastRenderedPageBreak/>
        <w:t>provisions in the Radio Regulations will not help address unlawfully operated earth stations.</w:t>
      </w:r>
    </w:p>
    <w:p w14:paraId="7372C792" w14:textId="7EB68C19" w:rsidR="009527D6" w:rsidRDefault="00B22BD2" w:rsidP="00F649C3">
      <w:pPr>
        <w:pStyle w:val="ListParagraph"/>
        <w:numPr>
          <w:ilvl w:val="0"/>
          <w:numId w:val="37"/>
        </w:numPr>
        <w:tabs>
          <w:tab w:val="left" w:pos="1134"/>
          <w:tab w:val="left" w:pos="1871"/>
          <w:tab w:val="left" w:pos="2268"/>
        </w:tabs>
        <w:overflowPunct w:val="0"/>
        <w:autoSpaceDE w:val="0"/>
        <w:autoSpaceDN w:val="0"/>
        <w:adjustRightInd w:val="0"/>
        <w:spacing w:before="120" w:afterLines="100" w:after="240"/>
        <w:ind w:left="1077" w:hanging="357"/>
        <w:contextualSpacing/>
        <w:textAlignment w:val="baseline"/>
        <w:rPr>
          <w:rFonts w:eastAsiaTheme="minorEastAsia"/>
          <w:lang w:eastAsia="zh-CN"/>
        </w:rPr>
      </w:pPr>
      <w:r w:rsidRPr="00B22BD2">
        <w:t>Option 2: to develop a new WRC Resolution to assist administrations with the application of RR No. </w:t>
      </w:r>
      <w:r w:rsidRPr="00B22BD2">
        <w:rPr>
          <w:b/>
        </w:rPr>
        <w:t>18.1</w:t>
      </w:r>
      <w:r w:rsidRPr="00B22BD2">
        <w:rPr>
          <w:rFonts w:eastAsiaTheme="minorEastAsia" w:hint="eastAsia"/>
          <w:b/>
          <w:lang w:eastAsia="zh-CN"/>
        </w:rPr>
        <w:t>(</w:t>
      </w:r>
      <w:r w:rsidRPr="003F4789">
        <w:t>see Doc</w:t>
      </w:r>
      <w:r>
        <w:t>ument</w:t>
      </w:r>
      <w:r w:rsidRPr="009527D6">
        <w:t xml:space="preserve"> </w:t>
      </w:r>
      <w:hyperlink r:id="rId12" w:history="1">
        <w:r w:rsidRPr="009527D6">
          <w:rPr>
            <w:rStyle w:val="Hyperlink"/>
          </w:rPr>
          <w:t>R15-CPM19.02-R-0001</w:t>
        </w:r>
      </w:hyperlink>
      <w:r w:rsidRPr="00B22BD2">
        <w:rPr>
          <w:rFonts w:eastAsiaTheme="minorEastAsia" w:hint="eastAsia"/>
          <w:b/>
          <w:lang w:eastAsia="zh-CN"/>
        </w:rPr>
        <w:t>)</w:t>
      </w:r>
      <w:r w:rsidRPr="00B22BD2">
        <w:t>.</w:t>
      </w:r>
    </w:p>
    <w:p w14:paraId="6B2D779D" w14:textId="77777777" w:rsidR="00501C8E" w:rsidRPr="00501C8E" w:rsidRDefault="00501C8E" w:rsidP="00501C8E">
      <w:pPr>
        <w:rPr>
          <w:rFonts w:asciiTheme="majorBidi" w:hAnsiTheme="majorBidi"/>
        </w:rPr>
      </w:pPr>
      <w:r w:rsidRPr="00501C8E">
        <w:rPr>
          <w:rFonts w:asciiTheme="majorBidi" w:hAnsiTheme="majorBidi"/>
        </w:rPr>
        <w:t xml:space="preserve">With respect to </w:t>
      </w:r>
      <w:r w:rsidRPr="00501C8E">
        <w:rPr>
          <w:rFonts w:asciiTheme="majorBidi" w:hAnsiTheme="majorBidi"/>
          <w:i/>
        </w:rPr>
        <w:t xml:space="preserve">Issue 2b) </w:t>
      </w:r>
      <w:r w:rsidRPr="00501C8E">
        <w:rPr>
          <w:rFonts w:asciiTheme="majorBidi" w:hAnsiTheme="majorBidi"/>
        </w:rPr>
        <w:t xml:space="preserve">in the Annex of Resolution 958 (WRC-15), one option has been identified: </w:t>
      </w:r>
    </w:p>
    <w:p w14:paraId="7BACF403" w14:textId="695E3F9B" w:rsidR="00501C8E" w:rsidRPr="00501C8E" w:rsidRDefault="00501C8E" w:rsidP="00501C8E">
      <w:pPr>
        <w:pStyle w:val="ListParagraph"/>
        <w:numPr>
          <w:ilvl w:val="0"/>
          <w:numId w:val="37"/>
        </w:numPr>
        <w:tabs>
          <w:tab w:val="left" w:pos="1134"/>
          <w:tab w:val="left" w:pos="1871"/>
          <w:tab w:val="left" w:pos="2268"/>
        </w:tabs>
        <w:overflowPunct w:val="0"/>
        <w:autoSpaceDE w:val="0"/>
        <w:autoSpaceDN w:val="0"/>
        <w:adjustRightInd w:val="0"/>
        <w:spacing w:before="120" w:afterLines="100" w:after="240"/>
        <w:ind w:left="1077" w:hanging="357"/>
        <w:contextualSpacing/>
        <w:textAlignment w:val="baseline"/>
        <w:rPr>
          <w:rFonts w:eastAsiaTheme="minorEastAsia"/>
          <w:lang w:eastAsia="zh-CN"/>
        </w:rPr>
      </w:pPr>
      <w:r w:rsidRPr="0042498F">
        <w:t>to provide necessary guidelines on satellite monitoring capabilities, along with possible revision and/or further development of ITU-R Reports or Handbooks to assist administrations with managing unauthorized operation of earth stations deployed within their territory, as a tool to guide their national spectrum management.</w:t>
      </w:r>
    </w:p>
    <w:bookmarkEnd w:id="2"/>
    <w:p w14:paraId="2E0E6752" w14:textId="4A5B2635" w:rsidR="00B64A60" w:rsidRPr="003F4789" w:rsidRDefault="00B64A60" w:rsidP="00E04D00">
      <w:pPr>
        <w:pStyle w:val="Heading1"/>
        <w:numPr>
          <w:ilvl w:val="0"/>
          <w:numId w:val="22"/>
        </w:numPr>
        <w:spacing w:line="360" w:lineRule="auto"/>
        <w:jc w:val="left"/>
        <w:rPr>
          <w:u w:val="none"/>
          <w:lang w:val="en-NZ" w:eastAsia="ko-KR"/>
        </w:rPr>
      </w:pPr>
      <w:r w:rsidRPr="003F4789">
        <w:rPr>
          <w:u w:val="none"/>
          <w:lang w:val="en-NZ" w:eastAsia="ko-KR"/>
        </w:rPr>
        <w:t>Documents</w:t>
      </w:r>
    </w:p>
    <w:p w14:paraId="57FA80E8" w14:textId="6A53F37B" w:rsidR="00FB49D7" w:rsidRPr="00FB49D7" w:rsidRDefault="001269DB" w:rsidP="000E43BD">
      <w:pPr>
        <w:spacing w:afterLines="50" w:after="120"/>
        <w:ind w:leftChars="150" w:left="360"/>
        <w:rPr>
          <w:rFonts w:eastAsiaTheme="minorEastAsia"/>
          <w:lang w:eastAsia="zh-CN"/>
        </w:rPr>
      </w:pPr>
      <w:r>
        <w:rPr>
          <w:rFonts w:eastAsiaTheme="minorEastAsia"/>
          <w:lang w:val="en-NZ" w:eastAsia="zh-CN"/>
        </w:rPr>
        <w:t xml:space="preserve">- Input Documents: </w:t>
      </w:r>
      <w:r w:rsidR="00FB49D7" w:rsidRPr="00FB49D7">
        <w:rPr>
          <w:rFonts w:eastAsiaTheme="minorEastAsia"/>
          <w:lang w:val="en-NZ" w:eastAsia="zh-CN"/>
        </w:rPr>
        <w:t>APG19-5/</w:t>
      </w:r>
      <w:hyperlink r:id="rId13" w:history="1">
        <w:r w:rsidR="00FB49D7" w:rsidRPr="00FB49D7">
          <w:rPr>
            <w:rFonts w:eastAsiaTheme="minorEastAsia"/>
            <w:lang w:val="en-NZ" w:eastAsia="zh-CN"/>
          </w:rPr>
          <w:t>INP-</w:t>
        </w:r>
        <w:r w:rsidR="00FB49D7" w:rsidRPr="00FB49D7">
          <w:rPr>
            <w:rFonts w:hint="eastAsia"/>
            <w:lang w:val="en-NZ"/>
          </w:rPr>
          <w:t>15</w:t>
        </w:r>
      </w:hyperlink>
      <w:r w:rsidR="00FB49D7" w:rsidRPr="00FB49D7">
        <w:rPr>
          <w:rFonts w:hint="eastAsia"/>
          <w:lang w:val="en-NZ"/>
        </w:rPr>
        <w:t>R1</w:t>
      </w:r>
      <w:r w:rsidR="00D163ED">
        <w:rPr>
          <w:rFonts w:eastAsiaTheme="minorEastAsia" w:hint="eastAsia"/>
          <w:lang w:val="en-NZ" w:eastAsia="zh-CN"/>
        </w:rPr>
        <w:t>(</w:t>
      </w:r>
      <w:r w:rsidR="000E43BD" w:rsidRPr="00FB49D7">
        <w:rPr>
          <w:rFonts w:eastAsiaTheme="minorEastAsia"/>
          <w:lang w:val="en-NZ" w:eastAsia="zh-CN"/>
        </w:rPr>
        <w:t>S</w:t>
      </w:r>
      <w:r w:rsidR="000E43BD">
        <w:rPr>
          <w:rFonts w:eastAsiaTheme="minorEastAsia"/>
          <w:lang w:val="en-NZ" w:eastAsia="zh-CN"/>
        </w:rPr>
        <w:t>amoa</w:t>
      </w:r>
      <w:r w:rsidR="00D163ED">
        <w:rPr>
          <w:rFonts w:eastAsiaTheme="minorEastAsia" w:hint="eastAsia"/>
          <w:lang w:val="en-NZ" w:eastAsia="zh-CN"/>
        </w:rPr>
        <w:t xml:space="preserve"> and </w:t>
      </w:r>
      <w:r w:rsidR="00FB49D7" w:rsidRPr="00FB49D7">
        <w:rPr>
          <w:rFonts w:eastAsiaTheme="minorEastAsia"/>
          <w:lang w:val="en-NZ" w:eastAsia="zh-CN"/>
        </w:rPr>
        <w:t>V</w:t>
      </w:r>
      <w:r w:rsidR="000E43BD">
        <w:rPr>
          <w:rFonts w:eastAsiaTheme="minorEastAsia"/>
          <w:lang w:val="en-NZ" w:eastAsia="zh-CN"/>
        </w:rPr>
        <w:t>anuatu</w:t>
      </w:r>
      <w:r w:rsidR="00FB49D7">
        <w:rPr>
          <w:rFonts w:eastAsiaTheme="minorEastAsia" w:hint="eastAsia"/>
          <w:lang w:val="en-NZ" w:eastAsia="zh-CN"/>
        </w:rPr>
        <w:t>)</w:t>
      </w:r>
      <w:r w:rsidR="00D163ED">
        <w:rPr>
          <w:rFonts w:eastAsiaTheme="minorEastAsia" w:hint="eastAsia"/>
          <w:lang w:val="en-NZ" w:eastAsia="zh-CN"/>
        </w:rPr>
        <w:t>,</w:t>
      </w:r>
      <w:r w:rsidR="00D163ED" w:rsidRPr="00D163ED">
        <w:rPr>
          <w:rFonts w:eastAsiaTheme="minorEastAsia"/>
          <w:lang w:val="en-NZ" w:eastAsia="zh-CN"/>
        </w:rPr>
        <w:t xml:space="preserve"> </w:t>
      </w:r>
      <w:r w:rsidR="000E43BD">
        <w:rPr>
          <w:rFonts w:eastAsiaTheme="minorEastAsia"/>
          <w:lang w:val="en-NZ" w:eastAsia="zh-CN"/>
        </w:rPr>
        <w:t>3</w:t>
      </w:r>
      <w:r>
        <w:rPr>
          <w:rFonts w:eastAsiaTheme="minorEastAsia"/>
          <w:lang w:val="en-NZ" w:eastAsia="zh-CN"/>
        </w:rPr>
        <w:t>4</w:t>
      </w:r>
      <w:r>
        <w:rPr>
          <w:rFonts w:eastAsiaTheme="minorEastAsia" w:hint="eastAsia"/>
          <w:lang w:val="en-NZ" w:eastAsia="zh-CN"/>
        </w:rPr>
        <w:t xml:space="preserve"> </w:t>
      </w:r>
      <w:r w:rsidR="00D163ED">
        <w:rPr>
          <w:rFonts w:eastAsiaTheme="minorEastAsia" w:hint="eastAsia"/>
          <w:lang w:val="en-NZ" w:eastAsia="zh-CN"/>
        </w:rPr>
        <w:t xml:space="preserve">(IRN), </w:t>
      </w:r>
      <w:hyperlink r:id="rId14" w:history="1">
        <w:r w:rsidR="00D163ED" w:rsidRPr="00FB49D7">
          <w:rPr>
            <w:rFonts w:eastAsiaTheme="minorEastAsia"/>
            <w:lang w:val="en-NZ" w:eastAsia="zh-CN"/>
          </w:rPr>
          <w:t>34Add1</w:t>
        </w:r>
      </w:hyperlink>
      <w:r w:rsidR="00D163ED">
        <w:rPr>
          <w:rFonts w:eastAsiaTheme="minorEastAsia" w:hint="eastAsia"/>
          <w:lang w:val="en-NZ" w:eastAsia="zh-CN"/>
        </w:rPr>
        <w:t xml:space="preserve">(IRN), </w:t>
      </w:r>
      <w:r w:rsidR="000E43BD">
        <w:rPr>
          <w:rFonts w:eastAsiaTheme="minorEastAsia"/>
          <w:lang w:val="en-NZ" w:eastAsia="zh-CN"/>
        </w:rPr>
        <w:t>47 (</w:t>
      </w:r>
      <w:r w:rsidR="009D47BF">
        <w:rPr>
          <w:rFonts w:eastAsiaTheme="minorEastAsia" w:hint="eastAsia"/>
          <w:lang w:val="en-NZ" w:eastAsia="zh-CN"/>
        </w:rPr>
        <w:t xml:space="preserve">AUS), </w:t>
      </w:r>
      <w:hyperlink r:id="rId15" w:history="1">
        <w:r w:rsidR="00FB49D7" w:rsidRPr="00FB49D7">
          <w:rPr>
            <w:rFonts w:hint="eastAsia"/>
            <w:lang w:val="en-NZ"/>
          </w:rPr>
          <w:t>54</w:t>
        </w:r>
      </w:hyperlink>
      <w:r w:rsidR="000E43BD">
        <w:rPr>
          <w:lang w:val="en-NZ"/>
        </w:rPr>
        <w:t xml:space="preserve"> </w:t>
      </w:r>
      <w:r w:rsidR="009D47BF">
        <w:rPr>
          <w:rFonts w:eastAsiaTheme="minorEastAsia" w:hint="eastAsia"/>
          <w:lang w:val="en-NZ" w:eastAsia="zh-CN"/>
        </w:rPr>
        <w:t xml:space="preserve">(INS), </w:t>
      </w:r>
      <w:r w:rsidR="000E43BD">
        <w:rPr>
          <w:rFonts w:eastAsiaTheme="minorEastAsia"/>
          <w:lang w:val="en-NZ" w:eastAsia="zh-CN"/>
        </w:rPr>
        <w:t xml:space="preserve">70 </w:t>
      </w:r>
      <w:r w:rsidR="009D47BF">
        <w:rPr>
          <w:rFonts w:eastAsiaTheme="minorEastAsia" w:hint="eastAsia"/>
          <w:lang w:val="en-NZ" w:eastAsia="zh-CN"/>
        </w:rPr>
        <w:t xml:space="preserve">(CHN), </w:t>
      </w:r>
      <w:r w:rsidR="000E43BD">
        <w:rPr>
          <w:rFonts w:eastAsiaTheme="minorEastAsia"/>
          <w:lang w:val="en-NZ" w:eastAsia="zh-CN"/>
        </w:rPr>
        <w:t xml:space="preserve">88R1 </w:t>
      </w:r>
      <w:r w:rsidR="009D47BF">
        <w:rPr>
          <w:rFonts w:eastAsiaTheme="minorEastAsia" w:hint="eastAsia"/>
          <w:lang w:val="en-NZ" w:eastAsia="zh-CN"/>
        </w:rPr>
        <w:t xml:space="preserve">(J), </w:t>
      </w:r>
      <w:r w:rsidR="000E43BD">
        <w:rPr>
          <w:rFonts w:eastAsiaTheme="minorEastAsia"/>
          <w:lang w:val="en-NZ" w:eastAsia="zh-CN"/>
        </w:rPr>
        <w:t xml:space="preserve">90 </w:t>
      </w:r>
      <w:r w:rsidR="009D47BF">
        <w:rPr>
          <w:rFonts w:eastAsiaTheme="minorEastAsia" w:hint="eastAsia"/>
          <w:lang w:val="en-NZ" w:eastAsia="zh-CN"/>
        </w:rPr>
        <w:t xml:space="preserve">(J), </w:t>
      </w:r>
      <w:r w:rsidR="000E43BD">
        <w:rPr>
          <w:rFonts w:eastAsiaTheme="minorEastAsia"/>
          <w:lang w:val="en-NZ" w:eastAsia="zh-CN"/>
        </w:rPr>
        <w:t>105 (</w:t>
      </w:r>
      <w:r w:rsidR="009D47BF">
        <w:rPr>
          <w:rFonts w:eastAsiaTheme="minorEastAsia" w:hint="eastAsia"/>
          <w:lang w:val="en-NZ" w:eastAsia="zh-CN"/>
        </w:rPr>
        <w:t xml:space="preserve">(MLA, SNG and THA), </w:t>
      </w:r>
      <w:hyperlink r:id="rId16" w:history="1">
        <w:r w:rsidR="00FB49D7" w:rsidRPr="00FB49D7">
          <w:rPr>
            <w:rFonts w:hint="eastAsia"/>
            <w:lang w:val="en-NZ"/>
          </w:rPr>
          <w:t>132</w:t>
        </w:r>
      </w:hyperlink>
      <w:r w:rsidR="000E43BD">
        <w:rPr>
          <w:lang w:val="en-NZ"/>
        </w:rPr>
        <w:t xml:space="preserve"> </w:t>
      </w:r>
      <w:r w:rsidR="009D47BF">
        <w:rPr>
          <w:rFonts w:eastAsiaTheme="minorEastAsia" w:hint="eastAsia"/>
          <w:lang w:val="en-NZ" w:eastAsia="zh-CN"/>
        </w:rPr>
        <w:t>(KOR)</w:t>
      </w:r>
      <w:r w:rsidR="000E43BD">
        <w:rPr>
          <w:rFonts w:eastAsiaTheme="minorEastAsia"/>
          <w:lang w:val="en-NZ" w:eastAsia="zh-CN"/>
        </w:rPr>
        <w:t>.</w:t>
      </w:r>
    </w:p>
    <w:p w14:paraId="4B0946D0" w14:textId="402CFCEC" w:rsidR="009D47BF" w:rsidRDefault="001269DB" w:rsidP="001269DB">
      <w:pPr>
        <w:spacing w:afterLines="50" w:after="120"/>
        <w:ind w:leftChars="150" w:left="360"/>
        <w:rPr>
          <w:rFonts w:eastAsiaTheme="minorEastAsia"/>
          <w:lang w:val="en-NZ" w:eastAsia="zh-CN"/>
        </w:rPr>
      </w:pPr>
      <w:r>
        <w:rPr>
          <w:rFonts w:eastAsiaTheme="minorEastAsia"/>
          <w:lang w:val="en-NZ" w:eastAsia="zh-CN"/>
        </w:rPr>
        <w:t xml:space="preserve">- Information Documents: </w:t>
      </w:r>
      <w:r w:rsidR="009D47BF" w:rsidRPr="00A74BC5">
        <w:rPr>
          <w:rFonts w:eastAsiaTheme="minorEastAsia"/>
          <w:lang w:val="en-NZ" w:eastAsia="zh-CN"/>
        </w:rPr>
        <w:t>APG19-</w:t>
      </w:r>
      <w:r w:rsidR="003065E7" w:rsidRPr="00FB49D7">
        <w:rPr>
          <w:rFonts w:eastAsiaTheme="minorEastAsia"/>
          <w:lang w:val="en-NZ" w:eastAsia="zh-CN"/>
        </w:rPr>
        <w:t>5</w:t>
      </w:r>
      <w:r w:rsidR="009D47BF" w:rsidRPr="00A74BC5">
        <w:rPr>
          <w:rFonts w:eastAsiaTheme="minorEastAsia" w:hint="eastAsia"/>
          <w:lang w:val="en-NZ" w:eastAsia="zh-CN"/>
        </w:rPr>
        <w:t>/</w:t>
      </w:r>
      <w:r w:rsidR="00882234" w:rsidRPr="00A74BC5">
        <w:rPr>
          <w:rFonts w:eastAsiaTheme="minorEastAsia"/>
          <w:lang w:val="en-NZ" w:eastAsia="zh-CN"/>
        </w:rPr>
        <w:t>IN</w:t>
      </w:r>
      <w:r w:rsidR="00882234">
        <w:rPr>
          <w:rFonts w:eastAsiaTheme="minorEastAsia" w:hint="eastAsia"/>
          <w:lang w:val="en-NZ" w:eastAsia="zh-CN"/>
        </w:rPr>
        <w:t>F</w:t>
      </w:r>
      <w:r w:rsidR="009D47BF" w:rsidRPr="00A74BC5">
        <w:rPr>
          <w:rFonts w:eastAsiaTheme="minorEastAsia"/>
          <w:lang w:val="en-NZ" w:eastAsia="zh-CN"/>
        </w:rPr>
        <w:t>-</w:t>
      </w:r>
      <w:r w:rsidR="009D47BF" w:rsidRPr="00B22BD2">
        <w:rPr>
          <w:rFonts w:eastAsiaTheme="minorEastAsia"/>
          <w:lang w:val="en-NZ" w:eastAsia="zh-CN"/>
        </w:rPr>
        <w:t>18</w:t>
      </w:r>
      <w:r>
        <w:rPr>
          <w:rFonts w:eastAsiaTheme="minorEastAsia"/>
          <w:lang w:val="en-NZ" w:eastAsia="zh-CN"/>
        </w:rPr>
        <w:t xml:space="preserve"> </w:t>
      </w:r>
      <w:r w:rsidR="009D47BF" w:rsidRPr="00B22BD2">
        <w:rPr>
          <w:rFonts w:eastAsiaTheme="minorEastAsia"/>
          <w:lang w:val="en-NZ" w:eastAsia="zh-CN"/>
        </w:rPr>
        <w:t>(CEPT), 19</w:t>
      </w:r>
      <w:r>
        <w:rPr>
          <w:rFonts w:eastAsiaTheme="minorEastAsia"/>
          <w:lang w:val="en-NZ" w:eastAsia="zh-CN"/>
        </w:rPr>
        <w:t xml:space="preserve"> </w:t>
      </w:r>
      <w:r w:rsidR="009D47BF" w:rsidRPr="00B22BD2">
        <w:rPr>
          <w:rFonts w:eastAsiaTheme="minorEastAsia"/>
          <w:lang w:val="en-NZ" w:eastAsia="zh-CN"/>
        </w:rPr>
        <w:t>(ATU), 20</w:t>
      </w:r>
      <w:r>
        <w:rPr>
          <w:rFonts w:eastAsiaTheme="minorEastAsia"/>
          <w:lang w:val="en-NZ" w:eastAsia="zh-CN"/>
        </w:rPr>
        <w:t xml:space="preserve"> </w:t>
      </w:r>
      <w:r w:rsidR="009D47BF" w:rsidRPr="00B22BD2">
        <w:rPr>
          <w:rFonts w:eastAsiaTheme="minorEastAsia"/>
          <w:lang w:val="en-NZ" w:eastAsia="zh-CN"/>
        </w:rPr>
        <w:t>(CITEL), 22</w:t>
      </w:r>
      <w:r>
        <w:rPr>
          <w:rFonts w:eastAsiaTheme="minorEastAsia"/>
          <w:lang w:val="en-NZ" w:eastAsia="zh-CN"/>
        </w:rPr>
        <w:t xml:space="preserve"> </w:t>
      </w:r>
      <w:r w:rsidR="009D47BF" w:rsidRPr="00B22BD2">
        <w:rPr>
          <w:rFonts w:eastAsiaTheme="minorEastAsia"/>
          <w:lang w:val="en-NZ" w:eastAsia="zh-CN"/>
        </w:rPr>
        <w:t>(RCC)</w:t>
      </w:r>
      <w:r w:rsidR="000E43BD">
        <w:rPr>
          <w:rFonts w:eastAsiaTheme="minorEastAsia"/>
          <w:lang w:val="en-NZ" w:eastAsia="zh-CN"/>
        </w:rPr>
        <w:t>.</w:t>
      </w:r>
    </w:p>
    <w:p w14:paraId="57A164FE" w14:textId="77777777" w:rsidR="001269DB" w:rsidRPr="00B22BD2" w:rsidRDefault="001269DB" w:rsidP="001269DB">
      <w:pPr>
        <w:spacing w:afterLines="50" w:after="120"/>
        <w:ind w:leftChars="150" w:left="360"/>
        <w:rPr>
          <w:rFonts w:eastAsiaTheme="minorEastAsia"/>
          <w:lang w:val="en-NZ" w:eastAsia="zh-CN"/>
        </w:rPr>
      </w:pPr>
    </w:p>
    <w:p w14:paraId="2E0E6757" w14:textId="7D0CF08C" w:rsidR="00B64A60" w:rsidRPr="003F4789" w:rsidRDefault="00B64A60" w:rsidP="00060338">
      <w:pPr>
        <w:pStyle w:val="Heading1"/>
        <w:numPr>
          <w:ilvl w:val="0"/>
          <w:numId w:val="22"/>
        </w:numPr>
        <w:ind w:left="418" w:hanging="418"/>
        <w:jc w:val="left"/>
        <w:rPr>
          <w:u w:val="none"/>
          <w:lang w:val="en-NZ" w:eastAsia="ko-KR"/>
        </w:rPr>
      </w:pPr>
      <w:r w:rsidRPr="003F4789">
        <w:rPr>
          <w:u w:val="none"/>
          <w:lang w:val="en-NZ" w:eastAsia="ko-KR"/>
        </w:rPr>
        <w:t>Summary of Discussions</w:t>
      </w:r>
    </w:p>
    <w:p w14:paraId="4B6D875B" w14:textId="24198708" w:rsidR="00C13FC6" w:rsidRPr="00A74BC5" w:rsidRDefault="00C13FC6" w:rsidP="00060338">
      <w:pPr>
        <w:pStyle w:val="Heading2"/>
        <w:numPr>
          <w:ilvl w:val="1"/>
          <w:numId w:val="26"/>
        </w:numPr>
        <w:spacing w:beforeLines="50" w:before="120" w:after="0" w:line="240" w:lineRule="auto"/>
        <w:ind w:left="418" w:hanging="418"/>
        <w:rPr>
          <w:rFonts w:ascii="Times New Roman" w:hAnsi="Times New Roman" w:cs="Times New Roman"/>
          <w:b w:val="0"/>
          <w:sz w:val="24"/>
          <w:szCs w:val="24"/>
          <w:lang w:val="en-NZ" w:eastAsia="ko-KR"/>
        </w:rPr>
      </w:pPr>
      <w:r w:rsidRPr="00A74BC5">
        <w:rPr>
          <w:rFonts w:ascii="Times New Roman" w:hAnsi="Times New Roman" w:cs="Times New Roman"/>
          <w:sz w:val="24"/>
          <w:szCs w:val="24"/>
          <w:lang w:val="en-NZ" w:eastAsia="ko-KR"/>
        </w:rPr>
        <w:t>Summary of Members’ view</w:t>
      </w:r>
    </w:p>
    <w:p w14:paraId="27859E04" w14:textId="0FF64917" w:rsidR="00BB7C9E" w:rsidRPr="00A74BC5" w:rsidRDefault="00BB7C9E" w:rsidP="00E04D00">
      <w:pPr>
        <w:pStyle w:val="Heading3"/>
        <w:numPr>
          <w:ilvl w:val="2"/>
          <w:numId w:val="27"/>
        </w:numPr>
        <w:spacing w:beforeLines="50" w:before="120" w:after="0" w:line="360" w:lineRule="auto"/>
        <w:ind w:left="420"/>
        <w:rPr>
          <w:rFonts w:eastAsiaTheme="minorEastAsia"/>
          <w:sz w:val="24"/>
          <w:szCs w:val="24"/>
          <w:lang w:val="en-NZ" w:eastAsia="zh-CN"/>
        </w:rPr>
      </w:pPr>
      <w:r w:rsidRPr="00A74BC5">
        <w:rPr>
          <w:rFonts w:eastAsiaTheme="minorEastAsia"/>
          <w:sz w:val="24"/>
          <w:szCs w:val="24"/>
          <w:lang w:val="en-NZ" w:eastAsia="zh-CN"/>
        </w:rPr>
        <w:t>Australia</w:t>
      </w:r>
      <w:r w:rsidR="00386900" w:rsidRPr="00A74BC5">
        <w:rPr>
          <w:rFonts w:eastAsiaTheme="minorEastAsia" w:hint="eastAsia"/>
          <w:sz w:val="24"/>
          <w:szCs w:val="24"/>
          <w:lang w:val="en-NZ" w:eastAsia="zh-CN"/>
        </w:rPr>
        <w:t xml:space="preserve"> - Document </w:t>
      </w:r>
      <w:r w:rsidR="00D4185E" w:rsidRPr="00A74BC5">
        <w:rPr>
          <w:rFonts w:eastAsiaTheme="minorEastAsia"/>
          <w:sz w:val="24"/>
          <w:szCs w:val="24"/>
          <w:lang w:val="en-NZ" w:eastAsia="zh-CN"/>
        </w:rPr>
        <w:t>APG19-</w:t>
      </w:r>
      <w:r w:rsidR="000F7521">
        <w:rPr>
          <w:rFonts w:eastAsiaTheme="minorEastAsia" w:hint="eastAsia"/>
          <w:sz w:val="24"/>
          <w:szCs w:val="24"/>
          <w:lang w:val="en-NZ" w:eastAsia="zh-CN"/>
        </w:rPr>
        <w:t>5</w:t>
      </w:r>
      <w:r w:rsidR="00386900" w:rsidRPr="00A74BC5">
        <w:rPr>
          <w:rFonts w:eastAsiaTheme="minorEastAsia" w:hint="eastAsia"/>
          <w:sz w:val="24"/>
          <w:szCs w:val="24"/>
          <w:lang w:val="en-NZ" w:eastAsia="zh-CN"/>
        </w:rPr>
        <w:t>/</w:t>
      </w:r>
      <w:r w:rsidR="00386900" w:rsidRPr="00A74BC5">
        <w:rPr>
          <w:rFonts w:eastAsiaTheme="minorEastAsia"/>
          <w:sz w:val="24"/>
          <w:szCs w:val="24"/>
          <w:lang w:val="en-NZ" w:eastAsia="zh-CN"/>
        </w:rPr>
        <w:t>INP-</w:t>
      </w:r>
      <w:r w:rsidR="000F7521">
        <w:rPr>
          <w:rFonts w:eastAsiaTheme="minorEastAsia" w:hint="eastAsia"/>
          <w:sz w:val="24"/>
          <w:szCs w:val="24"/>
          <w:lang w:val="en-NZ" w:eastAsia="zh-CN"/>
        </w:rPr>
        <w:t>47</w:t>
      </w:r>
    </w:p>
    <w:p w14:paraId="56D2D3D2" w14:textId="77777777" w:rsidR="00A5236C" w:rsidRDefault="00A5236C" w:rsidP="00A5236C">
      <w:pPr>
        <w:spacing w:afterLines="50" w:after="120"/>
        <w:jc w:val="lowKashida"/>
      </w:pPr>
      <w:r w:rsidRPr="00E95B59">
        <w:t xml:space="preserve">For Issue 2a, Australia is of the view that earth station licensing is the responsibility of administrations and no changes to the Radio Regulations are necessary. Article 18 sufficiently addresses the required regulatory measures. This is consistent with Option 1 for Issue 2a in the </w:t>
      </w:r>
      <w:hyperlink r:id="rId17" w:history="1">
        <w:r w:rsidRPr="00A5236C">
          <w:t>CPM Report</w:t>
        </w:r>
      </w:hyperlink>
      <w:r>
        <w:t>.</w:t>
      </w:r>
    </w:p>
    <w:p w14:paraId="4FE7EA28" w14:textId="77777777" w:rsidR="00A5236C" w:rsidRDefault="00A5236C" w:rsidP="00A5236C">
      <w:pPr>
        <w:spacing w:afterLines="50" w:after="120"/>
        <w:jc w:val="lowKashida"/>
      </w:pPr>
      <w:r w:rsidRPr="00E95B59">
        <w:t xml:space="preserve">For Issue 2b, Australia is of the view that further assistance to administrations in managing (identifying and geo-locating) unauthorized operation of earth station terminals deployed within their territory can be accommodated in ITU-R guidelines on satellite monitoring capabilities and ITU-R Reports or Handbooks as appropriate. This is consistent with the singular Option for Issue 2b in the </w:t>
      </w:r>
      <w:hyperlink r:id="rId18" w:history="1">
        <w:r w:rsidRPr="00A5236C">
          <w:t>CPM Report</w:t>
        </w:r>
      </w:hyperlink>
      <w:r>
        <w:t>.</w:t>
      </w:r>
    </w:p>
    <w:p w14:paraId="0C065C35" w14:textId="74826FFF" w:rsidR="00A5236C" w:rsidRDefault="00A5236C" w:rsidP="00A5236C">
      <w:pPr>
        <w:spacing w:afterLines="50" w:after="120"/>
        <w:jc w:val="lowKashida"/>
        <w:rPr>
          <w:rFonts w:eastAsiaTheme="minorEastAsia"/>
          <w:lang w:eastAsia="zh-CN"/>
        </w:rPr>
      </w:pPr>
      <w:r>
        <w:t xml:space="preserve">Australia proposes a Preliminary APT Common Proposal as </w:t>
      </w:r>
      <w:r>
        <w:rPr>
          <w:rFonts w:eastAsiaTheme="minorEastAsia" w:hint="eastAsia"/>
          <w:lang w:eastAsia="zh-CN"/>
        </w:rPr>
        <w:t>follows</w:t>
      </w:r>
      <w:r w:rsidR="007A30A5">
        <w:rPr>
          <w:rFonts w:eastAsiaTheme="minorEastAsia" w:hint="eastAsia"/>
          <w:lang w:eastAsia="zh-CN"/>
        </w:rPr>
        <w:t xml:space="preserve"> (</w:t>
      </w:r>
      <w:r w:rsidR="007A30A5" w:rsidRPr="007A30A5">
        <w:rPr>
          <w:rFonts w:eastAsiaTheme="minorEastAsia" w:hint="eastAsia"/>
          <w:lang w:eastAsia="zh-CN"/>
        </w:rPr>
        <w:t xml:space="preserve">see the </w:t>
      </w:r>
      <w:r w:rsidR="007A30A5">
        <w:t>embedded</w:t>
      </w:r>
      <w:r w:rsidR="007A30A5" w:rsidRPr="007A30A5">
        <w:rPr>
          <w:rFonts w:eastAsiaTheme="minorEastAsia" w:hint="eastAsia"/>
          <w:lang w:eastAsia="zh-CN"/>
        </w:rPr>
        <w:t xml:space="preserve"> file in </w:t>
      </w:r>
      <w:r w:rsidR="007A30A5" w:rsidRPr="003F4789">
        <w:t>Doc</w:t>
      </w:r>
      <w:r w:rsidR="007A30A5">
        <w:t>ument</w:t>
      </w:r>
      <w:r w:rsidR="007A30A5" w:rsidRPr="007A30A5">
        <w:rPr>
          <w:rFonts w:eastAsiaTheme="minorEastAsia" w:hint="eastAsia"/>
          <w:lang w:eastAsia="zh-CN"/>
        </w:rPr>
        <w:t xml:space="preserve"> </w:t>
      </w:r>
      <w:r w:rsidR="007A30A5" w:rsidRPr="007A30A5">
        <w:rPr>
          <w:rFonts w:eastAsiaTheme="minorEastAsia"/>
          <w:lang w:val="en-NZ" w:eastAsia="zh-CN"/>
        </w:rPr>
        <w:t>APG19-5</w:t>
      </w:r>
      <w:r w:rsidR="007A30A5" w:rsidRPr="007A30A5">
        <w:rPr>
          <w:rFonts w:eastAsiaTheme="minorEastAsia" w:hint="eastAsia"/>
          <w:lang w:val="en-NZ" w:eastAsia="zh-CN"/>
        </w:rPr>
        <w:t>/</w:t>
      </w:r>
      <w:hyperlink r:id="rId19" w:history="1">
        <w:r w:rsidR="007A30A5" w:rsidRPr="007A30A5">
          <w:rPr>
            <w:rStyle w:val="Hyperlink"/>
            <w:rFonts w:eastAsiaTheme="minorEastAsia" w:hint="eastAsia"/>
            <w:lang w:val="en-NZ" w:eastAsia="zh-CN"/>
          </w:rPr>
          <w:t>INP-47</w:t>
        </w:r>
      </w:hyperlink>
      <w:r w:rsidR="007A30A5" w:rsidRPr="007A30A5">
        <w:rPr>
          <w:rFonts w:eastAsiaTheme="minorEastAsia" w:hint="eastAsia"/>
          <w:lang w:eastAsia="zh-CN"/>
        </w:rPr>
        <w:t>)</w:t>
      </w:r>
      <w:r w:rsidR="007A30A5">
        <w:rPr>
          <w:rFonts w:eastAsiaTheme="minorEastAsia" w:hint="eastAsia"/>
          <w:lang w:eastAsia="zh-CN"/>
        </w:rPr>
        <w:t>)</w:t>
      </w:r>
      <w:r>
        <w:rPr>
          <w:rFonts w:eastAsiaTheme="minorEastAsia" w:hint="eastAsia"/>
          <w:lang w:eastAsia="zh-CN"/>
        </w:rPr>
        <w:t>:</w:t>
      </w:r>
    </w:p>
    <w:p w14:paraId="539038A6" w14:textId="78A8BF62" w:rsidR="00A5236C" w:rsidRDefault="00120F6E" w:rsidP="00A5236C">
      <w:pPr>
        <w:pStyle w:val="ListParagraph"/>
        <w:numPr>
          <w:ilvl w:val="0"/>
          <w:numId w:val="41"/>
        </w:numPr>
        <w:spacing w:afterLines="50" w:after="120"/>
        <w:jc w:val="lowKashida"/>
        <w:rPr>
          <w:rFonts w:eastAsiaTheme="minorEastAsia"/>
          <w:lang w:eastAsia="zh-CN"/>
        </w:rPr>
      </w:pPr>
      <w:r>
        <w:rPr>
          <w:rFonts w:eastAsiaTheme="minorEastAsia"/>
          <w:lang w:eastAsia="zh-CN"/>
        </w:rPr>
        <w:t>N</w:t>
      </w:r>
      <w:r>
        <w:rPr>
          <w:rFonts w:eastAsiaTheme="minorEastAsia" w:hint="eastAsia"/>
          <w:lang w:eastAsia="zh-CN"/>
        </w:rPr>
        <w:t>o change to the Radio Regulations.</w:t>
      </w:r>
    </w:p>
    <w:p w14:paraId="2F5C153C" w14:textId="2A22BD27" w:rsidR="0046449E" w:rsidRPr="000E43BD" w:rsidRDefault="007A30A5" w:rsidP="007A30A5">
      <w:pPr>
        <w:pStyle w:val="ListParagraph"/>
        <w:numPr>
          <w:ilvl w:val="0"/>
          <w:numId w:val="41"/>
        </w:numPr>
        <w:spacing w:afterLines="50" w:after="120"/>
        <w:jc w:val="lowKashida"/>
        <w:rPr>
          <w:rFonts w:eastAsiaTheme="minorEastAsia"/>
          <w:lang w:eastAsia="zh-CN"/>
        </w:rPr>
      </w:pPr>
      <w:r w:rsidRPr="007A30A5">
        <w:rPr>
          <w:rFonts w:eastAsiaTheme="minorEastAsia"/>
          <w:lang w:eastAsia="zh-CN"/>
        </w:rPr>
        <w:t>T</w:t>
      </w:r>
      <w:r w:rsidRPr="007A30A5">
        <w:rPr>
          <w:rFonts w:eastAsiaTheme="minorEastAsia" w:hint="eastAsia"/>
          <w:lang w:eastAsia="zh-CN"/>
        </w:rPr>
        <w:t xml:space="preserve">o </w:t>
      </w:r>
      <w:r w:rsidR="00120F6E" w:rsidRPr="007A30A5">
        <w:rPr>
          <w:rFonts w:eastAsiaTheme="minorEastAsia"/>
          <w:lang w:eastAsia="zh-CN"/>
        </w:rPr>
        <w:t>Suppress</w:t>
      </w:r>
      <w:r w:rsidR="00120F6E" w:rsidRPr="007A30A5">
        <w:rPr>
          <w:rFonts w:eastAsiaTheme="minorEastAsia" w:hint="eastAsia"/>
          <w:lang w:eastAsia="zh-CN"/>
        </w:rPr>
        <w:t xml:space="preserve"> </w:t>
      </w:r>
      <w:r w:rsidR="00A5236C" w:rsidRPr="00E95B59">
        <w:t>Paragraph 2) of the Annex to Resolution 958 (WRC-15) can be suppressed.</w:t>
      </w:r>
    </w:p>
    <w:p w14:paraId="18EFC047" w14:textId="77777777" w:rsidR="000E43BD" w:rsidRPr="000E43BD" w:rsidRDefault="000E43BD" w:rsidP="000E43BD">
      <w:pPr>
        <w:jc w:val="lowKashida"/>
        <w:rPr>
          <w:rFonts w:eastAsiaTheme="minorEastAsia"/>
          <w:lang w:eastAsia="zh-CN"/>
        </w:rPr>
      </w:pPr>
    </w:p>
    <w:p w14:paraId="2C498003" w14:textId="0ED3AAC4" w:rsidR="0046449E" w:rsidRPr="00B22BD2" w:rsidRDefault="0055081E" w:rsidP="000E43BD">
      <w:pPr>
        <w:pStyle w:val="Heading3"/>
        <w:numPr>
          <w:ilvl w:val="2"/>
          <w:numId w:val="27"/>
        </w:numPr>
        <w:spacing w:before="0" w:after="0" w:line="240" w:lineRule="auto"/>
        <w:ind w:left="418" w:hanging="418"/>
        <w:rPr>
          <w:rFonts w:eastAsiaTheme="minorEastAsia"/>
          <w:sz w:val="24"/>
          <w:szCs w:val="24"/>
          <w:lang w:val="en-NZ" w:eastAsia="zh-CN"/>
        </w:rPr>
      </w:pPr>
      <w:r w:rsidRPr="00A74BC5">
        <w:rPr>
          <w:rFonts w:eastAsiaTheme="minorEastAsia"/>
          <w:sz w:val="24"/>
          <w:szCs w:val="24"/>
          <w:lang w:val="en-NZ" w:eastAsia="zh-CN"/>
        </w:rPr>
        <w:t>China</w:t>
      </w:r>
      <w:r w:rsidRPr="00A74BC5">
        <w:rPr>
          <w:rFonts w:eastAsiaTheme="minorEastAsia" w:hint="eastAsia"/>
          <w:sz w:val="24"/>
          <w:szCs w:val="24"/>
          <w:lang w:val="en-NZ" w:eastAsia="zh-CN"/>
        </w:rPr>
        <w:t xml:space="preserve"> - Document </w:t>
      </w:r>
      <w:r w:rsidR="000F7521" w:rsidRPr="000F7521">
        <w:rPr>
          <w:rFonts w:eastAsiaTheme="minorEastAsia"/>
          <w:sz w:val="24"/>
          <w:szCs w:val="24"/>
          <w:lang w:val="en-NZ" w:eastAsia="zh-CN"/>
        </w:rPr>
        <w:t>APG19-5/</w:t>
      </w:r>
      <w:hyperlink r:id="rId20" w:history="1">
        <w:r w:rsidR="000F7521" w:rsidRPr="000F7521">
          <w:rPr>
            <w:rFonts w:eastAsiaTheme="minorEastAsia"/>
            <w:sz w:val="24"/>
            <w:szCs w:val="24"/>
            <w:lang w:val="en-NZ" w:eastAsia="zh-CN"/>
          </w:rPr>
          <w:t>INP-</w:t>
        </w:r>
        <w:r w:rsidR="000F7521" w:rsidRPr="000F7521">
          <w:rPr>
            <w:rFonts w:eastAsiaTheme="minorEastAsia" w:hint="eastAsia"/>
            <w:sz w:val="24"/>
            <w:szCs w:val="24"/>
            <w:lang w:val="en-NZ" w:eastAsia="zh-CN"/>
          </w:rPr>
          <w:t>70</w:t>
        </w:r>
      </w:hyperlink>
    </w:p>
    <w:p w14:paraId="41E067AE" w14:textId="45CFBB7A" w:rsidR="007A30A5" w:rsidRPr="000E43BD" w:rsidRDefault="007A30A5" w:rsidP="000E43BD">
      <w:pPr>
        <w:pStyle w:val="Proposal"/>
        <w:spacing w:before="120"/>
        <w:rPr>
          <w:b w:val="0"/>
          <w:bCs/>
          <w:lang w:eastAsia="zh-CN"/>
        </w:rPr>
      </w:pPr>
      <w:r w:rsidRPr="000E43BD">
        <w:rPr>
          <w:b w:val="0"/>
          <w:bCs/>
          <w:i/>
          <w:iCs/>
        </w:rPr>
        <w:t>Issue 2</w:t>
      </w:r>
      <w:r w:rsidRPr="000E43BD">
        <w:rPr>
          <w:rFonts w:hint="eastAsia"/>
          <w:b w:val="0"/>
          <w:bCs/>
          <w:i/>
          <w:iCs/>
          <w:lang w:eastAsia="zh-CN"/>
        </w:rPr>
        <w:t>a</w:t>
      </w:r>
      <w:r w:rsidRPr="000E43BD">
        <w:rPr>
          <w:b w:val="0"/>
          <w:bCs/>
          <w:i/>
          <w:iCs/>
        </w:rPr>
        <w:t xml:space="preserve">) in the Annex to Resolution </w:t>
      </w:r>
      <w:r w:rsidRPr="000E43BD">
        <w:rPr>
          <w:b w:val="0"/>
          <w:bCs/>
          <w:iCs/>
        </w:rPr>
        <w:t>958 (WRC-15)</w:t>
      </w:r>
      <w:r w:rsidRPr="000E43BD">
        <w:rPr>
          <w:rFonts w:hint="eastAsia"/>
          <w:b w:val="0"/>
          <w:bCs/>
          <w:lang w:eastAsia="zh-CN"/>
        </w:rPr>
        <w:t xml:space="preserve">, </w:t>
      </w:r>
    </w:p>
    <w:p w14:paraId="7F37C9E6" w14:textId="77777777" w:rsidR="007A30A5" w:rsidRDefault="007A30A5" w:rsidP="000E43BD">
      <w:pPr>
        <w:jc w:val="both"/>
        <w:rPr>
          <w:rFonts w:eastAsia="SimSun"/>
          <w:lang w:eastAsia="zh-CN"/>
        </w:rPr>
      </w:pPr>
      <w:r>
        <w:rPr>
          <w:rFonts w:eastAsia="SimSun" w:hint="eastAsia"/>
          <w:b/>
          <w:u w:val="single"/>
          <w:lang w:eastAsia="zh-CN"/>
        </w:rPr>
        <w:t>NOC</w:t>
      </w:r>
      <w:r>
        <w:t>.</w:t>
      </w:r>
    </w:p>
    <w:p w14:paraId="1A496E73" w14:textId="77777777" w:rsidR="007A30A5" w:rsidRDefault="007A30A5" w:rsidP="007A30A5">
      <w:pPr>
        <w:jc w:val="center"/>
        <w:rPr>
          <w:rFonts w:eastAsia="SimSun"/>
          <w:lang w:eastAsia="zh-CN"/>
        </w:rPr>
      </w:pPr>
      <w:r>
        <w:rPr>
          <w:rFonts w:eastAsia="SimSun"/>
          <w:lang w:eastAsia="zh-CN"/>
        </w:rPr>
        <w:t>Radio Regulations (WRC-15) Volumes 1 and 2</w:t>
      </w:r>
    </w:p>
    <w:p w14:paraId="0E1EE8DA" w14:textId="77777777" w:rsidR="007A30A5" w:rsidRDefault="007A30A5" w:rsidP="007A30A5">
      <w:pPr>
        <w:jc w:val="center"/>
        <w:rPr>
          <w:rFonts w:eastAsia="SimSun"/>
          <w:lang w:eastAsia="zh-CN"/>
        </w:rPr>
      </w:pPr>
    </w:p>
    <w:p w14:paraId="5EC4879A" w14:textId="444CBDF3" w:rsidR="007A30A5" w:rsidRPr="000E43BD" w:rsidRDefault="007A30A5" w:rsidP="007A30A5">
      <w:pPr>
        <w:pStyle w:val="Proposal"/>
        <w:spacing w:afterLines="50" w:after="120"/>
        <w:rPr>
          <w:b w:val="0"/>
          <w:bCs/>
          <w:i/>
          <w:iCs/>
        </w:rPr>
      </w:pPr>
      <w:r w:rsidRPr="000E43BD">
        <w:rPr>
          <w:b w:val="0"/>
          <w:bCs/>
          <w:i/>
          <w:iCs/>
        </w:rPr>
        <w:t>Issue 2</w:t>
      </w:r>
      <w:r w:rsidRPr="000E43BD">
        <w:rPr>
          <w:rFonts w:hint="eastAsia"/>
          <w:b w:val="0"/>
          <w:bCs/>
          <w:i/>
          <w:iCs/>
        </w:rPr>
        <w:t>b</w:t>
      </w:r>
      <w:r w:rsidRPr="000E43BD">
        <w:rPr>
          <w:b w:val="0"/>
          <w:bCs/>
          <w:i/>
          <w:iCs/>
        </w:rPr>
        <w:t>) in the Annex to Resolution 958 (WRC-15)</w:t>
      </w:r>
    </w:p>
    <w:p w14:paraId="06AC79B2" w14:textId="77777777" w:rsidR="007A30A5" w:rsidRDefault="007A30A5" w:rsidP="007A30A5">
      <w:pPr>
        <w:spacing w:afterLines="50" w:after="120"/>
        <w:jc w:val="both"/>
        <w:rPr>
          <w:rFonts w:eastAsia="SimSun"/>
          <w:lang w:eastAsia="zh-CN"/>
        </w:rPr>
      </w:pPr>
      <w:r>
        <w:rPr>
          <w:lang w:eastAsia="zh-CN"/>
        </w:rPr>
        <w:t>To further assist administrations in managing (identifying and geolocating) the unauthorized operation of earth station</w:t>
      </w:r>
      <w:r>
        <w:t xml:space="preserve">s </w:t>
      </w:r>
      <w:r>
        <w:rPr>
          <w:lang w:eastAsia="zh-CN"/>
        </w:rPr>
        <w:t>deployed within their territory</w:t>
      </w:r>
      <w:r>
        <w:t xml:space="preserve">, the ITU-R needs to provide necessary guidelines on satellite </w:t>
      </w:r>
      <w:r>
        <w:rPr>
          <w:lang w:eastAsia="zh-CN"/>
        </w:rPr>
        <w:t>monitoring</w:t>
      </w:r>
      <w:r>
        <w:t xml:space="preserve"> </w:t>
      </w:r>
      <w:r>
        <w:rPr>
          <w:lang w:eastAsia="zh-CN"/>
        </w:rPr>
        <w:t>capabilities</w:t>
      </w:r>
      <w:r>
        <w:t xml:space="preserve">, </w:t>
      </w:r>
      <w:r>
        <w:rPr>
          <w:lang w:eastAsia="zh-CN"/>
        </w:rPr>
        <w:t>along</w:t>
      </w:r>
      <w:r>
        <w:t xml:space="preserve"> </w:t>
      </w:r>
      <w:r>
        <w:rPr>
          <w:lang w:eastAsia="zh-CN"/>
        </w:rPr>
        <w:t xml:space="preserve">with possible revision and </w:t>
      </w:r>
      <w:r>
        <w:rPr>
          <w:lang w:eastAsia="zh-CN"/>
        </w:rPr>
        <w:lastRenderedPageBreak/>
        <w:t>further development of</w:t>
      </w:r>
      <w:r>
        <w:t xml:space="preserve"> </w:t>
      </w:r>
      <w:r>
        <w:rPr>
          <w:lang w:eastAsia="zh-CN"/>
        </w:rPr>
        <w:t>ITU-R</w:t>
      </w:r>
      <w:r>
        <w:t xml:space="preserve"> </w:t>
      </w:r>
      <w:r>
        <w:rPr>
          <w:lang w:eastAsia="zh-CN"/>
        </w:rPr>
        <w:t>Reports or</w:t>
      </w:r>
      <w:r>
        <w:t xml:space="preserve"> </w:t>
      </w:r>
      <w:r>
        <w:rPr>
          <w:lang w:eastAsia="zh-CN"/>
        </w:rPr>
        <w:t>Handbooks</w:t>
      </w:r>
      <w:r>
        <w:t xml:space="preserve"> in this regard. These may provide guidance and support for administrations in managing the unauthorized operation of earth stations deployed within their territory and tools to guide their national spectrum management.</w:t>
      </w:r>
    </w:p>
    <w:p w14:paraId="429ECFCD" w14:textId="0041B12E" w:rsidR="0055081E" w:rsidRDefault="0055081E" w:rsidP="0055081E">
      <w:pPr>
        <w:pStyle w:val="Heading3"/>
        <w:numPr>
          <w:ilvl w:val="2"/>
          <w:numId w:val="27"/>
        </w:numPr>
        <w:spacing w:beforeLines="50" w:before="120" w:after="0" w:line="360" w:lineRule="auto"/>
        <w:ind w:left="420"/>
        <w:rPr>
          <w:rFonts w:eastAsiaTheme="minorEastAsia"/>
          <w:sz w:val="24"/>
          <w:szCs w:val="24"/>
          <w:lang w:val="en-NZ" w:eastAsia="zh-CN"/>
        </w:rPr>
      </w:pPr>
      <w:r w:rsidRPr="00A74BC5">
        <w:rPr>
          <w:rFonts w:eastAsiaTheme="minorEastAsia" w:hint="eastAsia"/>
          <w:sz w:val="24"/>
          <w:szCs w:val="24"/>
          <w:lang w:val="en-NZ" w:eastAsia="zh-CN"/>
        </w:rPr>
        <w:t xml:space="preserve">Indonesia - Document </w:t>
      </w:r>
      <w:r w:rsidRPr="00A74BC5">
        <w:rPr>
          <w:rFonts w:eastAsiaTheme="minorEastAsia"/>
          <w:sz w:val="24"/>
          <w:szCs w:val="24"/>
          <w:lang w:val="en-NZ" w:eastAsia="zh-CN"/>
        </w:rPr>
        <w:t>APG19-</w:t>
      </w:r>
      <w:r w:rsidR="000F7521">
        <w:rPr>
          <w:rFonts w:eastAsiaTheme="minorEastAsia" w:hint="eastAsia"/>
          <w:sz w:val="24"/>
          <w:szCs w:val="24"/>
          <w:lang w:val="en-NZ" w:eastAsia="zh-CN"/>
        </w:rPr>
        <w:t>5</w:t>
      </w:r>
      <w:r w:rsidRPr="00A74BC5">
        <w:rPr>
          <w:rFonts w:eastAsiaTheme="minorEastAsia" w:hint="eastAsia"/>
          <w:sz w:val="24"/>
          <w:szCs w:val="24"/>
          <w:lang w:val="en-NZ" w:eastAsia="zh-CN"/>
        </w:rPr>
        <w:t>/</w:t>
      </w:r>
      <w:r w:rsidRPr="00A74BC5">
        <w:rPr>
          <w:rFonts w:eastAsiaTheme="minorEastAsia"/>
          <w:sz w:val="24"/>
          <w:szCs w:val="24"/>
          <w:lang w:val="en-NZ" w:eastAsia="zh-CN"/>
        </w:rPr>
        <w:t>INP-</w:t>
      </w:r>
      <w:r w:rsidR="000F7521">
        <w:rPr>
          <w:rFonts w:eastAsiaTheme="minorEastAsia" w:hint="eastAsia"/>
          <w:sz w:val="24"/>
          <w:szCs w:val="24"/>
          <w:lang w:val="en-NZ" w:eastAsia="zh-CN"/>
        </w:rPr>
        <w:t>54</w:t>
      </w:r>
    </w:p>
    <w:p w14:paraId="5D9C99FD" w14:textId="77777777" w:rsidR="007A30A5" w:rsidRDefault="007A30A5" w:rsidP="007A30A5">
      <w:pPr>
        <w:spacing w:afterLines="50" w:after="120"/>
        <w:jc w:val="both"/>
      </w:pPr>
      <w:r>
        <w:t xml:space="preserve">For </w:t>
      </w:r>
      <w:r>
        <w:rPr>
          <w:i/>
        </w:rPr>
        <w:t>Issue 2a</w:t>
      </w:r>
      <w:r>
        <w:t>) in Annex to Resolution</w:t>
      </w:r>
      <w:r>
        <w:rPr>
          <w:b/>
        </w:rPr>
        <w:t xml:space="preserve"> 958 (WRC-15)</w:t>
      </w:r>
      <w:r>
        <w:t>, Indonesia is of the view that earth station licensing and its related issues including unauthorized transmissions are national matters and no changes to the Radio Regulations are necessary as Article 18 sufficiently addresses the required international regulatory measures.</w:t>
      </w:r>
    </w:p>
    <w:p w14:paraId="335EF9A9" w14:textId="4E18BA02" w:rsidR="007A30A5" w:rsidRPr="007A30A5" w:rsidRDefault="007A30A5" w:rsidP="007A30A5">
      <w:pPr>
        <w:spacing w:afterLines="50" w:after="120"/>
        <w:jc w:val="both"/>
        <w:rPr>
          <w:rFonts w:eastAsiaTheme="minorEastAsia"/>
          <w:lang w:eastAsia="zh-CN"/>
        </w:rPr>
      </w:pPr>
      <w:r>
        <w:t xml:space="preserve">For </w:t>
      </w:r>
      <w:r>
        <w:rPr>
          <w:i/>
        </w:rPr>
        <w:t>Issue 2b)</w:t>
      </w:r>
      <w:r>
        <w:t xml:space="preserve"> in Annex to Resolution </w:t>
      </w:r>
      <w:r>
        <w:rPr>
          <w:b/>
        </w:rPr>
        <w:t>958 (WRC-15)</w:t>
      </w:r>
      <w:r>
        <w:t>, Indonesia is of the view to support ITU to provide necessary guidelines on satellite monitoring capabilities, along with possible revision and/or further development of ITU-R Reports or Handbooks to assist administrations with managing unauthorized operation of earth station terminals deployed within their territory, as a tool to guide their national spectrum management.</w:t>
      </w:r>
    </w:p>
    <w:p w14:paraId="727AE472" w14:textId="6DF1DBC6" w:rsidR="0055081E" w:rsidRPr="00B10296" w:rsidRDefault="0055081E" w:rsidP="0055081E">
      <w:pPr>
        <w:pStyle w:val="Heading3"/>
        <w:numPr>
          <w:ilvl w:val="2"/>
          <w:numId w:val="27"/>
        </w:numPr>
        <w:spacing w:beforeLines="50" w:before="120" w:after="0" w:line="360" w:lineRule="auto"/>
        <w:ind w:left="420"/>
        <w:rPr>
          <w:rFonts w:eastAsiaTheme="minorEastAsia"/>
          <w:sz w:val="24"/>
          <w:szCs w:val="24"/>
          <w:lang w:val="en-NZ" w:eastAsia="zh-CN"/>
        </w:rPr>
      </w:pPr>
      <w:r>
        <w:rPr>
          <w:rFonts w:eastAsiaTheme="minorEastAsia" w:hint="eastAsia"/>
          <w:sz w:val="24"/>
          <w:szCs w:val="24"/>
          <w:lang w:val="en-NZ" w:eastAsia="zh-CN"/>
        </w:rPr>
        <w:t>Iran -</w:t>
      </w:r>
      <w:r w:rsidRPr="00386900">
        <w:rPr>
          <w:rFonts w:eastAsiaTheme="minorEastAsia" w:hint="eastAsia"/>
          <w:sz w:val="24"/>
          <w:szCs w:val="24"/>
          <w:lang w:val="en-NZ" w:eastAsia="zh-CN"/>
        </w:rPr>
        <w:t xml:space="preserve"> </w:t>
      </w:r>
      <w:r>
        <w:rPr>
          <w:rFonts w:eastAsiaTheme="minorEastAsia" w:hint="eastAsia"/>
          <w:sz w:val="24"/>
          <w:szCs w:val="24"/>
          <w:lang w:val="en-NZ" w:eastAsia="zh-CN"/>
        </w:rPr>
        <w:t xml:space="preserve">Document </w:t>
      </w:r>
      <w:r w:rsidR="000F7521" w:rsidRPr="000F7521">
        <w:rPr>
          <w:rFonts w:eastAsiaTheme="minorEastAsia"/>
          <w:sz w:val="24"/>
          <w:szCs w:val="24"/>
          <w:lang w:val="en-NZ" w:eastAsia="zh-CN"/>
        </w:rPr>
        <w:t>APG19-5/</w:t>
      </w:r>
      <w:hyperlink r:id="rId21" w:history="1">
        <w:r w:rsidR="000F7521" w:rsidRPr="000F7521">
          <w:rPr>
            <w:rFonts w:eastAsiaTheme="minorEastAsia"/>
            <w:sz w:val="24"/>
            <w:szCs w:val="24"/>
            <w:lang w:val="en-NZ" w:eastAsia="zh-CN"/>
          </w:rPr>
          <w:t>INP-</w:t>
        </w:r>
        <w:r w:rsidR="000F7521" w:rsidRPr="000F7521">
          <w:rPr>
            <w:rFonts w:eastAsiaTheme="minorEastAsia" w:hint="eastAsia"/>
            <w:sz w:val="24"/>
            <w:szCs w:val="24"/>
            <w:lang w:val="en-NZ" w:eastAsia="zh-CN"/>
          </w:rPr>
          <w:t>34</w:t>
        </w:r>
      </w:hyperlink>
      <w:r w:rsidR="000F7521" w:rsidRPr="000F7521">
        <w:rPr>
          <w:rFonts w:eastAsiaTheme="minorEastAsia" w:hint="eastAsia"/>
          <w:sz w:val="24"/>
          <w:szCs w:val="24"/>
          <w:lang w:val="en-NZ" w:eastAsia="zh-CN"/>
        </w:rPr>
        <w:t xml:space="preserve">(IRN), </w:t>
      </w:r>
      <w:r w:rsidR="000F7521" w:rsidRPr="000F7521">
        <w:rPr>
          <w:rFonts w:eastAsiaTheme="minorEastAsia"/>
          <w:sz w:val="24"/>
          <w:szCs w:val="24"/>
          <w:lang w:val="en-NZ" w:eastAsia="zh-CN"/>
        </w:rPr>
        <w:t>APG19-5</w:t>
      </w:r>
      <w:r w:rsidR="000F7521" w:rsidRPr="000F7521">
        <w:rPr>
          <w:rFonts w:eastAsiaTheme="minorEastAsia" w:hint="eastAsia"/>
          <w:sz w:val="24"/>
          <w:szCs w:val="24"/>
          <w:lang w:val="en-NZ" w:eastAsia="zh-CN"/>
        </w:rPr>
        <w:t>/</w:t>
      </w:r>
      <w:hyperlink r:id="rId22" w:history="1">
        <w:r w:rsidR="000F7521" w:rsidRPr="000F7521">
          <w:rPr>
            <w:rFonts w:eastAsiaTheme="minorEastAsia"/>
            <w:sz w:val="24"/>
            <w:szCs w:val="24"/>
            <w:lang w:val="en-NZ" w:eastAsia="zh-CN"/>
          </w:rPr>
          <w:t>34</w:t>
        </w:r>
        <w:r w:rsidR="000F7521" w:rsidRPr="000F7521">
          <w:rPr>
            <w:rFonts w:eastAsiaTheme="minorEastAsia" w:hint="eastAsia"/>
            <w:sz w:val="24"/>
            <w:szCs w:val="24"/>
            <w:lang w:val="en-NZ" w:eastAsia="zh-CN"/>
          </w:rPr>
          <w:t>-</w:t>
        </w:r>
        <w:r w:rsidR="000F7521" w:rsidRPr="000F7521">
          <w:rPr>
            <w:rFonts w:eastAsiaTheme="minorEastAsia"/>
            <w:sz w:val="24"/>
            <w:szCs w:val="24"/>
            <w:lang w:val="en-NZ" w:eastAsia="zh-CN"/>
          </w:rPr>
          <w:t>Add1</w:t>
        </w:r>
      </w:hyperlink>
    </w:p>
    <w:p w14:paraId="0143B413" w14:textId="77777777" w:rsidR="00D64283" w:rsidRDefault="00A34BAE" w:rsidP="00502F2B">
      <w:pPr>
        <w:spacing w:afterLines="50" w:after="120"/>
        <w:rPr>
          <w:rFonts w:eastAsiaTheme="minorEastAsia"/>
          <w:lang w:eastAsia="zh-CN"/>
        </w:rPr>
      </w:pPr>
      <w:r>
        <w:t xml:space="preserve">The Administration of Iran proposes </w:t>
      </w:r>
      <w:r>
        <w:rPr>
          <w:rFonts w:eastAsiaTheme="minorEastAsia" w:hint="eastAsia"/>
          <w:lang w:eastAsia="zh-CN"/>
        </w:rPr>
        <w:t>two</w:t>
      </w:r>
      <w:r>
        <w:t xml:space="preserve"> Draft PACP</w:t>
      </w:r>
      <w:r>
        <w:rPr>
          <w:rFonts w:eastAsiaTheme="minorEastAsia" w:hint="eastAsia"/>
          <w:lang w:eastAsia="zh-CN"/>
        </w:rPr>
        <w:t xml:space="preserve">s </w:t>
      </w:r>
      <w:r w:rsidR="00D64283">
        <w:rPr>
          <w:rFonts w:eastAsiaTheme="minorEastAsia" w:hint="eastAsia"/>
          <w:lang w:eastAsia="zh-CN"/>
        </w:rPr>
        <w:t xml:space="preserve">as following </w:t>
      </w:r>
      <w:r>
        <w:rPr>
          <w:rFonts w:eastAsiaTheme="minorEastAsia" w:hint="eastAsia"/>
          <w:lang w:eastAsia="zh-CN"/>
        </w:rPr>
        <w:t xml:space="preserve">to be considered and adopted as PACPs by </w:t>
      </w:r>
      <w:r w:rsidR="00D64283">
        <w:t>APG</w:t>
      </w:r>
      <w:r>
        <w:t>19-5 meeting</w:t>
      </w:r>
      <w:r w:rsidR="00D64283">
        <w:rPr>
          <w:rFonts w:eastAsiaTheme="minorEastAsia" w:hint="eastAsia"/>
          <w:lang w:eastAsia="zh-CN"/>
        </w:rPr>
        <w:t>:</w:t>
      </w:r>
    </w:p>
    <w:p w14:paraId="06646DB1" w14:textId="2830CDC5" w:rsidR="00A34BAE" w:rsidRDefault="00D64283" w:rsidP="00A34BAE">
      <w:pPr>
        <w:pStyle w:val="ListParagraph"/>
        <w:numPr>
          <w:ilvl w:val="0"/>
          <w:numId w:val="40"/>
        </w:numPr>
        <w:spacing w:afterLines="50" w:after="120"/>
        <w:rPr>
          <w:rFonts w:eastAsiaTheme="minorEastAsia"/>
          <w:lang w:eastAsia="zh-CN"/>
        </w:rPr>
      </w:pPr>
      <w:r>
        <w:rPr>
          <w:rFonts w:eastAsiaTheme="minorEastAsia" w:hint="eastAsia"/>
          <w:lang w:eastAsia="zh-CN"/>
        </w:rPr>
        <w:t>The first Draft PACP proposes no change to the Articles and suppress</w:t>
      </w:r>
      <w:r w:rsidR="00A5236C">
        <w:rPr>
          <w:rFonts w:eastAsiaTheme="minorEastAsia" w:hint="eastAsia"/>
          <w:lang w:eastAsia="zh-CN"/>
        </w:rPr>
        <w:t>ing</w:t>
      </w:r>
      <w:r>
        <w:rPr>
          <w:rFonts w:eastAsiaTheme="minorEastAsia" w:hint="eastAsia"/>
          <w:lang w:eastAsia="zh-CN"/>
        </w:rPr>
        <w:t xml:space="preserve"> Resolution </w:t>
      </w:r>
      <w:r w:rsidRPr="003F4789">
        <w:rPr>
          <w:rFonts w:asciiTheme="majorBidi" w:hAnsiTheme="majorBidi"/>
          <w:b/>
        </w:rPr>
        <w:t>958 (WRC-15)</w:t>
      </w:r>
      <w:r>
        <w:rPr>
          <w:rFonts w:eastAsiaTheme="minorEastAsia" w:hint="eastAsia"/>
          <w:lang w:eastAsia="zh-CN"/>
        </w:rPr>
        <w:t xml:space="preserve"> </w:t>
      </w:r>
      <w:r w:rsidR="00A34BAE">
        <w:rPr>
          <w:rFonts w:eastAsiaTheme="minorEastAsia" w:hint="eastAsia"/>
          <w:lang w:eastAsia="zh-CN"/>
        </w:rPr>
        <w:t>(see</w:t>
      </w:r>
      <w:r>
        <w:rPr>
          <w:rFonts w:eastAsiaTheme="minorEastAsia" w:hint="eastAsia"/>
          <w:lang w:eastAsia="zh-CN"/>
        </w:rPr>
        <w:t xml:space="preserve"> the</w:t>
      </w:r>
      <w:r w:rsidR="00A34BAE">
        <w:rPr>
          <w:rFonts w:eastAsiaTheme="minorEastAsia" w:hint="eastAsia"/>
          <w:lang w:eastAsia="zh-CN"/>
        </w:rPr>
        <w:t xml:space="preserve"> </w:t>
      </w:r>
      <w:r w:rsidR="00A34BAE">
        <w:t>embedded</w:t>
      </w:r>
      <w:r w:rsidR="00A34BAE">
        <w:rPr>
          <w:rFonts w:eastAsiaTheme="minorEastAsia" w:hint="eastAsia"/>
          <w:lang w:eastAsia="zh-CN"/>
        </w:rPr>
        <w:t xml:space="preserve"> file in </w:t>
      </w:r>
      <w:r w:rsidR="00A34BAE" w:rsidRPr="003F4789">
        <w:t>Doc</w:t>
      </w:r>
      <w:r w:rsidR="00A34BAE">
        <w:t>ument</w:t>
      </w:r>
      <w:r w:rsidR="00A34BAE">
        <w:rPr>
          <w:rFonts w:eastAsiaTheme="minorEastAsia" w:hint="eastAsia"/>
          <w:lang w:eastAsia="zh-CN"/>
        </w:rPr>
        <w:t xml:space="preserve"> </w:t>
      </w:r>
      <w:r w:rsidR="00A34BAE" w:rsidRPr="000F7521">
        <w:rPr>
          <w:rFonts w:eastAsiaTheme="minorEastAsia"/>
          <w:lang w:val="en-NZ" w:eastAsia="zh-CN"/>
        </w:rPr>
        <w:t>APG19-5</w:t>
      </w:r>
      <w:r w:rsidR="00A34BAE" w:rsidRPr="000F7521">
        <w:rPr>
          <w:rFonts w:eastAsiaTheme="minorEastAsia" w:hint="eastAsia"/>
          <w:lang w:val="en-NZ" w:eastAsia="zh-CN"/>
        </w:rPr>
        <w:t>/</w:t>
      </w:r>
      <w:hyperlink r:id="rId23" w:history="1">
        <w:r w:rsidR="00A34BAE" w:rsidRPr="00A5236C">
          <w:rPr>
            <w:rStyle w:val="Hyperlink"/>
            <w:rFonts w:eastAsiaTheme="minorEastAsia" w:hint="eastAsia"/>
            <w:lang w:val="en-NZ" w:eastAsia="zh-CN"/>
          </w:rPr>
          <w:t>INP-</w:t>
        </w:r>
        <w:r w:rsidR="00A34BAE" w:rsidRPr="00A5236C">
          <w:rPr>
            <w:rStyle w:val="Hyperlink"/>
            <w:rFonts w:eastAsiaTheme="minorEastAsia"/>
            <w:lang w:val="en-NZ" w:eastAsia="zh-CN"/>
          </w:rPr>
          <w:t>34</w:t>
        </w:r>
      </w:hyperlink>
      <w:r w:rsidR="00A34BAE">
        <w:rPr>
          <w:rFonts w:eastAsiaTheme="minorEastAsia" w:hint="eastAsia"/>
          <w:lang w:eastAsia="zh-CN"/>
        </w:rPr>
        <w:t xml:space="preserve"> )</w:t>
      </w:r>
      <w:r>
        <w:rPr>
          <w:rFonts w:eastAsiaTheme="minorEastAsia" w:hint="eastAsia"/>
          <w:lang w:eastAsia="zh-CN"/>
        </w:rPr>
        <w:t>.</w:t>
      </w:r>
    </w:p>
    <w:p w14:paraId="40987BF8" w14:textId="3A1720BA" w:rsidR="00A5236C" w:rsidRPr="00A34BAE" w:rsidRDefault="00A5236C" w:rsidP="00A5236C">
      <w:pPr>
        <w:pStyle w:val="ListParagraph"/>
        <w:numPr>
          <w:ilvl w:val="0"/>
          <w:numId w:val="40"/>
        </w:numPr>
        <w:spacing w:afterLines="50" w:after="120"/>
        <w:rPr>
          <w:rFonts w:eastAsiaTheme="minorEastAsia"/>
          <w:lang w:eastAsia="zh-CN"/>
        </w:rPr>
      </w:pPr>
      <w:r>
        <w:rPr>
          <w:rFonts w:eastAsiaTheme="minorEastAsia" w:hint="eastAsia"/>
          <w:lang w:eastAsia="zh-CN"/>
        </w:rPr>
        <w:t xml:space="preserve">The second Draft PACP proposes </w:t>
      </w:r>
      <w:r w:rsidRPr="00502F2B">
        <w:rPr>
          <w:rFonts w:eastAsia="MS Gothic"/>
        </w:rPr>
        <w:t>modification to draft new Resolution under Option 2 of Issue 2a as provided in the CPM Report</w:t>
      </w:r>
      <w:r>
        <w:rPr>
          <w:rFonts w:eastAsiaTheme="minorEastAsia" w:hint="eastAsia"/>
          <w:lang w:eastAsia="zh-CN"/>
        </w:rPr>
        <w:t xml:space="preserve"> (see </w:t>
      </w:r>
      <w:r w:rsidRPr="003F4789">
        <w:t>Doc</w:t>
      </w:r>
      <w:r>
        <w:t>ument</w:t>
      </w:r>
      <w:r>
        <w:rPr>
          <w:rFonts w:eastAsiaTheme="minorEastAsia" w:hint="eastAsia"/>
          <w:lang w:eastAsia="zh-CN"/>
        </w:rPr>
        <w:t xml:space="preserve"> </w:t>
      </w:r>
      <w:r w:rsidRPr="000F7521">
        <w:rPr>
          <w:rFonts w:eastAsiaTheme="minorEastAsia"/>
          <w:lang w:val="en-NZ" w:eastAsia="zh-CN"/>
        </w:rPr>
        <w:t>APG19-5</w:t>
      </w:r>
      <w:r w:rsidRPr="000F7521">
        <w:rPr>
          <w:rFonts w:eastAsiaTheme="minorEastAsia" w:hint="eastAsia"/>
          <w:lang w:val="en-NZ" w:eastAsia="zh-CN"/>
        </w:rPr>
        <w:t>/</w:t>
      </w:r>
      <w:hyperlink r:id="rId24" w:history="1">
        <w:r w:rsidRPr="00A5236C">
          <w:rPr>
            <w:rStyle w:val="Hyperlink"/>
            <w:rFonts w:eastAsiaTheme="minorEastAsia" w:hint="eastAsia"/>
            <w:lang w:val="en-NZ" w:eastAsia="zh-CN"/>
          </w:rPr>
          <w:t>INP-</w:t>
        </w:r>
        <w:r w:rsidRPr="00A5236C">
          <w:rPr>
            <w:rStyle w:val="Hyperlink"/>
            <w:rFonts w:eastAsiaTheme="minorEastAsia"/>
            <w:lang w:val="en-NZ" w:eastAsia="zh-CN"/>
          </w:rPr>
          <w:t>34</w:t>
        </w:r>
        <w:r w:rsidRPr="00A5236C">
          <w:rPr>
            <w:rStyle w:val="Hyperlink"/>
            <w:rFonts w:eastAsiaTheme="minorEastAsia" w:hint="eastAsia"/>
            <w:lang w:val="en-NZ" w:eastAsia="zh-CN"/>
          </w:rPr>
          <w:t>-</w:t>
        </w:r>
        <w:r w:rsidRPr="00A5236C">
          <w:rPr>
            <w:rStyle w:val="Hyperlink"/>
            <w:rFonts w:eastAsiaTheme="minorEastAsia"/>
            <w:lang w:val="en-NZ" w:eastAsia="zh-CN"/>
          </w:rPr>
          <w:t>Add1</w:t>
        </w:r>
      </w:hyperlink>
      <w:r>
        <w:rPr>
          <w:rFonts w:eastAsiaTheme="minorEastAsia" w:hint="eastAsia"/>
          <w:lang w:eastAsia="zh-CN"/>
        </w:rPr>
        <w:t>).</w:t>
      </w:r>
    </w:p>
    <w:p w14:paraId="211BB0F3" w14:textId="7AA0C35C" w:rsidR="0055081E" w:rsidRDefault="0055081E" w:rsidP="0055081E">
      <w:pPr>
        <w:pStyle w:val="Heading3"/>
        <w:numPr>
          <w:ilvl w:val="2"/>
          <w:numId w:val="27"/>
        </w:numPr>
        <w:spacing w:beforeLines="50" w:before="120" w:after="0" w:line="360" w:lineRule="auto"/>
        <w:ind w:left="420"/>
        <w:rPr>
          <w:rFonts w:eastAsiaTheme="minorEastAsia"/>
          <w:sz w:val="24"/>
          <w:szCs w:val="24"/>
          <w:lang w:val="en-NZ" w:eastAsia="zh-CN"/>
        </w:rPr>
      </w:pPr>
      <w:r w:rsidRPr="00A74BC5">
        <w:rPr>
          <w:rFonts w:eastAsiaTheme="minorEastAsia"/>
          <w:sz w:val="24"/>
          <w:szCs w:val="24"/>
          <w:lang w:val="en-NZ" w:eastAsia="zh-CN"/>
        </w:rPr>
        <w:t>Japan</w:t>
      </w:r>
      <w:r w:rsidRPr="00A74BC5">
        <w:rPr>
          <w:rFonts w:eastAsiaTheme="minorEastAsia" w:hint="eastAsia"/>
          <w:sz w:val="24"/>
          <w:szCs w:val="24"/>
          <w:lang w:val="en-NZ" w:eastAsia="zh-CN"/>
        </w:rPr>
        <w:t xml:space="preserve"> - Document </w:t>
      </w:r>
      <w:r w:rsidR="000F7521" w:rsidRPr="000F7521">
        <w:rPr>
          <w:rFonts w:eastAsiaTheme="minorEastAsia"/>
          <w:sz w:val="24"/>
          <w:szCs w:val="24"/>
          <w:lang w:val="en-NZ" w:eastAsia="zh-CN"/>
        </w:rPr>
        <w:t>APG19-5/</w:t>
      </w:r>
      <w:hyperlink r:id="rId25" w:history="1">
        <w:r w:rsidR="000F7521" w:rsidRPr="000F7521">
          <w:rPr>
            <w:rFonts w:eastAsiaTheme="minorEastAsia"/>
            <w:sz w:val="24"/>
            <w:szCs w:val="24"/>
            <w:lang w:val="en-NZ" w:eastAsia="zh-CN"/>
          </w:rPr>
          <w:t>INP-</w:t>
        </w:r>
        <w:r w:rsidR="000F7521" w:rsidRPr="000F7521">
          <w:rPr>
            <w:rFonts w:eastAsiaTheme="minorEastAsia" w:hint="eastAsia"/>
            <w:sz w:val="24"/>
            <w:szCs w:val="24"/>
            <w:lang w:val="en-NZ" w:eastAsia="zh-CN"/>
          </w:rPr>
          <w:t>88-R1</w:t>
        </w:r>
      </w:hyperlink>
      <w:r w:rsidR="000F7521" w:rsidRPr="000F7521">
        <w:rPr>
          <w:rFonts w:eastAsiaTheme="minorEastAsia" w:hint="eastAsia"/>
          <w:sz w:val="24"/>
          <w:szCs w:val="24"/>
          <w:lang w:val="en-NZ" w:eastAsia="zh-CN"/>
        </w:rPr>
        <w:t xml:space="preserve">(J), </w:t>
      </w:r>
      <w:r w:rsidR="000F7521" w:rsidRPr="000F7521">
        <w:rPr>
          <w:rFonts w:eastAsiaTheme="minorEastAsia"/>
          <w:sz w:val="24"/>
          <w:szCs w:val="24"/>
          <w:lang w:val="en-NZ" w:eastAsia="zh-CN"/>
        </w:rPr>
        <w:t>APG19-5/</w:t>
      </w:r>
      <w:hyperlink r:id="rId26" w:history="1">
        <w:r w:rsidR="000F7521" w:rsidRPr="000F7521">
          <w:rPr>
            <w:rFonts w:eastAsiaTheme="minorEastAsia"/>
            <w:sz w:val="24"/>
            <w:szCs w:val="24"/>
            <w:lang w:val="en-NZ" w:eastAsia="zh-CN"/>
          </w:rPr>
          <w:t>INP-</w:t>
        </w:r>
        <w:r w:rsidR="000F7521" w:rsidRPr="000F7521">
          <w:rPr>
            <w:rFonts w:eastAsiaTheme="minorEastAsia" w:hint="eastAsia"/>
            <w:sz w:val="24"/>
            <w:szCs w:val="24"/>
            <w:lang w:val="en-NZ" w:eastAsia="zh-CN"/>
          </w:rPr>
          <w:t>90</w:t>
        </w:r>
      </w:hyperlink>
    </w:p>
    <w:p w14:paraId="5B591A82" w14:textId="50948BE0" w:rsidR="00336F36" w:rsidRPr="00336F36" w:rsidRDefault="00336F36" w:rsidP="00336F36">
      <w:pPr>
        <w:spacing w:afterLines="50" w:after="120"/>
        <w:jc w:val="both"/>
      </w:pPr>
      <w:r w:rsidRPr="00336F36">
        <w:t>Japan supports the studies conducted at ITU-R, which are not to impose unnecessary regulations and constraints on administrations, satellite network operators and authorized earth stations.</w:t>
      </w:r>
      <w:r w:rsidRPr="00EA3B27">
        <w:t xml:space="preserve"> </w:t>
      </w:r>
      <w:r w:rsidRPr="00336F36">
        <w:t>To resolve Issue 2b, Japan supports that ITU-R provides necessary guidelines on satellite monitoring capabilities, along with possible revision and further development of ITU-R Reports or Handbooks.</w:t>
      </w:r>
    </w:p>
    <w:p w14:paraId="270EFC0D" w14:textId="3316EBD4" w:rsidR="00336F36" w:rsidRDefault="00336F36" w:rsidP="007A30A5">
      <w:pPr>
        <w:rPr>
          <w:rFonts w:eastAsiaTheme="minorEastAsia"/>
          <w:lang w:eastAsia="zh-CN"/>
        </w:rPr>
      </w:pPr>
      <w:r w:rsidRPr="00336F36">
        <w:t>With respect to Issue 2a), while Japan does not oppose to Option 1-NOC</w:t>
      </w:r>
      <w:r>
        <w:t xml:space="preserve"> to the RR, as a possible way forward, Japan may also accept Option 2 provided that some modifications to the new WRC Resolution</w:t>
      </w:r>
      <w:r w:rsidR="001B73F7">
        <w:rPr>
          <w:rFonts w:eastAsiaTheme="minorEastAsia" w:hint="eastAsia"/>
          <w:lang w:eastAsia="zh-CN"/>
        </w:rPr>
        <w:t xml:space="preserve"> </w:t>
      </w:r>
      <w:r>
        <w:t>are agreed</w:t>
      </w:r>
      <w:r w:rsidR="001B73F7">
        <w:rPr>
          <w:rFonts w:eastAsiaTheme="minorEastAsia" w:hint="eastAsia"/>
          <w:lang w:eastAsia="zh-CN"/>
        </w:rPr>
        <w:t xml:space="preserve">(see the attachment in </w:t>
      </w:r>
      <w:r w:rsidR="001B73F7" w:rsidRPr="003F4789">
        <w:t>Doc</w:t>
      </w:r>
      <w:r w:rsidR="001B73F7">
        <w:t>ument</w:t>
      </w:r>
      <w:r w:rsidR="001B73F7">
        <w:rPr>
          <w:rFonts w:eastAsiaTheme="minorEastAsia" w:hint="eastAsia"/>
          <w:lang w:eastAsia="zh-CN"/>
        </w:rPr>
        <w:t xml:space="preserve"> </w:t>
      </w:r>
      <w:r w:rsidR="001B73F7" w:rsidRPr="000F7521">
        <w:rPr>
          <w:rFonts w:eastAsiaTheme="minorEastAsia"/>
          <w:lang w:val="en-NZ" w:eastAsia="zh-CN"/>
        </w:rPr>
        <w:t>APG19-5</w:t>
      </w:r>
      <w:r w:rsidR="001B73F7" w:rsidRPr="000F7521">
        <w:rPr>
          <w:rFonts w:eastAsiaTheme="minorEastAsia" w:hint="eastAsia"/>
          <w:lang w:val="en-NZ" w:eastAsia="zh-CN"/>
        </w:rPr>
        <w:t>/</w:t>
      </w:r>
      <w:hyperlink r:id="rId27" w:history="1">
        <w:r w:rsidR="001B73F7" w:rsidRPr="00A5236C">
          <w:rPr>
            <w:rStyle w:val="Hyperlink"/>
            <w:rFonts w:eastAsiaTheme="minorEastAsia" w:hint="eastAsia"/>
            <w:lang w:val="en-NZ" w:eastAsia="zh-CN"/>
          </w:rPr>
          <w:t>INP-</w:t>
        </w:r>
        <w:r w:rsidR="001B73F7">
          <w:rPr>
            <w:rStyle w:val="Hyperlink"/>
            <w:rFonts w:eastAsiaTheme="minorEastAsia" w:hint="eastAsia"/>
            <w:lang w:val="en-NZ" w:eastAsia="zh-CN"/>
          </w:rPr>
          <w:t>90</w:t>
        </w:r>
      </w:hyperlink>
      <w:r w:rsidR="001B73F7">
        <w:rPr>
          <w:rFonts w:eastAsiaTheme="minorEastAsia" w:hint="eastAsia"/>
          <w:lang w:eastAsia="zh-CN"/>
        </w:rPr>
        <w:t xml:space="preserve"> )</w:t>
      </w:r>
      <w:r>
        <w:t xml:space="preserve">.  </w:t>
      </w:r>
    </w:p>
    <w:p w14:paraId="783A9009" w14:textId="4C07F00A" w:rsidR="000F7521" w:rsidRDefault="000F7521" w:rsidP="000F7521">
      <w:pPr>
        <w:pStyle w:val="Heading3"/>
        <w:numPr>
          <w:ilvl w:val="2"/>
          <w:numId w:val="27"/>
        </w:numPr>
        <w:spacing w:beforeLines="50" w:before="120" w:after="0" w:line="360" w:lineRule="auto"/>
        <w:ind w:left="420"/>
        <w:rPr>
          <w:rFonts w:eastAsiaTheme="minorEastAsia"/>
          <w:sz w:val="24"/>
          <w:szCs w:val="24"/>
          <w:lang w:val="en-NZ" w:eastAsia="zh-CN"/>
        </w:rPr>
      </w:pPr>
      <w:r w:rsidRPr="000F7521">
        <w:rPr>
          <w:rFonts w:eastAsiaTheme="minorEastAsia"/>
          <w:sz w:val="24"/>
          <w:szCs w:val="24"/>
          <w:lang w:val="en-NZ" w:eastAsia="zh-CN"/>
        </w:rPr>
        <w:t>Malaysia</w:t>
      </w:r>
      <w:r>
        <w:rPr>
          <w:rFonts w:eastAsiaTheme="minorEastAsia" w:hint="eastAsia"/>
          <w:sz w:val="24"/>
          <w:szCs w:val="24"/>
          <w:lang w:val="en-NZ" w:eastAsia="zh-CN"/>
        </w:rPr>
        <w:t xml:space="preserve"> - </w:t>
      </w:r>
      <w:r w:rsidRPr="00A74BC5">
        <w:rPr>
          <w:rFonts w:eastAsiaTheme="minorEastAsia" w:hint="eastAsia"/>
          <w:sz w:val="24"/>
          <w:szCs w:val="24"/>
          <w:lang w:val="en-NZ" w:eastAsia="zh-CN"/>
        </w:rPr>
        <w:t>Documen</w:t>
      </w:r>
      <w:r>
        <w:rPr>
          <w:rFonts w:eastAsiaTheme="minorEastAsia" w:hint="eastAsia"/>
          <w:sz w:val="24"/>
          <w:szCs w:val="24"/>
          <w:lang w:val="en-NZ" w:eastAsia="zh-CN"/>
        </w:rPr>
        <w:t>t</w:t>
      </w:r>
      <w:r w:rsidRPr="000F7521">
        <w:rPr>
          <w:rFonts w:eastAsiaTheme="minorEastAsia"/>
          <w:sz w:val="24"/>
          <w:szCs w:val="24"/>
          <w:lang w:val="en-NZ" w:eastAsia="zh-CN"/>
        </w:rPr>
        <w:t xml:space="preserve"> APG19-5/</w:t>
      </w:r>
      <w:hyperlink r:id="rId28" w:history="1">
        <w:r w:rsidRPr="000F7521">
          <w:rPr>
            <w:rFonts w:eastAsiaTheme="minorEastAsia"/>
            <w:sz w:val="24"/>
            <w:szCs w:val="24"/>
            <w:lang w:val="en-NZ" w:eastAsia="zh-CN"/>
          </w:rPr>
          <w:t>INP-</w:t>
        </w:r>
        <w:r w:rsidRPr="000F7521">
          <w:rPr>
            <w:rFonts w:eastAsiaTheme="minorEastAsia" w:hint="eastAsia"/>
            <w:sz w:val="24"/>
            <w:szCs w:val="24"/>
            <w:lang w:val="en-NZ" w:eastAsia="zh-CN"/>
          </w:rPr>
          <w:t>105</w:t>
        </w:r>
      </w:hyperlink>
      <w:r w:rsidRPr="000F7521">
        <w:rPr>
          <w:rFonts w:eastAsiaTheme="minorEastAsia" w:hint="eastAsia"/>
          <w:sz w:val="24"/>
          <w:szCs w:val="24"/>
          <w:lang w:val="en-NZ" w:eastAsia="zh-CN"/>
        </w:rPr>
        <w:t xml:space="preserve"> </w:t>
      </w:r>
    </w:p>
    <w:p w14:paraId="10FF838D" w14:textId="4DDCEFB1" w:rsidR="00336F36" w:rsidRDefault="00336F36" w:rsidP="00336F36">
      <w:pPr>
        <w:spacing w:afterLines="50" w:after="120"/>
        <w:jc w:val="both"/>
      </w:pPr>
      <w:r>
        <w:t>Malaysia</w:t>
      </w:r>
      <w:r>
        <w:rPr>
          <w:rFonts w:eastAsiaTheme="minorEastAsia" w:hint="eastAsia"/>
          <w:lang w:eastAsia="zh-CN"/>
        </w:rPr>
        <w:t xml:space="preserve"> is</w:t>
      </w:r>
      <w:r w:rsidRPr="002729EE">
        <w:t xml:space="preserve"> of the view that</w:t>
      </w:r>
      <w:r>
        <w:t xml:space="preserve"> </w:t>
      </w:r>
      <w:r w:rsidRPr="002729EE">
        <w:t xml:space="preserve">international regulatory measures stated in </w:t>
      </w:r>
      <w:r>
        <w:t xml:space="preserve">the </w:t>
      </w:r>
      <w:r w:rsidRPr="002729EE">
        <w:t>RR Article 18 are sufficient for addressing</w:t>
      </w:r>
      <w:r>
        <w:t xml:space="preserve"> the issue of</w:t>
      </w:r>
      <w:r w:rsidRPr="002729EE">
        <w:t xml:space="preserve"> unauthorized earth stat</w:t>
      </w:r>
      <w:r>
        <w:t xml:space="preserve">ion in fixed satellite service and therefore support Option 1 – NOC to the RR for issue 2a. </w:t>
      </w:r>
    </w:p>
    <w:p w14:paraId="29638E45" w14:textId="591FA534" w:rsidR="007A30A5" w:rsidRPr="00336F36" w:rsidRDefault="00336F36" w:rsidP="00336F36">
      <w:pPr>
        <w:spacing w:afterLines="50" w:after="120"/>
        <w:jc w:val="both"/>
        <w:rPr>
          <w:rFonts w:eastAsiaTheme="minorEastAsia"/>
          <w:lang w:eastAsia="zh-CN"/>
        </w:rPr>
      </w:pPr>
      <w:r w:rsidRPr="002729EE">
        <w:t>Nevertheless,</w:t>
      </w:r>
      <w:r>
        <w:t xml:space="preserve"> Malaysia support</w:t>
      </w:r>
      <w:r>
        <w:rPr>
          <w:rFonts w:eastAsiaTheme="minorEastAsia" w:hint="eastAsia"/>
          <w:lang w:eastAsia="zh-CN"/>
        </w:rPr>
        <w:t>s</w:t>
      </w:r>
      <w:r w:rsidRPr="002729EE">
        <w:t xml:space="preserve"> </w:t>
      </w:r>
      <w:r>
        <w:t>the</w:t>
      </w:r>
      <w:r w:rsidRPr="002729EE">
        <w:t xml:space="preserve"> </w:t>
      </w:r>
      <w:r>
        <w:t>development of ITU-R reports or handbooks to assist administrations with managing unauthorized operation of earth station terminals deployed within their territory</w:t>
      </w:r>
      <w:r w:rsidRPr="004F6D48">
        <w:t xml:space="preserve"> </w:t>
      </w:r>
      <w:r>
        <w:t>and therefore support the single option for Issue 2b</w:t>
      </w:r>
      <w:r w:rsidRPr="002729EE">
        <w:t>.</w:t>
      </w:r>
    </w:p>
    <w:p w14:paraId="763129E3" w14:textId="4FFF68F2" w:rsidR="000F7521" w:rsidRDefault="000F7521" w:rsidP="000F7521">
      <w:pPr>
        <w:pStyle w:val="Heading3"/>
        <w:numPr>
          <w:ilvl w:val="2"/>
          <w:numId w:val="27"/>
        </w:numPr>
        <w:spacing w:beforeLines="50" w:before="120" w:after="0" w:line="360" w:lineRule="auto"/>
        <w:ind w:left="420"/>
        <w:rPr>
          <w:rFonts w:eastAsiaTheme="minorEastAsia"/>
          <w:sz w:val="24"/>
          <w:szCs w:val="24"/>
          <w:lang w:val="en-NZ" w:eastAsia="zh-CN"/>
        </w:rPr>
      </w:pPr>
      <w:r>
        <w:rPr>
          <w:rFonts w:eastAsiaTheme="minorEastAsia" w:hint="eastAsia"/>
          <w:sz w:val="24"/>
          <w:szCs w:val="24"/>
          <w:lang w:val="en-NZ" w:eastAsia="zh-CN"/>
        </w:rPr>
        <w:t>Kore</w:t>
      </w:r>
      <w:r w:rsidR="007A30A5">
        <w:rPr>
          <w:rFonts w:eastAsiaTheme="minorEastAsia" w:hint="eastAsia"/>
          <w:sz w:val="24"/>
          <w:szCs w:val="24"/>
          <w:lang w:val="en-NZ" w:eastAsia="zh-CN"/>
        </w:rPr>
        <w:t>a</w:t>
      </w:r>
      <w:r>
        <w:rPr>
          <w:rFonts w:eastAsiaTheme="minorEastAsia" w:hint="eastAsia"/>
          <w:sz w:val="24"/>
          <w:szCs w:val="24"/>
          <w:lang w:val="en-NZ" w:eastAsia="zh-CN"/>
        </w:rPr>
        <w:t xml:space="preserve"> - </w:t>
      </w:r>
      <w:r w:rsidRPr="00A74BC5">
        <w:rPr>
          <w:rFonts w:eastAsiaTheme="minorEastAsia" w:hint="eastAsia"/>
          <w:sz w:val="24"/>
          <w:szCs w:val="24"/>
          <w:lang w:val="en-NZ" w:eastAsia="zh-CN"/>
        </w:rPr>
        <w:t xml:space="preserve">Document </w:t>
      </w:r>
      <w:r w:rsidRPr="000F7521">
        <w:rPr>
          <w:rFonts w:eastAsiaTheme="minorEastAsia"/>
          <w:sz w:val="24"/>
          <w:szCs w:val="24"/>
          <w:lang w:val="en-NZ" w:eastAsia="zh-CN"/>
        </w:rPr>
        <w:t>APG19-5/</w:t>
      </w:r>
      <w:hyperlink r:id="rId29" w:history="1">
        <w:r w:rsidRPr="000F7521">
          <w:rPr>
            <w:rFonts w:eastAsiaTheme="minorEastAsia"/>
            <w:sz w:val="24"/>
            <w:szCs w:val="24"/>
            <w:lang w:val="en-NZ" w:eastAsia="zh-CN"/>
          </w:rPr>
          <w:t>INP-</w:t>
        </w:r>
        <w:r w:rsidRPr="000F7521">
          <w:rPr>
            <w:rFonts w:eastAsiaTheme="minorEastAsia" w:hint="eastAsia"/>
            <w:sz w:val="24"/>
            <w:szCs w:val="24"/>
            <w:lang w:val="en-NZ" w:eastAsia="zh-CN"/>
          </w:rPr>
          <w:t>132</w:t>
        </w:r>
      </w:hyperlink>
    </w:p>
    <w:p w14:paraId="6B55B991" w14:textId="1B22701C" w:rsidR="007A30A5" w:rsidRPr="007A30A5" w:rsidRDefault="007A30A5" w:rsidP="007A30A5">
      <w:pPr>
        <w:snapToGrid w:val="0"/>
        <w:spacing w:afterLines="50" w:after="120" w:line="240" w:lineRule="atLeast"/>
        <w:jc w:val="both"/>
        <w:rPr>
          <w:rFonts w:eastAsiaTheme="minorEastAsia"/>
          <w:lang w:val="en-AU" w:eastAsia="zh-CN"/>
        </w:rPr>
      </w:pPr>
      <w:r w:rsidRPr="007A30A5">
        <w:rPr>
          <w:lang w:val="en-AU"/>
        </w:rPr>
        <w:t xml:space="preserve">The Republic of Korea supports </w:t>
      </w:r>
      <w:r w:rsidRPr="007A30A5">
        <w:rPr>
          <w:rFonts w:hint="eastAsia"/>
          <w:lang w:val="en-AU" w:eastAsia="ko-KR"/>
        </w:rPr>
        <w:t>no</w:t>
      </w:r>
      <w:r>
        <w:rPr>
          <w:lang w:eastAsia="ko-KR"/>
        </w:rPr>
        <w:t xml:space="preserve"> change to the Radio Regulations</w:t>
      </w:r>
      <w:r w:rsidRPr="00915B60">
        <w:rPr>
          <w:rFonts w:hint="eastAsia"/>
          <w:lang w:eastAsia="ko-KR"/>
        </w:rPr>
        <w:t xml:space="preserve"> </w:t>
      </w:r>
      <w:r w:rsidRPr="007A30A5">
        <w:rPr>
          <w:lang w:val="en-AU"/>
        </w:rPr>
        <w:t>for</w:t>
      </w:r>
      <w:r w:rsidRPr="00505067">
        <w:rPr>
          <w:lang w:eastAsia="ko-KR"/>
        </w:rPr>
        <w:t xml:space="preserve"> </w:t>
      </w:r>
      <w:r w:rsidRPr="007A30A5">
        <w:rPr>
          <w:i/>
        </w:rPr>
        <w:t>Issue 2a</w:t>
      </w:r>
      <w:r w:rsidRPr="00505067">
        <w:t>)</w:t>
      </w:r>
      <w:r w:rsidRPr="00505067">
        <w:rPr>
          <w:lang w:eastAsia="ko-KR"/>
        </w:rPr>
        <w:t xml:space="preserve"> </w:t>
      </w:r>
      <w:r w:rsidRPr="007A30A5">
        <w:rPr>
          <w:lang w:val="en-AU"/>
        </w:rPr>
        <w:t xml:space="preserve">in the CPM Report with </w:t>
      </w:r>
      <w:r w:rsidRPr="00915B60">
        <w:t xml:space="preserve">the view </w:t>
      </w:r>
      <w:r w:rsidRPr="00915B60">
        <w:rPr>
          <w:rFonts w:hint="eastAsia"/>
        </w:rPr>
        <w:t xml:space="preserve">that </w:t>
      </w:r>
      <w:r w:rsidRPr="00915B60">
        <w:t xml:space="preserve">earth station licensing and its related issues including unauthorized transmissions are national matters, and international regulatory measures stated in the RR Article </w:t>
      </w:r>
      <w:r w:rsidRPr="007A30A5">
        <w:rPr>
          <w:b/>
        </w:rPr>
        <w:t>18</w:t>
      </w:r>
      <w:r w:rsidRPr="00915B60">
        <w:t xml:space="preserve"> are sufficient for addressing the issue of unauthorized earth station in fixed satellite service. </w:t>
      </w:r>
    </w:p>
    <w:p w14:paraId="7C3D2D0D" w14:textId="60A3D096" w:rsidR="000F7521" w:rsidRDefault="000F7521" w:rsidP="00CE03F4">
      <w:pPr>
        <w:pStyle w:val="Heading3"/>
        <w:numPr>
          <w:ilvl w:val="2"/>
          <w:numId w:val="27"/>
        </w:numPr>
        <w:spacing w:beforeLines="50" w:before="120" w:after="0" w:line="360" w:lineRule="auto"/>
        <w:ind w:left="420"/>
        <w:rPr>
          <w:rFonts w:eastAsiaTheme="minorEastAsia"/>
          <w:sz w:val="24"/>
          <w:szCs w:val="24"/>
          <w:lang w:val="en-NZ" w:eastAsia="zh-CN"/>
        </w:rPr>
      </w:pPr>
      <w:r w:rsidRPr="009D47BF">
        <w:rPr>
          <w:rFonts w:eastAsiaTheme="minorEastAsia"/>
          <w:sz w:val="24"/>
          <w:szCs w:val="24"/>
          <w:lang w:val="en-NZ" w:eastAsia="zh-CN"/>
        </w:rPr>
        <w:lastRenderedPageBreak/>
        <w:t>Samoa</w:t>
      </w:r>
      <w:r>
        <w:rPr>
          <w:rFonts w:eastAsiaTheme="minorEastAsia" w:hint="eastAsia"/>
          <w:sz w:val="24"/>
          <w:szCs w:val="24"/>
          <w:lang w:val="en-NZ" w:eastAsia="zh-CN"/>
        </w:rPr>
        <w:t xml:space="preserve"> </w:t>
      </w:r>
      <w:r w:rsidR="00CE03F4">
        <w:rPr>
          <w:rFonts w:eastAsiaTheme="minorEastAsia"/>
          <w:sz w:val="24"/>
          <w:szCs w:val="24"/>
          <w:lang w:val="en-NZ" w:eastAsia="zh-CN"/>
        </w:rPr>
        <w:t xml:space="preserve">and Vanuatu </w:t>
      </w:r>
      <w:r>
        <w:rPr>
          <w:rFonts w:eastAsiaTheme="minorEastAsia" w:hint="eastAsia"/>
          <w:sz w:val="24"/>
          <w:szCs w:val="24"/>
          <w:lang w:val="en-NZ" w:eastAsia="zh-CN"/>
        </w:rPr>
        <w:t xml:space="preserve">- </w:t>
      </w:r>
      <w:r w:rsidRPr="00A74BC5">
        <w:rPr>
          <w:rFonts w:eastAsiaTheme="minorEastAsia" w:hint="eastAsia"/>
          <w:sz w:val="24"/>
          <w:szCs w:val="24"/>
          <w:lang w:val="en-NZ" w:eastAsia="zh-CN"/>
        </w:rPr>
        <w:t xml:space="preserve">Document </w:t>
      </w:r>
      <w:r w:rsidRPr="00A74BC5">
        <w:rPr>
          <w:rFonts w:eastAsiaTheme="minorEastAsia"/>
          <w:sz w:val="24"/>
          <w:szCs w:val="24"/>
          <w:lang w:val="en-NZ" w:eastAsia="zh-CN"/>
        </w:rPr>
        <w:t>APG19-</w:t>
      </w:r>
      <w:r>
        <w:rPr>
          <w:rFonts w:eastAsiaTheme="minorEastAsia" w:hint="eastAsia"/>
          <w:sz w:val="24"/>
          <w:szCs w:val="24"/>
          <w:lang w:val="en-NZ" w:eastAsia="zh-CN"/>
        </w:rPr>
        <w:t>5</w:t>
      </w:r>
      <w:r w:rsidRPr="00A74BC5">
        <w:rPr>
          <w:rFonts w:eastAsiaTheme="minorEastAsia" w:hint="eastAsia"/>
          <w:sz w:val="24"/>
          <w:szCs w:val="24"/>
          <w:lang w:val="en-NZ" w:eastAsia="zh-CN"/>
        </w:rPr>
        <w:t>/</w:t>
      </w:r>
      <w:r w:rsidRPr="00A74BC5">
        <w:rPr>
          <w:rFonts w:eastAsiaTheme="minorEastAsia"/>
          <w:sz w:val="24"/>
          <w:szCs w:val="24"/>
          <w:lang w:val="en-NZ" w:eastAsia="zh-CN"/>
        </w:rPr>
        <w:t>INP-</w:t>
      </w:r>
      <w:r>
        <w:rPr>
          <w:rFonts w:eastAsiaTheme="minorEastAsia" w:hint="eastAsia"/>
          <w:sz w:val="24"/>
          <w:szCs w:val="24"/>
          <w:lang w:val="en-NZ" w:eastAsia="zh-CN"/>
        </w:rPr>
        <w:t>15R1</w:t>
      </w:r>
    </w:p>
    <w:p w14:paraId="0E8FC565" w14:textId="77777777" w:rsidR="00B22BD2" w:rsidRPr="00312C44" w:rsidRDefault="00B22BD2" w:rsidP="00B22BD2">
      <w:pPr>
        <w:spacing w:afterLines="50" w:after="120"/>
        <w:jc w:val="lowKashida"/>
      </w:pPr>
      <w:r w:rsidRPr="00312C44">
        <w:t>Recognizing the concerns of administrations affected by unauthorized operation of earth station terminals,</w:t>
      </w:r>
      <w:r w:rsidRPr="00B22BD2" w:rsidDel="00C46876">
        <w:t xml:space="preserve"> </w:t>
      </w:r>
      <w:r w:rsidRPr="00312C44">
        <w:t>the following methods are supported to satisfy issue 9.1.7:</w:t>
      </w:r>
    </w:p>
    <w:p w14:paraId="3C9476E7" w14:textId="77777777" w:rsidR="00B22BD2" w:rsidRPr="00312C44" w:rsidRDefault="00B22BD2" w:rsidP="00B22BD2">
      <w:pPr>
        <w:spacing w:afterLines="50" w:after="120"/>
        <w:jc w:val="lowKashida"/>
      </w:pPr>
      <w:r w:rsidRPr="00312C44">
        <w:t>Issue 2a: Option 1: no change to the Radio Regulations as current measures are sufficient.</w:t>
      </w:r>
    </w:p>
    <w:p w14:paraId="694AC804" w14:textId="2C376F18" w:rsidR="00B22BD2" w:rsidRPr="00B22BD2" w:rsidRDefault="00B22BD2" w:rsidP="00B22BD2">
      <w:pPr>
        <w:spacing w:afterLines="50" w:after="120"/>
        <w:jc w:val="lowKashida"/>
        <w:rPr>
          <w:rFonts w:eastAsiaTheme="minorEastAsia"/>
          <w:lang w:val="en-NZ" w:eastAsia="zh-CN"/>
        </w:rPr>
      </w:pPr>
      <w:r w:rsidRPr="00312C44">
        <w:t>Issue 2b: to provide necessary guidelines on satellite monitoring capabilities, along with possible revision and/or further development of ITU-R reports or handbooks to assist administrations with managing unauthorized operation of earth station terminals deployed within their territory, as a tool to guide their national spectrum management.</w:t>
      </w:r>
    </w:p>
    <w:p w14:paraId="0CDFA9B1" w14:textId="0DA4E28E" w:rsidR="000F7521" w:rsidRDefault="000F7521" w:rsidP="00E04D00">
      <w:pPr>
        <w:pStyle w:val="Heading3"/>
        <w:numPr>
          <w:ilvl w:val="2"/>
          <w:numId w:val="27"/>
        </w:numPr>
        <w:spacing w:beforeLines="50" w:before="120" w:after="0" w:line="360" w:lineRule="auto"/>
        <w:ind w:left="420"/>
        <w:rPr>
          <w:rFonts w:eastAsiaTheme="minorEastAsia"/>
          <w:sz w:val="24"/>
          <w:szCs w:val="24"/>
          <w:lang w:val="en-NZ" w:eastAsia="zh-CN"/>
        </w:rPr>
      </w:pPr>
      <w:r w:rsidRPr="000F7521">
        <w:rPr>
          <w:rFonts w:eastAsiaTheme="minorEastAsia"/>
          <w:sz w:val="24"/>
          <w:szCs w:val="24"/>
          <w:lang w:val="en-NZ" w:eastAsia="zh-CN"/>
        </w:rPr>
        <w:t>Singapore</w:t>
      </w:r>
      <w:r>
        <w:rPr>
          <w:rFonts w:eastAsiaTheme="minorEastAsia"/>
          <w:sz w:val="24"/>
          <w:szCs w:val="24"/>
          <w:lang w:val="en-NZ" w:eastAsia="zh-CN"/>
        </w:rPr>
        <w:t xml:space="preserve"> -</w:t>
      </w:r>
      <w:r>
        <w:rPr>
          <w:rFonts w:eastAsiaTheme="minorEastAsia" w:hint="eastAsia"/>
          <w:sz w:val="24"/>
          <w:szCs w:val="24"/>
          <w:lang w:val="en-NZ" w:eastAsia="zh-CN"/>
        </w:rPr>
        <w:t xml:space="preserve"> </w:t>
      </w:r>
      <w:r w:rsidRPr="00A74BC5">
        <w:rPr>
          <w:rFonts w:eastAsiaTheme="minorEastAsia" w:hint="eastAsia"/>
          <w:sz w:val="24"/>
          <w:szCs w:val="24"/>
          <w:lang w:val="en-NZ" w:eastAsia="zh-CN"/>
        </w:rPr>
        <w:t>Documen</w:t>
      </w:r>
      <w:r>
        <w:rPr>
          <w:rFonts w:eastAsiaTheme="minorEastAsia" w:hint="eastAsia"/>
          <w:sz w:val="24"/>
          <w:szCs w:val="24"/>
          <w:lang w:val="en-NZ" w:eastAsia="zh-CN"/>
        </w:rPr>
        <w:t>t</w:t>
      </w:r>
      <w:r w:rsidRPr="000F7521">
        <w:rPr>
          <w:rFonts w:eastAsiaTheme="minorEastAsia"/>
          <w:sz w:val="24"/>
          <w:szCs w:val="24"/>
          <w:lang w:val="en-NZ" w:eastAsia="zh-CN"/>
        </w:rPr>
        <w:t xml:space="preserve"> APG19-5/</w:t>
      </w:r>
      <w:hyperlink r:id="rId30" w:history="1">
        <w:r w:rsidRPr="000F7521">
          <w:rPr>
            <w:rFonts w:eastAsiaTheme="minorEastAsia"/>
            <w:sz w:val="24"/>
            <w:szCs w:val="24"/>
            <w:lang w:val="en-NZ" w:eastAsia="zh-CN"/>
          </w:rPr>
          <w:t>INP-</w:t>
        </w:r>
        <w:r w:rsidRPr="000F7521">
          <w:rPr>
            <w:rFonts w:eastAsiaTheme="minorEastAsia" w:hint="eastAsia"/>
            <w:sz w:val="24"/>
            <w:szCs w:val="24"/>
            <w:lang w:val="en-NZ" w:eastAsia="zh-CN"/>
          </w:rPr>
          <w:t>105</w:t>
        </w:r>
      </w:hyperlink>
    </w:p>
    <w:p w14:paraId="7789ABFC" w14:textId="11BC0CB2" w:rsidR="00336F36" w:rsidRDefault="00336F36" w:rsidP="00336F36">
      <w:pPr>
        <w:spacing w:afterLines="50" w:after="120"/>
        <w:jc w:val="both"/>
      </w:pPr>
      <w:r>
        <w:t xml:space="preserve">Singapore </w:t>
      </w:r>
      <w:r>
        <w:rPr>
          <w:rFonts w:eastAsiaTheme="minorEastAsia" w:hint="eastAsia"/>
          <w:lang w:eastAsia="zh-CN"/>
        </w:rPr>
        <w:t>is</w:t>
      </w:r>
      <w:r w:rsidRPr="002729EE">
        <w:t xml:space="preserve"> of the view that</w:t>
      </w:r>
      <w:r>
        <w:t xml:space="preserve"> </w:t>
      </w:r>
      <w:r w:rsidRPr="002729EE">
        <w:t xml:space="preserve">international regulatory measures stated in </w:t>
      </w:r>
      <w:r>
        <w:t xml:space="preserve">the </w:t>
      </w:r>
      <w:r w:rsidRPr="002729EE">
        <w:t xml:space="preserve">RR Article 18 are sufficient </w:t>
      </w:r>
      <w:bookmarkStart w:id="5" w:name="OLE_LINK11"/>
      <w:r w:rsidRPr="002729EE">
        <w:t>for addressing</w:t>
      </w:r>
      <w:r>
        <w:t xml:space="preserve"> the issue of</w:t>
      </w:r>
      <w:r w:rsidRPr="002729EE">
        <w:t xml:space="preserve"> unauthorized earth stat</w:t>
      </w:r>
      <w:r>
        <w:t>ion in fixed satellite service</w:t>
      </w:r>
      <w:bookmarkEnd w:id="5"/>
      <w:r>
        <w:t xml:space="preserve"> and therefore support Option 1 – NOC to the RR for issue 2a. </w:t>
      </w:r>
    </w:p>
    <w:p w14:paraId="52BCDAF9" w14:textId="62F2432D" w:rsidR="007A30A5" w:rsidRPr="00336F36" w:rsidRDefault="00336F36" w:rsidP="00336F36">
      <w:pPr>
        <w:spacing w:afterLines="50" w:after="120"/>
        <w:jc w:val="both"/>
        <w:rPr>
          <w:rFonts w:eastAsiaTheme="minorEastAsia"/>
          <w:lang w:eastAsia="zh-CN"/>
        </w:rPr>
      </w:pPr>
      <w:r w:rsidRPr="002729EE">
        <w:t>Nevertheless,</w:t>
      </w:r>
      <w:r>
        <w:t xml:space="preserve"> Singapore support</w:t>
      </w:r>
      <w:r>
        <w:rPr>
          <w:rFonts w:eastAsiaTheme="minorEastAsia" w:hint="eastAsia"/>
          <w:lang w:eastAsia="zh-CN"/>
        </w:rPr>
        <w:t>s</w:t>
      </w:r>
      <w:r w:rsidRPr="002729EE">
        <w:t xml:space="preserve"> </w:t>
      </w:r>
      <w:r>
        <w:t>the</w:t>
      </w:r>
      <w:r w:rsidRPr="002729EE">
        <w:t xml:space="preserve"> </w:t>
      </w:r>
      <w:r>
        <w:t>development of ITU-R reports or handbooks to assist administrations with managing unauthorized operation of earth station terminals deployed within their territory</w:t>
      </w:r>
      <w:r w:rsidRPr="004F6D48">
        <w:t xml:space="preserve"> </w:t>
      </w:r>
      <w:r>
        <w:t>and therefore support the single option for Issue 2b</w:t>
      </w:r>
      <w:r w:rsidRPr="002729EE">
        <w:t>.</w:t>
      </w:r>
    </w:p>
    <w:p w14:paraId="4F5B4A46" w14:textId="20E561CA" w:rsidR="000F7521" w:rsidRDefault="000F7521" w:rsidP="00E04D00">
      <w:pPr>
        <w:pStyle w:val="Heading3"/>
        <w:numPr>
          <w:ilvl w:val="2"/>
          <w:numId w:val="27"/>
        </w:numPr>
        <w:spacing w:beforeLines="50" w:before="120" w:after="0" w:line="360" w:lineRule="auto"/>
        <w:ind w:left="420"/>
        <w:rPr>
          <w:rFonts w:eastAsiaTheme="minorEastAsia"/>
          <w:sz w:val="24"/>
          <w:szCs w:val="24"/>
          <w:lang w:val="en-NZ" w:eastAsia="zh-CN"/>
        </w:rPr>
      </w:pPr>
      <w:r w:rsidRPr="000F7521">
        <w:rPr>
          <w:rFonts w:eastAsiaTheme="minorEastAsia"/>
          <w:sz w:val="24"/>
          <w:szCs w:val="24"/>
          <w:lang w:val="en-NZ" w:eastAsia="zh-CN"/>
        </w:rPr>
        <w:t>Thailand</w:t>
      </w:r>
      <w:r>
        <w:rPr>
          <w:rFonts w:eastAsiaTheme="minorEastAsia"/>
          <w:sz w:val="24"/>
          <w:szCs w:val="24"/>
          <w:lang w:val="en-NZ" w:eastAsia="zh-CN"/>
        </w:rPr>
        <w:t xml:space="preserve"> -</w:t>
      </w:r>
      <w:r>
        <w:rPr>
          <w:rFonts w:eastAsiaTheme="minorEastAsia" w:hint="eastAsia"/>
          <w:sz w:val="24"/>
          <w:szCs w:val="24"/>
          <w:lang w:val="en-NZ" w:eastAsia="zh-CN"/>
        </w:rPr>
        <w:t xml:space="preserve"> </w:t>
      </w:r>
      <w:r w:rsidRPr="00A74BC5">
        <w:rPr>
          <w:rFonts w:eastAsiaTheme="minorEastAsia" w:hint="eastAsia"/>
          <w:sz w:val="24"/>
          <w:szCs w:val="24"/>
          <w:lang w:val="en-NZ" w:eastAsia="zh-CN"/>
        </w:rPr>
        <w:t>Documen</w:t>
      </w:r>
      <w:r>
        <w:rPr>
          <w:rFonts w:eastAsiaTheme="minorEastAsia" w:hint="eastAsia"/>
          <w:sz w:val="24"/>
          <w:szCs w:val="24"/>
          <w:lang w:val="en-NZ" w:eastAsia="zh-CN"/>
        </w:rPr>
        <w:t>t</w:t>
      </w:r>
      <w:r w:rsidRPr="000F7521">
        <w:rPr>
          <w:rFonts w:eastAsiaTheme="minorEastAsia"/>
          <w:sz w:val="24"/>
          <w:szCs w:val="24"/>
          <w:lang w:val="en-NZ" w:eastAsia="zh-CN"/>
        </w:rPr>
        <w:t xml:space="preserve"> APG19-5/</w:t>
      </w:r>
      <w:hyperlink r:id="rId31" w:history="1">
        <w:r w:rsidRPr="000F7521">
          <w:rPr>
            <w:rFonts w:eastAsiaTheme="minorEastAsia"/>
            <w:sz w:val="24"/>
            <w:szCs w:val="24"/>
            <w:lang w:val="en-NZ" w:eastAsia="zh-CN"/>
          </w:rPr>
          <w:t>INP-</w:t>
        </w:r>
        <w:r w:rsidRPr="000F7521">
          <w:rPr>
            <w:rFonts w:eastAsiaTheme="minorEastAsia" w:hint="eastAsia"/>
            <w:sz w:val="24"/>
            <w:szCs w:val="24"/>
            <w:lang w:val="en-NZ" w:eastAsia="zh-CN"/>
          </w:rPr>
          <w:t>105</w:t>
        </w:r>
      </w:hyperlink>
    </w:p>
    <w:p w14:paraId="6607ACB9" w14:textId="39A396F9" w:rsidR="00336F36" w:rsidRDefault="00336F36" w:rsidP="00336F36">
      <w:pPr>
        <w:spacing w:afterLines="50" w:after="120"/>
        <w:jc w:val="both"/>
      </w:pPr>
      <w:r>
        <w:t xml:space="preserve">Thailand </w:t>
      </w:r>
      <w:r>
        <w:rPr>
          <w:rFonts w:eastAsiaTheme="minorEastAsia" w:hint="eastAsia"/>
          <w:lang w:eastAsia="zh-CN"/>
        </w:rPr>
        <w:t>is</w:t>
      </w:r>
      <w:r w:rsidRPr="002729EE">
        <w:t xml:space="preserve"> of the view that</w:t>
      </w:r>
      <w:r>
        <w:t xml:space="preserve"> </w:t>
      </w:r>
      <w:r w:rsidRPr="002729EE">
        <w:t xml:space="preserve">international regulatory measures stated in </w:t>
      </w:r>
      <w:r>
        <w:t xml:space="preserve">the </w:t>
      </w:r>
      <w:r w:rsidRPr="002729EE">
        <w:t>RR Article 18 are sufficient for addressing</w:t>
      </w:r>
      <w:r>
        <w:t xml:space="preserve"> the issue of</w:t>
      </w:r>
      <w:r w:rsidRPr="002729EE">
        <w:t xml:space="preserve"> unauthorized earth stat</w:t>
      </w:r>
      <w:r>
        <w:t xml:space="preserve">ion in fixed satellite service and therefore support Option 1 – NOC to the RR for issue 2a. </w:t>
      </w:r>
    </w:p>
    <w:p w14:paraId="62B18D35" w14:textId="5EE8F6BF" w:rsidR="00B22BD2" w:rsidRDefault="00336F36" w:rsidP="00336F36">
      <w:pPr>
        <w:spacing w:afterLines="50" w:after="120"/>
        <w:jc w:val="both"/>
      </w:pPr>
      <w:r w:rsidRPr="002729EE">
        <w:t>Nevertheless,</w:t>
      </w:r>
      <w:r>
        <w:t xml:space="preserve"> Thailand support</w:t>
      </w:r>
      <w:r>
        <w:rPr>
          <w:rFonts w:eastAsiaTheme="minorEastAsia" w:hint="eastAsia"/>
          <w:lang w:eastAsia="zh-CN"/>
        </w:rPr>
        <w:t>s</w:t>
      </w:r>
      <w:r w:rsidRPr="002729EE">
        <w:t xml:space="preserve"> </w:t>
      </w:r>
      <w:r>
        <w:t>the</w:t>
      </w:r>
      <w:r w:rsidRPr="002729EE">
        <w:t xml:space="preserve"> </w:t>
      </w:r>
      <w:r>
        <w:t>development of ITU-R reports or handbooks to assist administrations with managing unauthorized operation of earth station terminals deployed within their territory</w:t>
      </w:r>
      <w:r w:rsidRPr="004F6D48">
        <w:t xml:space="preserve"> </w:t>
      </w:r>
      <w:r>
        <w:t>and therefore support the single option for Issue 2b</w:t>
      </w:r>
      <w:r w:rsidRPr="002729EE">
        <w:t>.</w:t>
      </w:r>
    </w:p>
    <w:p w14:paraId="0785F5B8" w14:textId="77777777" w:rsidR="00CE03F4" w:rsidRPr="00336F36" w:rsidRDefault="00CE03F4" w:rsidP="00336F36">
      <w:pPr>
        <w:spacing w:afterLines="50" w:after="120"/>
        <w:jc w:val="both"/>
        <w:rPr>
          <w:rFonts w:eastAsiaTheme="minorEastAsia"/>
          <w:lang w:eastAsia="zh-CN"/>
        </w:rPr>
      </w:pPr>
    </w:p>
    <w:p w14:paraId="41310D0A" w14:textId="77BC996F" w:rsidR="003065E7" w:rsidRDefault="003832C4" w:rsidP="003832C4">
      <w:pPr>
        <w:pStyle w:val="Heading2"/>
        <w:numPr>
          <w:ilvl w:val="1"/>
          <w:numId w:val="26"/>
        </w:numPr>
        <w:spacing w:beforeLines="50" w:before="120" w:after="0" w:line="360" w:lineRule="auto"/>
        <w:ind w:left="420"/>
        <w:rPr>
          <w:rFonts w:ascii="Times New Roman" w:hAnsi="Times New Roman" w:cs="Times New Roman"/>
          <w:sz w:val="24"/>
          <w:szCs w:val="24"/>
          <w:lang w:val="en-NZ" w:eastAsia="zh-CN"/>
        </w:rPr>
      </w:pPr>
      <w:r w:rsidRPr="003832C4">
        <w:rPr>
          <w:rFonts w:ascii="Times New Roman" w:hAnsi="Times New Roman" w:cs="Times New Roman"/>
          <w:sz w:val="24"/>
          <w:szCs w:val="24"/>
          <w:lang w:val="en-NZ" w:eastAsia="ko-KR"/>
        </w:rPr>
        <w:t>Discussions</w:t>
      </w:r>
      <w:r>
        <w:rPr>
          <w:rFonts w:ascii="Times New Roman" w:hAnsi="Times New Roman" w:cs="Times New Roman" w:hint="eastAsia"/>
          <w:sz w:val="24"/>
          <w:szCs w:val="24"/>
          <w:lang w:val="en-NZ" w:eastAsia="zh-CN"/>
        </w:rPr>
        <w:t xml:space="preserve"> and Views raised during the meeting</w:t>
      </w:r>
    </w:p>
    <w:p w14:paraId="06B27917" w14:textId="358FD125" w:rsidR="0034658E" w:rsidRPr="00E46A51" w:rsidRDefault="003832C4" w:rsidP="00E46A51">
      <w:pPr>
        <w:spacing w:afterLines="50" w:after="120"/>
        <w:jc w:val="lowKashida"/>
      </w:pPr>
      <w:r w:rsidRPr="00E46A51">
        <w:rPr>
          <w:rFonts w:hint="eastAsia"/>
        </w:rPr>
        <w:t xml:space="preserve">Considering all the </w:t>
      </w:r>
      <w:r w:rsidR="0034658E" w:rsidRPr="00E46A51">
        <w:rPr>
          <w:rFonts w:hint="eastAsia"/>
        </w:rPr>
        <w:t>contributions</w:t>
      </w:r>
      <w:r w:rsidRPr="00E46A51">
        <w:rPr>
          <w:rFonts w:hint="eastAsia"/>
        </w:rPr>
        <w:t xml:space="preserve"> to the APG19-5 meeting, with respect to Issue 2a), two views were </w:t>
      </w:r>
      <w:r w:rsidR="0034658E" w:rsidRPr="00E46A51">
        <w:rPr>
          <w:rFonts w:hint="eastAsia"/>
        </w:rPr>
        <w:t>expressed during the meeting</w:t>
      </w:r>
      <w:r w:rsidRPr="00E46A51">
        <w:rPr>
          <w:rFonts w:hint="eastAsia"/>
        </w:rPr>
        <w:t xml:space="preserve">. One is to support </w:t>
      </w:r>
      <w:r w:rsidR="0034658E" w:rsidRPr="00E46A51">
        <w:rPr>
          <w:rFonts w:hint="eastAsia"/>
        </w:rPr>
        <w:t xml:space="preserve">method A, which means </w:t>
      </w:r>
      <w:r w:rsidRPr="00E46A51">
        <w:rPr>
          <w:rFonts w:hint="eastAsia"/>
        </w:rPr>
        <w:t>no change to Radio Regulations</w:t>
      </w:r>
      <w:r w:rsidR="00105FF5" w:rsidRPr="00E46A51">
        <w:rPr>
          <w:rFonts w:hint="eastAsia"/>
        </w:rPr>
        <w:t>.</w:t>
      </w:r>
      <w:r w:rsidRPr="00E46A51">
        <w:rPr>
          <w:rFonts w:hint="eastAsia"/>
        </w:rPr>
        <w:t xml:space="preserve"> The other view is to propose a </w:t>
      </w:r>
      <w:r w:rsidR="00882EF4">
        <w:t xml:space="preserve">draft </w:t>
      </w:r>
      <w:r w:rsidR="00882EF4" w:rsidRPr="00E46A51">
        <w:rPr>
          <w:rFonts w:hint="eastAsia"/>
        </w:rPr>
        <w:t xml:space="preserve">new </w:t>
      </w:r>
      <w:r w:rsidR="00882EF4">
        <w:t xml:space="preserve">WRC </w:t>
      </w:r>
      <w:r w:rsidRPr="00E46A51">
        <w:rPr>
          <w:rFonts w:hint="eastAsia"/>
        </w:rPr>
        <w:t>resolution</w:t>
      </w:r>
      <w:r w:rsidR="00FE2687" w:rsidRPr="00E46A51">
        <w:rPr>
          <w:rFonts w:hint="eastAsia"/>
        </w:rPr>
        <w:t xml:space="preserve"> to address this issue</w:t>
      </w:r>
      <w:r w:rsidR="00105FF5" w:rsidRPr="00E46A51">
        <w:rPr>
          <w:rFonts w:hint="eastAsia"/>
        </w:rPr>
        <w:t xml:space="preserve">. </w:t>
      </w:r>
    </w:p>
    <w:p w14:paraId="6BE31EF9" w14:textId="07557950" w:rsidR="003832C4" w:rsidRDefault="00882EF4" w:rsidP="00E85B05">
      <w:pPr>
        <w:spacing w:afterLines="50" w:after="120"/>
        <w:jc w:val="lowKashida"/>
      </w:pPr>
      <w:r>
        <w:t>Although</w:t>
      </w:r>
      <w:r w:rsidR="0034658E" w:rsidRPr="00E46A51">
        <w:rPr>
          <w:rFonts w:hint="eastAsia"/>
        </w:rPr>
        <w:t xml:space="preserve"> the consensus view on NOC to Radio Regulation could </w:t>
      </w:r>
      <w:r w:rsidR="008B7A55" w:rsidRPr="00E46A51">
        <w:rPr>
          <w:rFonts w:hint="eastAsia"/>
        </w:rPr>
        <w:t xml:space="preserve">not </w:t>
      </w:r>
      <w:r w:rsidR="0034658E" w:rsidRPr="00E46A51">
        <w:rPr>
          <w:rFonts w:hint="eastAsia"/>
        </w:rPr>
        <w:t xml:space="preserve">be achieved, </w:t>
      </w:r>
      <w:r w:rsidRPr="00882EF4">
        <w:t>with appreciate cooperation of all participants,</w:t>
      </w:r>
      <w:r>
        <w:t xml:space="preserve"> </w:t>
      </w:r>
      <w:r w:rsidR="008B7A55" w:rsidRPr="00E46A51">
        <w:rPr>
          <w:rFonts w:hint="eastAsia"/>
        </w:rPr>
        <w:t xml:space="preserve">the meeting agreed to push forward </w:t>
      </w:r>
      <w:r w:rsidR="0034658E" w:rsidRPr="00E46A51">
        <w:rPr>
          <w:rFonts w:hint="eastAsia"/>
        </w:rPr>
        <w:t>the PACP as the embedded file in Section</w:t>
      </w:r>
      <w:r w:rsidR="008B7A55" w:rsidRPr="00E46A51">
        <w:rPr>
          <w:rFonts w:hint="eastAsia"/>
        </w:rPr>
        <w:t xml:space="preserve"> 5</w:t>
      </w:r>
      <w:r w:rsidR="00E85B05">
        <w:rPr>
          <w:rFonts w:hint="eastAsia"/>
        </w:rPr>
        <w:t>.</w:t>
      </w:r>
    </w:p>
    <w:p w14:paraId="3930448C" w14:textId="77777777" w:rsidR="00CE03F4" w:rsidRDefault="00CE03F4" w:rsidP="00E85B05">
      <w:pPr>
        <w:spacing w:afterLines="50" w:after="120"/>
        <w:jc w:val="lowKashida"/>
      </w:pPr>
    </w:p>
    <w:p w14:paraId="2E0E675B" w14:textId="063A96FB" w:rsidR="00B64A60" w:rsidRPr="00C94222" w:rsidRDefault="004465AA" w:rsidP="00060338">
      <w:pPr>
        <w:pStyle w:val="Heading1"/>
        <w:numPr>
          <w:ilvl w:val="0"/>
          <w:numId w:val="22"/>
        </w:numPr>
        <w:spacing w:line="360" w:lineRule="auto"/>
        <w:jc w:val="left"/>
        <w:rPr>
          <w:u w:val="none"/>
          <w:lang w:val="en-NZ" w:eastAsia="ko-KR"/>
        </w:rPr>
      </w:pPr>
      <w:r w:rsidRPr="00C94222">
        <w:rPr>
          <w:u w:val="none"/>
          <w:lang w:val="en-NZ" w:eastAsia="ko-KR"/>
        </w:rPr>
        <w:t xml:space="preserve">APT </w:t>
      </w:r>
      <w:r w:rsidR="00B64A60" w:rsidRPr="00C94222">
        <w:rPr>
          <w:u w:val="none"/>
          <w:lang w:val="en-NZ" w:eastAsia="ko-KR"/>
        </w:rPr>
        <w:t>View</w:t>
      </w:r>
      <w:r w:rsidR="0073550C">
        <w:rPr>
          <w:rFonts w:eastAsiaTheme="minorEastAsia" w:hint="eastAsia"/>
          <w:u w:val="none"/>
          <w:lang w:val="en-NZ" w:eastAsia="zh-CN"/>
        </w:rPr>
        <w:t>s</w:t>
      </w:r>
    </w:p>
    <w:p w14:paraId="44B31522" w14:textId="2D7B88FA" w:rsidR="00AF7A9F" w:rsidRPr="00F02AAC" w:rsidRDefault="00AF7A9F" w:rsidP="00774AB3">
      <w:pPr>
        <w:spacing w:after="120"/>
        <w:jc w:val="both"/>
        <w:rPr>
          <w:rFonts w:asciiTheme="majorBidi" w:hAnsiTheme="majorBidi"/>
          <w:lang w:eastAsia="zh-CN"/>
        </w:rPr>
      </w:pPr>
      <w:bookmarkStart w:id="6" w:name="OLE_LINK7"/>
      <w:r w:rsidRPr="003A6FF6">
        <w:rPr>
          <w:rFonts w:asciiTheme="majorBidi" w:hAnsiTheme="majorBidi"/>
        </w:rPr>
        <w:t xml:space="preserve">With respect to </w:t>
      </w:r>
      <w:r w:rsidRPr="003A6FF6">
        <w:rPr>
          <w:rFonts w:asciiTheme="majorBidi" w:hAnsiTheme="majorBidi"/>
          <w:i/>
        </w:rPr>
        <w:t>Issue 2</w:t>
      </w:r>
      <w:r>
        <w:rPr>
          <w:rFonts w:asciiTheme="majorBidi" w:hAnsiTheme="majorBidi" w:hint="eastAsia"/>
          <w:i/>
          <w:lang w:eastAsia="zh-CN"/>
        </w:rPr>
        <w:t>a</w:t>
      </w:r>
      <w:r w:rsidRPr="003A6FF6">
        <w:rPr>
          <w:rFonts w:asciiTheme="majorBidi" w:hAnsiTheme="majorBidi"/>
        </w:rPr>
        <w:t xml:space="preserve">) in the Annex of Resolution </w:t>
      </w:r>
      <w:r w:rsidRPr="003A6FF6">
        <w:rPr>
          <w:rFonts w:asciiTheme="majorBidi" w:hAnsiTheme="majorBidi"/>
          <w:b/>
        </w:rPr>
        <w:t>958 (WRC-15)</w:t>
      </w:r>
      <w:r w:rsidRPr="003A6FF6">
        <w:rPr>
          <w:rFonts w:asciiTheme="majorBidi" w:hAnsiTheme="majorBidi"/>
        </w:rPr>
        <w:t xml:space="preserve">, </w:t>
      </w:r>
      <w:r w:rsidRPr="003A6FF6">
        <w:t>APT Members</w:t>
      </w:r>
      <w:r w:rsidRPr="003A6FF6">
        <w:rPr>
          <w:rFonts w:asciiTheme="majorBidi" w:hAnsiTheme="majorBidi"/>
        </w:rPr>
        <w:t xml:space="preserve"> support</w:t>
      </w:r>
      <w:r>
        <w:rPr>
          <w:rFonts w:asciiTheme="majorBidi" w:hAnsiTheme="majorBidi" w:hint="eastAsia"/>
          <w:lang w:eastAsia="zh-CN"/>
        </w:rPr>
        <w:t xml:space="preserve"> no change to the </w:t>
      </w:r>
      <w:r w:rsidRPr="00F02AAC">
        <w:rPr>
          <w:rFonts w:asciiTheme="majorBidi" w:hAnsiTheme="majorBidi" w:hint="eastAsia"/>
          <w:lang w:eastAsia="zh-CN"/>
        </w:rPr>
        <w:t>Article</w:t>
      </w:r>
      <w:r>
        <w:rPr>
          <w:rFonts w:asciiTheme="majorBidi" w:hAnsiTheme="majorBidi" w:hint="eastAsia"/>
          <w:lang w:eastAsia="zh-CN"/>
        </w:rPr>
        <w:t>s</w:t>
      </w:r>
      <w:r w:rsidR="00CD42CB">
        <w:rPr>
          <w:rFonts w:asciiTheme="majorBidi" w:hAnsiTheme="majorBidi"/>
          <w:lang w:eastAsia="zh-CN"/>
        </w:rPr>
        <w:t xml:space="preserve"> </w:t>
      </w:r>
      <w:r w:rsidR="00CD42CB" w:rsidRPr="00CC5B85">
        <w:rPr>
          <w:rFonts w:asciiTheme="majorBidi" w:hAnsiTheme="majorBidi"/>
          <w:lang w:eastAsia="zh-CN"/>
        </w:rPr>
        <w:t>of the RR</w:t>
      </w:r>
      <w:r>
        <w:rPr>
          <w:rFonts w:asciiTheme="majorBidi" w:hAnsiTheme="majorBidi" w:hint="eastAsia"/>
          <w:lang w:eastAsia="zh-CN"/>
        </w:rPr>
        <w:t>, since the current Articles are sufficient</w:t>
      </w:r>
      <w:r>
        <w:rPr>
          <w:rFonts w:asciiTheme="majorBidi" w:hAnsiTheme="majorBidi" w:hint="eastAsia"/>
          <w:b/>
          <w:lang w:eastAsia="zh-CN"/>
        </w:rPr>
        <w:t>.</w:t>
      </w:r>
    </w:p>
    <w:p w14:paraId="253E9CC9" w14:textId="48A6F63B" w:rsidR="00AF7A9F" w:rsidRPr="003A6FF6" w:rsidRDefault="00AF7A9F" w:rsidP="00774AB3">
      <w:pPr>
        <w:spacing w:after="120"/>
        <w:jc w:val="both"/>
        <w:rPr>
          <w:lang w:val="en-AU"/>
        </w:rPr>
      </w:pPr>
      <w:bookmarkStart w:id="7" w:name="OLE_LINK9"/>
      <w:r w:rsidRPr="003A6FF6">
        <w:rPr>
          <w:rFonts w:asciiTheme="majorBidi" w:hAnsiTheme="majorBidi"/>
        </w:rPr>
        <w:t xml:space="preserve">With respect to </w:t>
      </w:r>
      <w:r w:rsidRPr="003A6FF6">
        <w:rPr>
          <w:rFonts w:asciiTheme="majorBidi" w:hAnsiTheme="majorBidi"/>
          <w:i/>
        </w:rPr>
        <w:t>Issue 2b</w:t>
      </w:r>
      <w:r w:rsidRPr="003A6FF6">
        <w:rPr>
          <w:rFonts w:asciiTheme="majorBidi" w:hAnsiTheme="majorBidi"/>
        </w:rPr>
        <w:t>)</w:t>
      </w:r>
      <w:bookmarkEnd w:id="7"/>
      <w:r w:rsidRPr="003A6FF6">
        <w:rPr>
          <w:rFonts w:asciiTheme="majorBidi" w:hAnsiTheme="majorBidi"/>
        </w:rPr>
        <w:t xml:space="preserve"> in the Annex of Resolution </w:t>
      </w:r>
      <w:r w:rsidRPr="003A6FF6">
        <w:rPr>
          <w:rFonts w:asciiTheme="majorBidi" w:hAnsiTheme="majorBidi"/>
          <w:b/>
        </w:rPr>
        <w:t>958 (WRC-15)</w:t>
      </w:r>
      <w:r w:rsidRPr="003A6FF6">
        <w:rPr>
          <w:rFonts w:asciiTheme="majorBidi" w:hAnsiTheme="majorBidi"/>
        </w:rPr>
        <w:t xml:space="preserve">, </w:t>
      </w:r>
      <w:r w:rsidRPr="003A6FF6">
        <w:t>APT Members</w:t>
      </w:r>
      <w:r w:rsidRPr="003A6FF6">
        <w:rPr>
          <w:rFonts w:asciiTheme="majorBidi" w:hAnsiTheme="majorBidi"/>
        </w:rPr>
        <w:t xml:space="preserve"> support the following option in the </w:t>
      </w:r>
      <w:r w:rsidRPr="003A6FF6">
        <w:rPr>
          <w:lang w:val="en-AU"/>
        </w:rPr>
        <w:t>CPM Report (</w:t>
      </w:r>
      <w:r>
        <w:rPr>
          <w:rFonts w:hint="eastAsia"/>
          <w:lang w:val="en-AU" w:eastAsia="zh-CN"/>
        </w:rPr>
        <w:t xml:space="preserve">see </w:t>
      </w:r>
      <w:r w:rsidRPr="00A74BC5">
        <w:rPr>
          <w:lang w:val="en-AU"/>
        </w:rPr>
        <w:t xml:space="preserve">Document </w:t>
      </w:r>
      <w:hyperlink r:id="rId32" w:history="1">
        <w:r w:rsidRPr="009527D6">
          <w:rPr>
            <w:rStyle w:val="Hyperlink"/>
          </w:rPr>
          <w:t>R15-CPM19.02-R-0001</w:t>
        </w:r>
      </w:hyperlink>
      <w:r w:rsidRPr="003A6FF6">
        <w:rPr>
          <w:lang w:val="en-AU"/>
        </w:rPr>
        <w:t>):</w:t>
      </w:r>
    </w:p>
    <w:p w14:paraId="6E117FEB" w14:textId="77777777" w:rsidR="00AF7A9F" w:rsidRDefault="00AF7A9F" w:rsidP="00774AB3">
      <w:pPr>
        <w:pStyle w:val="ListParagraph"/>
        <w:numPr>
          <w:ilvl w:val="0"/>
          <w:numId w:val="37"/>
        </w:numPr>
        <w:tabs>
          <w:tab w:val="left" w:pos="1134"/>
          <w:tab w:val="left" w:pos="1871"/>
          <w:tab w:val="left" w:pos="2268"/>
        </w:tabs>
        <w:overflowPunct w:val="0"/>
        <w:autoSpaceDE w:val="0"/>
        <w:autoSpaceDN w:val="0"/>
        <w:adjustRightInd w:val="0"/>
        <w:spacing w:after="120"/>
        <w:ind w:left="1077" w:hanging="357"/>
        <w:contextualSpacing/>
        <w:textAlignment w:val="baseline"/>
        <w:rPr>
          <w:lang w:eastAsia="zh-CN"/>
        </w:rPr>
      </w:pPr>
      <w:r w:rsidRPr="0042498F">
        <w:t>to provide necessary guidelines on satellite monitoring capabilities, along with possible revision and/or further development of ITU-R Reports or Handbooks to assist administrations with managing unauthorized operation of earth stations deployed within their territory, as a tool to guide their national spectrum management.</w:t>
      </w:r>
    </w:p>
    <w:p w14:paraId="30653D5A" w14:textId="77777777" w:rsidR="00AF7A9F" w:rsidRPr="0073272F" w:rsidRDefault="00AF7A9F" w:rsidP="00774AB3">
      <w:pPr>
        <w:spacing w:after="120"/>
        <w:contextualSpacing/>
        <w:rPr>
          <w:lang w:eastAsia="zh-CN"/>
        </w:rPr>
      </w:pPr>
      <w:r>
        <w:rPr>
          <w:rFonts w:hint="eastAsia"/>
          <w:lang w:eastAsia="zh-CN"/>
        </w:rPr>
        <w:t xml:space="preserve">APT Members support </w:t>
      </w:r>
      <w:r>
        <w:rPr>
          <w:lang w:eastAsia="zh-CN"/>
        </w:rPr>
        <w:t>suppression</w:t>
      </w:r>
      <w:r>
        <w:rPr>
          <w:rFonts w:hint="eastAsia"/>
          <w:lang w:eastAsia="zh-CN"/>
        </w:rPr>
        <w:t xml:space="preserve"> of item 2) of</w:t>
      </w:r>
      <w:r w:rsidRPr="00492378">
        <w:rPr>
          <w:rFonts w:asciiTheme="majorBidi" w:hAnsiTheme="majorBidi" w:hint="eastAsia"/>
          <w:lang w:eastAsia="zh-CN"/>
        </w:rPr>
        <w:t xml:space="preserve"> </w:t>
      </w:r>
      <w:r>
        <w:rPr>
          <w:rFonts w:asciiTheme="majorBidi" w:hAnsiTheme="majorBidi" w:hint="eastAsia"/>
          <w:lang w:eastAsia="zh-CN"/>
        </w:rPr>
        <w:t xml:space="preserve">the Annex to </w:t>
      </w:r>
      <w:r w:rsidRPr="003A6FF6">
        <w:rPr>
          <w:rFonts w:asciiTheme="majorBidi" w:hAnsiTheme="majorBidi"/>
        </w:rPr>
        <w:t xml:space="preserve">Resolution </w:t>
      </w:r>
      <w:r w:rsidRPr="003A6FF6">
        <w:rPr>
          <w:rFonts w:asciiTheme="majorBidi" w:hAnsiTheme="majorBidi"/>
          <w:b/>
        </w:rPr>
        <w:t>958 (WRC-15)</w:t>
      </w:r>
      <w:r>
        <w:rPr>
          <w:rFonts w:asciiTheme="majorBidi" w:hAnsiTheme="majorBidi" w:hint="eastAsia"/>
          <w:b/>
          <w:lang w:eastAsia="zh-CN"/>
        </w:rPr>
        <w:t>.</w:t>
      </w:r>
    </w:p>
    <w:bookmarkEnd w:id="6"/>
    <w:p w14:paraId="3FA2F10D" w14:textId="26B8E3C8" w:rsidR="00755039" w:rsidRPr="00755039" w:rsidRDefault="00755039" w:rsidP="00755039">
      <w:pPr>
        <w:pStyle w:val="Heading1"/>
        <w:numPr>
          <w:ilvl w:val="0"/>
          <w:numId w:val="22"/>
        </w:numPr>
        <w:spacing w:line="360" w:lineRule="auto"/>
        <w:jc w:val="left"/>
        <w:rPr>
          <w:rFonts w:eastAsiaTheme="minorEastAsia"/>
          <w:lang w:val="en-NZ" w:eastAsia="zh-CN"/>
        </w:rPr>
      </w:pPr>
      <w:r w:rsidRPr="00755039">
        <w:rPr>
          <w:rFonts w:eastAsiaTheme="minorEastAsia" w:hint="eastAsia"/>
          <w:u w:val="none"/>
          <w:lang w:val="en-NZ" w:eastAsia="zh-CN"/>
        </w:rPr>
        <w:lastRenderedPageBreak/>
        <w:t>Preliminary APT Common Proposal</w:t>
      </w:r>
    </w:p>
    <w:p w14:paraId="39AC6D3D" w14:textId="77777777" w:rsidR="00755039" w:rsidRDefault="00755039" w:rsidP="00755039">
      <w:pPr>
        <w:rPr>
          <w:rFonts w:eastAsiaTheme="minorEastAsia"/>
          <w:lang w:val="en-NZ" w:eastAsia="zh-CN"/>
        </w:rPr>
      </w:pPr>
    </w:p>
    <w:bookmarkStart w:id="8" w:name="_MON_1626423679"/>
    <w:bookmarkEnd w:id="8"/>
    <w:p w14:paraId="33FECDA2" w14:textId="48FCAB32" w:rsidR="00A637E2" w:rsidRPr="00755039" w:rsidRDefault="00882EF4" w:rsidP="00060338">
      <w:pPr>
        <w:rPr>
          <w:rFonts w:eastAsiaTheme="minorEastAsia"/>
          <w:lang w:val="en-NZ" w:eastAsia="zh-CN"/>
        </w:rPr>
      </w:pPr>
      <w:r>
        <w:rPr>
          <w:rFonts w:eastAsiaTheme="minorEastAsia"/>
          <w:lang w:val="en-NZ" w:eastAsia="zh-CN"/>
        </w:rPr>
        <w:object w:dxaOrig="1327" w:dyaOrig="874" w14:anchorId="37B971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43.5pt" o:ole="">
            <v:imagedata r:id="rId33" o:title=""/>
          </v:shape>
          <o:OLEObject Type="Embed" ProgID="Word.Document.12" ShapeID="_x0000_i1025" DrawAspect="Icon" ObjectID="_1627344685" r:id="rId34">
            <o:FieldCodes>\s</o:FieldCodes>
          </o:OLEObject>
        </w:object>
      </w:r>
      <w:bookmarkStart w:id="9" w:name="_GoBack"/>
      <w:bookmarkEnd w:id="9"/>
    </w:p>
    <w:p w14:paraId="68D76C08" w14:textId="0E101DB5" w:rsidR="00E30DF1" w:rsidRPr="00E30DF1" w:rsidRDefault="00E30DF1" w:rsidP="00E30DF1">
      <w:pPr>
        <w:rPr>
          <w:rFonts w:eastAsiaTheme="minorEastAsia"/>
          <w:lang w:val="en-NZ" w:eastAsia="zh-CN"/>
        </w:rPr>
      </w:pPr>
    </w:p>
    <w:p w14:paraId="2E0E6770" w14:textId="77777777" w:rsidR="00B64A60" w:rsidRPr="00710333" w:rsidRDefault="00B64A60" w:rsidP="00B64A60">
      <w:pPr>
        <w:jc w:val="center"/>
        <w:rPr>
          <w:snapToGrid w:val="0"/>
          <w:lang w:val="en-NZ"/>
        </w:rPr>
      </w:pPr>
      <w:r w:rsidRPr="00710333">
        <w:rPr>
          <w:lang w:val="en-NZ"/>
        </w:rPr>
        <w:t>____________</w:t>
      </w:r>
    </w:p>
    <w:p w14:paraId="2E0E6771" w14:textId="77777777" w:rsidR="00930E64" w:rsidRPr="007673CA" w:rsidRDefault="00930E64" w:rsidP="00D13D9D">
      <w:pPr>
        <w:jc w:val="both"/>
        <w:rPr>
          <w:lang w:val="en-NZ"/>
        </w:rPr>
      </w:pPr>
    </w:p>
    <w:sectPr w:rsidR="00930E64" w:rsidRPr="007673CA" w:rsidSect="00A94865">
      <w:headerReference w:type="even" r:id="rId35"/>
      <w:headerReference w:type="default" r:id="rId36"/>
      <w:footerReference w:type="even" r:id="rId37"/>
      <w:footerReference w:type="default" r:id="rId38"/>
      <w:headerReference w:type="first" r:id="rId39"/>
      <w:footerReference w:type="first" r:id="rId40"/>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74EA2" w14:textId="77777777" w:rsidR="00DB3019" w:rsidRDefault="00DB3019">
      <w:r>
        <w:separator/>
      </w:r>
    </w:p>
  </w:endnote>
  <w:endnote w:type="continuationSeparator" w:id="0">
    <w:p w14:paraId="224F7753" w14:textId="77777777" w:rsidR="00DB3019" w:rsidRDefault="00DB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Che">
    <w:altName w:val="Arial Unicode MS"/>
    <w:panose1 w:val="02030609000101010101"/>
    <w:charset w:val="81"/>
    <w:family w:val="modern"/>
    <w:pitch w:val="fixed"/>
    <w:sig w:usb0="B00002AF" w:usb1="69D77CFB" w:usb2="00000030" w:usb3="00000000" w:csb0="0008009F" w:csb1="00000000"/>
  </w:font>
  <w:font w:name="GulimChe">
    <w:altName w:val="굴림체"/>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E677A" w14:textId="77777777" w:rsidR="00C51458" w:rsidRDefault="00C514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E677B" w14:textId="77777777" w:rsidR="00C51458" w:rsidRDefault="00C51458"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E677C" w14:textId="6D86DC77" w:rsidR="00C51458" w:rsidRPr="00594C2E" w:rsidRDefault="00C51458" w:rsidP="00CE03F4">
    <w:pPr>
      <w:pStyle w:val="Footer"/>
      <w:ind w:right="360"/>
    </w:pPr>
    <w:r w:rsidRPr="00AB6DCC">
      <w:rPr>
        <w:lang w:eastAsia="ko-KR"/>
      </w:rPr>
      <w:t>APG19-</w:t>
    </w:r>
    <w:r w:rsidRPr="00AB6DCC">
      <w:rPr>
        <w:rFonts w:eastAsiaTheme="minorEastAsia"/>
        <w:lang w:eastAsia="zh-CN"/>
      </w:rPr>
      <w:t>5</w:t>
    </w:r>
    <w:r w:rsidRPr="00AB6DCC">
      <w:rPr>
        <w:lang w:eastAsia="ko-KR"/>
      </w:rPr>
      <w:t>/</w:t>
    </w:r>
    <w:r w:rsidR="00CE03F4">
      <w:rPr>
        <w:lang w:eastAsia="ko-KR"/>
      </w:rPr>
      <w:t>OUT-</w:t>
    </w:r>
    <w:r w:rsidR="00EA5FED">
      <w:rPr>
        <w:lang w:eastAsia="ko-KR"/>
      </w:rPr>
      <w:t>46</w:t>
    </w:r>
    <w:r w:rsidRPr="00594C2E">
      <w:rPr>
        <w:rFonts w:eastAsiaTheme="minorEastAsia"/>
        <w:lang w:eastAsia="zh-CN"/>
      </w:rPr>
      <w:tab/>
    </w:r>
    <w:r w:rsidRPr="00594C2E">
      <w:rPr>
        <w:rFonts w:eastAsiaTheme="minorEastAsia"/>
        <w:lang w:eastAsia="zh-CN"/>
      </w:rPr>
      <w:tab/>
    </w:r>
    <w:r w:rsidRPr="00594C2E">
      <w:rPr>
        <w:rStyle w:val="PageNumber"/>
      </w:rPr>
      <w:t xml:space="preserve">Page </w:t>
    </w:r>
    <w:r w:rsidRPr="00594C2E">
      <w:rPr>
        <w:rStyle w:val="PageNumber"/>
      </w:rPr>
      <w:fldChar w:fldCharType="begin"/>
    </w:r>
    <w:r w:rsidRPr="00594C2E">
      <w:rPr>
        <w:rStyle w:val="PageNumber"/>
      </w:rPr>
      <w:instrText xml:space="preserve"> PAGE </w:instrText>
    </w:r>
    <w:r w:rsidRPr="00594C2E">
      <w:rPr>
        <w:rStyle w:val="PageNumber"/>
      </w:rPr>
      <w:fldChar w:fldCharType="separate"/>
    </w:r>
    <w:r w:rsidR="00882EF4">
      <w:rPr>
        <w:rStyle w:val="PageNumber"/>
        <w:noProof/>
      </w:rPr>
      <w:t>5</w:t>
    </w:r>
    <w:r w:rsidRPr="00594C2E">
      <w:rPr>
        <w:rStyle w:val="PageNumber"/>
      </w:rPr>
      <w:fldChar w:fldCharType="end"/>
    </w:r>
    <w:r w:rsidRPr="00594C2E">
      <w:rPr>
        <w:rStyle w:val="PageNumber"/>
      </w:rPr>
      <w:t xml:space="preserve"> of </w:t>
    </w:r>
    <w:r w:rsidRPr="00594C2E">
      <w:rPr>
        <w:rStyle w:val="PageNumber"/>
      </w:rPr>
      <w:fldChar w:fldCharType="begin"/>
    </w:r>
    <w:r w:rsidRPr="00594C2E">
      <w:rPr>
        <w:rStyle w:val="PageNumber"/>
      </w:rPr>
      <w:instrText xml:space="preserve"> NUMPAGES </w:instrText>
    </w:r>
    <w:r w:rsidRPr="00594C2E">
      <w:rPr>
        <w:rStyle w:val="PageNumber"/>
      </w:rPr>
      <w:fldChar w:fldCharType="separate"/>
    </w:r>
    <w:r w:rsidR="00882EF4">
      <w:rPr>
        <w:rStyle w:val="PageNumber"/>
        <w:noProof/>
      </w:rPr>
      <w:t>5</w:t>
    </w:r>
    <w:r w:rsidRPr="00594C2E">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C51458" w:rsidRPr="00A94865" w14:paraId="706A9D0F" w14:textId="77777777" w:rsidTr="00C51458">
      <w:trPr>
        <w:cantSplit/>
        <w:trHeight w:val="204"/>
        <w:jc w:val="center"/>
      </w:trPr>
      <w:tc>
        <w:tcPr>
          <w:tcW w:w="1152" w:type="dxa"/>
        </w:tcPr>
        <w:p w14:paraId="7D7C1A82" w14:textId="387FFA92" w:rsidR="00C51458" w:rsidRPr="00A94865" w:rsidRDefault="00C51458" w:rsidP="00A94865">
          <w:pPr>
            <w:rPr>
              <w:b/>
              <w:bCs/>
            </w:rPr>
          </w:pPr>
          <w:r>
            <w:rPr>
              <w:b/>
              <w:bCs/>
            </w:rPr>
            <w:t>Contact:</w:t>
          </w:r>
        </w:p>
      </w:tc>
      <w:tc>
        <w:tcPr>
          <w:tcW w:w="5040" w:type="dxa"/>
        </w:tcPr>
        <w:p w14:paraId="78F48DC2" w14:textId="775AA75D" w:rsidR="00C51458" w:rsidRPr="00EE4AA3" w:rsidRDefault="00CE03F4" w:rsidP="00CE03F4">
          <w:pPr>
            <w:pStyle w:val="Footer"/>
            <w:tabs>
              <w:tab w:val="clear" w:pos="4320"/>
              <w:tab w:val="clear" w:pos="8640"/>
            </w:tabs>
            <w:rPr>
              <w:rFonts w:eastAsiaTheme="minorEastAsia"/>
              <w:lang w:eastAsia="zh-CN"/>
            </w:rPr>
          </w:pPr>
          <w:r>
            <w:t>Dr. Taghi Shafiee</w:t>
          </w:r>
        </w:p>
        <w:p w14:paraId="5247784C" w14:textId="3044375B" w:rsidR="00C51458" w:rsidRPr="00EE4AA3" w:rsidRDefault="00C51458" w:rsidP="00CE03F4">
          <w:pPr>
            <w:overflowPunct w:val="0"/>
            <w:autoSpaceDE w:val="0"/>
            <w:autoSpaceDN w:val="0"/>
            <w:adjustRightInd w:val="0"/>
            <w:spacing w:line="240" w:lineRule="atLeast"/>
            <w:textAlignment w:val="baseline"/>
            <w:rPr>
              <w:rFonts w:eastAsiaTheme="minorEastAsia"/>
              <w:szCs w:val="22"/>
              <w:lang w:val="en-GB" w:eastAsia="zh-CN"/>
            </w:rPr>
          </w:pPr>
          <w:r>
            <w:t xml:space="preserve">Chairman, </w:t>
          </w:r>
          <w:r w:rsidR="00CE03F4">
            <w:t>Working Party 6</w:t>
          </w:r>
        </w:p>
      </w:tc>
      <w:tc>
        <w:tcPr>
          <w:tcW w:w="3024" w:type="dxa"/>
        </w:tcPr>
        <w:p w14:paraId="1ADECCFC" w14:textId="0E502396" w:rsidR="00C51458" w:rsidRPr="00EE4AA3" w:rsidRDefault="00C51458" w:rsidP="00CE03F4">
          <w:pPr>
            <w:rPr>
              <w:rFonts w:eastAsiaTheme="minorEastAsia"/>
              <w:lang w:eastAsia="zh-CN"/>
            </w:rPr>
          </w:pPr>
          <w:r>
            <w:t xml:space="preserve">E-mail: </w:t>
          </w:r>
          <w:r w:rsidR="00CE03F4">
            <w:t>shafiee</w:t>
          </w:r>
          <w:r>
            <w:t>@</w:t>
          </w:r>
          <w:r w:rsidR="00CE03F4">
            <w:t>cra</w:t>
          </w:r>
          <w:r>
            <w:rPr>
              <w:rFonts w:eastAsiaTheme="minorEastAsia" w:hint="eastAsia"/>
              <w:lang w:eastAsia="zh-CN"/>
            </w:rPr>
            <w:t>.</w:t>
          </w:r>
          <w:r w:rsidR="00CE03F4">
            <w:rPr>
              <w:rFonts w:eastAsiaTheme="minorEastAsia"/>
              <w:lang w:eastAsia="zh-CN"/>
            </w:rPr>
            <w:t>ir</w:t>
          </w:r>
        </w:p>
      </w:tc>
    </w:tr>
  </w:tbl>
  <w:p w14:paraId="2E0E6781" w14:textId="1A87037C" w:rsidR="00C51458" w:rsidRPr="008C5D03" w:rsidRDefault="00C51458" w:rsidP="00BB6A79">
    <w:pPr>
      <w:pStyle w:val="Footer"/>
      <w:rPr>
        <w:rFonts w:eastAsiaTheme="minorEastAsia"/>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057AA" w14:textId="77777777" w:rsidR="00DB3019" w:rsidRDefault="00DB3019">
      <w:r>
        <w:separator/>
      </w:r>
    </w:p>
  </w:footnote>
  <w:footnote w:type="continuationSeparator" w:id="0">
    <w:p w14:paraId="36B109BF" w14:textId="77777777" w:rsidR="00DB3019" w:rsidRDefault="00DB3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5AF2E" w14:textId="77777777" w:rsidR="00EA5FED" w:rsidRDefault="00EA5F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E6778" w14:textId="6FA8D360" w:rsidR="00C51458" w:rsidRDefault="00C51458" w:rsidP="00C15633">
    <w:pPr>
      <w:pStyle w:val="Header"/>
      <w:tabs>
        <w:tab w:val="center" w:pos="4763"/>
        <w:tab w:val="left" w:pos="5820"/>
      </w:tabs>
      <w:rPr>
        <w:lang w:eastAsia="ko-KR"/>
      </w:rPr>
    </w:pPr>
    <w:r>
      <w:rPr>
        <w:lang w:eastAsia="ko-KR"/>
      </w:rPr>
      <w:tab/>
    </w:r>
  </w:p>
  <w:p w14:paraId="2E0E6779" w14:textId="77777777" w:rsidR="00C51458" w:rsidRDefault="00C51458" w:rsidP="00AD7E5F">
    <w:pPr>
      <w:pStyle w:val="Header"/>
      <w:tabs>
        <w:tab w:val="center" w:pos="4763"/>
        <w:tab w:val="left" w:pos="5820"/>
      </w:tabs>
      <w:rPr>
        <w:lang w:eastAsia="ko-K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32608" w14:textId="77777777" w:rsidR="00EA5FED" w:rsidRDefault="00EA5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7D61"/>
    <w:multiLevelType w:val="multilevel"/>
    <w:tmpl w:val="E0188B0E"/>
    <w:lvl w:ilvl="0">
      <w:start w:val="1"/>
      <w:numFmt w:val="decimal"/>
      <w:lvlText w:val="%1."/>
      <w:lvlJc w:val="left"/>
      <w:pPr>
        <w:ind w:left="420" w:hanging="42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178F0AB6"/>
    <w:multiLevelType w:val="hybridMultilevel"/>
    <w:tmpl w:val="2FD0B346"/>
    <w:lvl w:ilvl="0" w:tplc="81F65682">
      <w:start w:val="1"/>
      <w:numFmt w:val="bullet"/>
      <w:lvlText w:val=""/>
      <w:lvlJc w:val="left"/>
      <w:pPr>
        <w:ind w:left="1380" w:hanging="420"/>
      </w:pPr>
      <w:rPr>
        <w:rFonts w:ascii="Symbol" w:hAnsi="Symbol" w:hint="default"/>
      </w:rPr>
    </w:lvl>
    <w:lvl w:ilvl="1" w:tplc="04090003" w:tentative="1">
      <w:start w:val="1"/>
      <w:numFmt w:val="bullet"/>
      <w:lvlText w:val=""/>
      <w:lvlJc w:val="left"/>
      <w:pPr>
        <w:ind w:left="1800" w:hanging="420"/>
      </w:pPr>
      <w:rPr>
        <w:rFonts w:ascii="Wingdings" w:hAnsi="Wingdings" w:hint="default"/>
      </w:rPr>
    </w:lvl>
    <w:lvl w:ilvl="2" w:tplc="04090005"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3" w:tentative="1">
      <w:start w:val="1"/>
      <w:numFmt w:val="bullet"/>
      <w:lvlText w:val=""/>
      <w:lvlJc w:val="left"/>
      <w:pPr>
        <w:ind w:left="3060" w:hanging="420"/>
      </w:pPr>
      <w:rPr>
        <w:rFonts w:ascii="Wingdings" w:hAnsi="Wingdings" w:hint="default"/>
      </w:rPr>
    </w:lvl>
    <w:lvl w:ilvl="5" w:tplc="04090005"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3" w:tentative="1">
      <w:start w:val="1"/>
      <w:numFmt w:val="bullet"/>
      <w:lvlText w:val=""/>
      <w:lvlJc w:val="left"/>
      <w:pPr>
        <w:ind w:left="4320" w:hanging="420"/>
      </w:pPr>
      <w:rPr>
        <w:rFonts w:ascii="Wingdings" w:hAnsi="Wingdings" w:hint="default"/>
      </w:rPr>
    </w:lvl>
    <w:lvl w:ilvl="8" w:tplc="04090005" w:tentative="1">
      <w:start w:val="1"/>
      <w:numFmt w:val="bullet"/>
      <w:lvlText w:val=""/>
      <w:lvlJc w:val="left"/>
      <w:pPr>
        <w:ind w:left="4740" w:hanging="420"/>
      </w:pPr>
      <w:rPr>
        <w:rFonts w:ascii="Wingdings" w:hAnsi="Wingdings" w:hint="default"/>
      </w:rPr>
    </w:lvl>
  </w:abstractNum>
  <w:abstractNum w:abstractNumId="4">
    <w:nsid w:val="18F51F96"/>
    <w:multiLevelType w:val="hybridMultilevel"/>
    <w:tmpl w:val="F90A98AA"/>
    <w:lvl w:ilvl="0" w:tplc="B992C75E">
      <w:start w:val="27"/>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1FEA0194"/>
    <w:multiLevelType w:val="hybridMultilevel"/>
    <w:tmpl w:val="72547D76"/>
    <w:lvl w:ilvl="0" w:tplc="B816B436">
      <w:start w:val="1"/>
      <w:numFmt w:val="bullet"/>
      <w:lvlText w:val="-"/>
      <w:lvlJc w:val="left"/>
      <w:pPr>
        <w:ind w:left="846" w:hanging="420"/>
      </w:pPr>
      <w:rPr>
        <w:rFonts w:ascii="Times New Roman" w:eastAsia="BatangChe" w:hAnsi="Times New Roman" w:cs="Times New Roman"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8">
    <w:nsid w:val="21671AC5"/>
    <w:multiLevelType w:val="hybridMultilevel"/>
    <w:tmpl w:val="A3CC6B38"/>
    <w:lvl w:ilvl="0" w:tplc="4DA4FE3A">
      <w:start w:val="1"/>
      <w:numFmt w:val="decimal"/>
      <w:lvlText w:val="%1."/>
      <w:lvlJc w:val="left"/>
      <w:pPr>
        <w:ind w:left="720" w:hanging="720"/>
      </w:pPr>
      <w:rPr>
        <w:rFonts w:eastAsia="BatangChe"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nsid w:val="249D5232"/>
    <w:multiLevelType w:val="hybridMultilevel"/>
    <w:tmpl w:val="F7FE7CEE"/>
    <w:lvl w:ilvl="0" w:tplc="B992C75E">
      <w:start w:val="27"/>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0632A6"/>
    <w:multiLevelType w:val="hybridMultilevel"/>
    <w:tmpl w:val="3AF07BB2"/>
    <w:lvl w:ilvl="0" w:tplc="70561802">
      <w:start w:val="1"/>
      <w:numFmt w:val="decimal"/>
      <w:lvlText w:val="2.%1."/>
      <w:lvlJc w:val="left"/>
      <w:pPr>
        <w:ind w:left="420" w:hanging="420"/>
      </w:pPr>
      <w:rPr>
        <w:rFonts w:hint="eastAsia"/>
      </w:rPr>
    </w:lvl>
    <w:lvl w:ilvl="1" w:tplc="F71441EA">
      <w:start w:val="1"/>
      <w:numFmt w:val="decimal"/>
      <w:lvlText w:val="2.%2."/>
      <w:lvlJc w:val="left"/>
      <w:pPr>
        <w:ind w:left="420" w:hanging="420"/>
      </w:pPr>
      <w:rPr>
        <w:rFonts w:ascii="Times New Roman" w:hAnsi="Times New Roman" w:cs="Times New Roman" w:hint="default"/>
        <w:b/>
        <w:sz w:val="24"/>
        <w:szCs w:val="24"/>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89E66D8"/>
    <w:multiLevelType w:val="hybridMultilevel"/>
    <w:tmpl w:val="ADA4FD7C"/>
    <w:lvl w:ilvl="0" w:tplc="F402A7C8">
      <w:start w:val="1"/>
      <w:numFmt w:val="decimal"/>
      <w:lvlText w:val="3.%1."/>
      <w:lvlJc w:val="left"/>
      <w:pPr>
        <w:ind w:left="420" w:hanging="420"/>
      </w:pPr>
      <w:rPr>
        <w:rFonts w:hint="eastAsia"/>
      </w:rPr>
    </w:lvl>
    <w:lvl w:ilvl="1" w:tplc="04090019">
      <w:start w:val="1"/>
      <w:numFmt w:val="lowerLetter"/>
      <w:lvlText w:val="%2)"/>
      <w:lvlJc w:val="left"/>
      <w:pPr>
        <w:ind w:left="840" w:hanging="420"/>
      </w:pPr>
    </w:lvl>
    <w:lvl w:ilvl="2" w:tplc="10421DA6">
      <w:start w:val="1"/>
      <w:numFmt w:val="decimal"/>
      <w:lvlText w:val="3.1.%3."/>
      <w:lvlJc w:val="left"/>
      <w:pPr>
        <w:ind w:left="1260" w:hanging="420"/>
      </w:pPr>
      <w:rPr>
        <w:rFonts w:hint="eastAsia"/>
        <w:b/>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C4F07D5"/>
    <w:multiLevelType w:val="hybridMultilevel"/>
    <w:tmpl w:val="062C006C"/>
    <w:lvl w:ilvl="0" w:tplc="B992C75E">
      <w:start w:val="27"/>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8">
    <w:nsid w:val="351C3A4E"/>
    <w:multiLevelType w:val="hybridMultilevel"/>
    <w:tmpl w:val="E9C843B8"/>
    <w:lvl w:ilvl="0" w:tplc="BBE48C60">
      <w:start w:val="1"/>
      <w:numFmt w:val="decimal"/>
      <w:lvlText w:val="7.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nsid w:val="3783588A"/>
    <w:multiLevelType w:val="hybridMultilevel"/>
    <w:tmpl w:val="D4208692"/>
    <w:lvl w:ilvl="0" w:tplc="B7ACCA7E">
      <w:start w:val="1"/>
      <w:numFmt w:val="decimal"/>
      <w:lvlText w:val="7.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BBE1A4D"/>
    <w:multiLevelType w:val="hybridMultilevel"/>
    <w:tmpl w:val="8DB00EA8"/>
    <w:lvl w:ilvl="0" w:tplc="A114EBFA">
      <w:start w:val="1"/>
      <w:numFmt w:val="bullet"/>
      <w:lvlText w:val="-"/>
      <w:lvlJc w:val="left"/>
      <w:pPr>
        <w:ind w:left="280" w:hanging="360"/>
      </w:pPr>
      <w:rPr>
        <w:rFonts w:ascii="Malgun Gothic" w:eastAsia="Malgun Gothic" w:hAnsi="Malgun Gothic" w:cstheme="minorBidi" w:hint="eastAsia"/>
      </w:rPr>
    </w:lvl>
    <w:lvl w:ilvl="1" w:tplc="04090003" w:tentative="1">
      <w:start w:val="1"/>
      <w:numFmt w:val="bullet"/>
      <w:lvlText w:val=""/>
      <w:lvlJc w:val="left"/>
      <w:pPr>
        <w:ind w:left="720" w:hanging="400"/>
      </w:pPr>
      <w:rPr>
        <w:rFonts w:ascii="Wingdings" w:hAnsi="Wingdings" w:hint="default"/>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3">
    <w:nsid w:val="42987CAD"/>
    <w:multiLevelType w:val="hybridMultilevel"/>
    <w:tmpl w:val="73B8E9E8"/>
    <w:lvl w:ilvl="0" w:tplc="4DB23630">
      <w:start w:val="1"/>
      <w:numFmt w:val="decimal"/>
      <w:lvlText w:val="6.%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57E2D59"/>
    <w:multiLevelType w:val="hybridMultilevel"/>
    <w:tmpl w:val="FE8E55D2"/>
    <w:lvl w:ilvl="0" w:tplc="81F65682">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4DBD03B5"/>
    <w:multiLevelType w:val="hybridMultilevel"/>
    <w:tmpl w:val="D2B8853C"/>
    <w:lvl w:ilvl="0" w:tplc="35B4B92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0423B92"/>
    <w:multiLevelType w:val="hybridMultilevel"/>
    <w:tmpl w:val="D4208692"/>
    <w:lvl w:ilvl="0" w:tplc="B7ACCA7E">
      <w:start w:val="1"/>
      <w:numFmt w:val="decimal"/>
      <w:lvlText w:val="7.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1A45805"/>
    <w:multiLevelType w:val="hybridMultilevel"/>
    <w:tmpl w:val="EFFEA3D2"/>
    <w:lvl w:ilvl="0" w:tplc="70561802">
      <w:start w:val="1"/>
      <w:numFmt w:val="decimal"/>
      <w:lvlText w:val="2.%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A176E0A"/>
    <w:multiLevelType w:val="hybridMultilevel"/>
    <w:tmpl w:val="34AE4D68"/>
    <w:lvl w:ilvl="0" w:tplc="70561802">
      <w:start w:val="1"/>
      <w:numFmt w:val="decimal"/>
      <w:lvlText w:val="2.%1."/>
      <w:lvlJc w:val="left"/>
      <w:pPr>
        <w:ind w:left="420" w:hanging="420"/>
      </w:pPr>
      <w:rPr>
        <w:rFonts w:hint="eastAsia"/>
      </w:rPr>
    </w:lvl>
    <w:lvl w:ilvl="1" w:tplc="6FFC8C34">
      <w:start w:val="1"/>
      <w:numFmt w:val="decimal"/>
      <w:lvlText w:val="7.%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630D27DD"/>
    <w:multiLevelType w:val="multilevel"/>
    <w:tmpl w:val="630D27D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3">
    <w:nsid w:val="67A159E6"/>
    <w:multiLevelType w:val="hybridMultilevel"/>
    <w:tmpl w:val="BD9223B8"/>
    <w:lvl w:ilvl="0" w:tplc="70561802">
      <w:start w:val="1"/>
      <w:numFmt w:val="decimal"/>
      <w:lvlText w:val="2.%1."/>
      <w:lvlJc w:val="left"/>
      <w:pPr>
        <w:ind w:left="420" w:hanging="420"/>
      </w:pPr>
      <w:rPr>
        <w:rFonts w:hint="eastAsia"/>
      </w:rPr>
    </w:lvl>
    <w:lvl w:ilvl="1" w:tplc="C86C4C54">
      <w:start w:val="1"/>
      <w:numFmt w:val="decimal"/>
      <w:lvlText w:val="3.%2."/>
      <w:lvlJc w:val="left"/>
      <w:pPr>
        <w:ind w:left="840" w:hanging="420"/>
      </w:pPr>
      <w:rPr>
        <w:rFonts w:hint="eastAsia"/>
        <w:b/>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FB6775D"/>
    <w:multiLevelType w:val="hybridMultilevel"/>
    <w:tmpl w:val="F9A4CA22"/>
    <w:lvl w:ilvl="0" w:tplc="04090001">
      <w:start w:val="1"/>
      <w:numFmt w:val="bullet"/>
      <w:lvlText w:val=""/>
      <w:lvlJc w:val="left"/>
      <w:pPr>
        <w:ind w:left="1380" w:hanging="420"/>
      </w:pPr>
      <w:rPr>
        <w:rFonts w:ascii="Wingdings" w:hAnsi="Wingdings" w:hint="default"/>
      </w:rPr>
    </w:lvl>
    <w:lvl w:ilvl="1" w:tplc="04090003" w:tentative="1">
      <w:start w:val="1"/>
      <w:numFmt w:val="bullet"/>
      <w:lvlText w:val=""/>
      <w:lvlJc w:val="left"/>
      <w:pPr>
        <w:ind w:left="1800" w:hanging="420"/>
      </w:pPr>
      <w:rPr>
        <w:rFonts w:ascii="Wingdings" w:hAnsi="Wingdings" w:hint="default"/>
      </w:rPr>
    </w:lvl>
    <w:lvl w:ilvl="2" w:tplc="04090005"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3" w:tentative="1">
      <w:start w:val="1"/>
      <w:numFmt w:val="bullet"/>
      <w:lvlText w:val=""/>
      <w:lvlJc w:val="left"/>
      <w:pPr>
        <w:ind w:left="3060" w:hanging="420"/>
      </w:pPr>
      <w:rPr>
        <w:rFonts w:ascii="Wingdings" w:hAnsi="Wingdings" w:hint="default"/>
      </w:rPr>
    </w:lvl>
    <w:lvl w:ilvl="5" w:tplc="04090005"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3" w:tentative="1">
      <w:start w:val="1"/>
      <w:numFmt w:val="bullet"/>
      <w:lvlText w:val=""/>
      <w:lvlJc w:val="left"/>
      <w:pPr>
        <w:ind w:left="4320" w:hanging="420"/>
      </w:pPr>
      <w:rPr>
        <w:rFonts w:ascii="Wingdings" w:hAnsi="Wingdings" w:hint="default"/>
      </w:rPr>
    </w:lvl>
    <w:lvl w:ilvl="8" w:tplc="04090005" w:tentative="1">
      <w:start w:val="1"/>
      <w:numFmt w:val="bullet"/>
      <w:lvlText w:val=""/>
      <w:lvlJc w:val="left"/>
      <w:pPr>
        <w:ind w:left="4740" w:hanging="420"/>
      </w:pPr>
      <w:rPr>
        <w:rFonts w:ascii="Wingdings" w:hAnsi="Wingdings" w:hint="default"/>
      </w:rPr>
    </w:lvl>
  </w:abstractNum>
  <w:abstractNum w:abstractNumId="35">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6">
    <w:nsid w:val="73776717"/>
    <w:multiLevelType w:val="hybridMultilevel"/>
    <w:tmpl w:val="42CCFF7E"/>
    <w:lvl w:ilvl="0" w:tplc="F33E43EC">
      <w:start w:val="1"/>
      <w:numFmt w:val="decimal"/>
      <w:lvlText w:val="7.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nsid w:val="7A2C3B6C"/>
    <w:multiLevelType w:val="singleLevel"/>
    <w:tmpl w:val="A01AB2EA"/>
    <w:lvl w:ilvl="0">
      <w:start w:val="1"/>
      <w:numFmt w:val="decimal"/>
      <w:lvlText w:val="%1.  "/>
      <w:legacy w:legacy="1" w:legacySpace="0" w:legacyIndent="283"/>
      <w:lvlJc w:val="left"/>
      <w:pPr>
        <w:ind w:left="283" w:hanging="283"/>
      </w:pPr>
    </w:lvl>
  </w:abstractNum>
  <w:abstractNum w:abstractNumId="39">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9"/>
  </w:num>
  <w:num w:numId="2">
    <w:abstractNumId w:val="11"/>
  </w:num>
  <w:num w:numId="3">
    <w:abstractNumId w:val="9"/>
  </w:num>
  <w:num w:numId="4">
    <w:abstractNumId w:val="35"/>
  </w:num>
  <w:num w:numId="5">
    <w:abstractNumId w:val="17"/>
  </w:num>
  <w:num w:numId="6">
    <w:abstractNumId w:val="20"/>
  </w:num>
  <w:num w:numId="7">
    <w:abstractNumId w:val="5"/>
  </w:num>
  <w:num w:numId="8">
    <w:abstractNumId w:val="2"/>
  </w:num>
  <w:num w:numId="9">
    <w:abstractNumId w:val="38"/>
  </w:num>
  <w:num w:numId="10">
    <w:abstractNumId w:val="31"/>
  </w:num>
  <w:num w:numId="11">
    <w:abstractNumId w:val="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9"/>
  </w:num>
  <w:num w:numId="17">
    <w:abstractNumId w:val="30"/>
  </w:num>
  <w:num w:numId="18">
    <w:abstractNumId w:val="22"/>
  </w:num>
  <w:num w:numId="19">
    <w:abstractNumId w:val="37"/>
  </w:num>
  <w:num w:numId="20">
    <w:abstractNumId w:val="16"/>
  </w:num>
  <w:num w:numId="21">
    <w:abstractNumId w:val="32"/>
  </w:num>
  <w:num w:numId="22">
    <w:abstractNumId w:val="0"/>
  </w:num>
  <w:num w:numId="23">
    <w:abstractNumId w:val="8"/>
  </w:num>
  <w:num w:numId="24">
    <w:abstractNumId w:val="29"/>
  </w:num>
  <w:num w:numId="25">
    <w:abstractNumId w:val="27"/>
  </w:num>
  <w:num w:numId="26">
    <w:abstractNumId w:val="33"/>
  </w:num>
  <w:num w:numId="27">
    <w:abstractNumId w:val="14"/>
  </w:num>
  <w:num w:numId="28">
    <w:abstractNumId w:val="7"/>
  </w:num>
  <w:num w:numId="29">
    <w:abstractNumId w:val="23"/>
  </w:num>
  <w:num w:numId="30">
    <w:abstractNumId w:val="21"/>
  </w:num>
  <w:num w:numId="31">
    <w:abstractNumId w:val="26"/>
  </w:num>
  <w:num w:numId="32">
    <w:abstractNumId w:val="18"/>
  </w:num>
  <w:num w:numId="33">
    <w:abstractNumId w:val="36"/>
  </w:num>
  <w:num w:numId="34">
    <w:abstractNumId w:val="34"/>
  </w:num>
  <w:num w:numId="35">
    <w:abstractNumId w:val="3"/>
  </w:num>
  <w:num w:numId="36">
    <w:abstractNumId w:val="24"/>
  </w:num>
  <w:num w:numId="37">
    <w:abstractNumId w:val="15"/>
  </w:num>
  <w:num w:numId="38">
    <w:abstractNumId w:val="25"/>
  </w:num>
  <w:num w:numId="39">
    <w:abstractNumId w:val="13"/>
  </w:num>
  <w:num w:numId="40">
    <w:abstractNumId w:val="10"/>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074C4"/>
    <w:rsid w:val="00010C8E"/>
    <w:rsid w:val="000226E0"/>
    <w:rsid w:val="0003595B"/>
    <w:rsid w:val="00036517"/>
    <w:rsid w:val="00036CC9"/>
    <w:rsid w:val="0004043C"/>
    <w:rsid w:val="00047BFD"/>
    <w:rsid w:val="00060338"/>
    <w:rsid w:val="00060DDC"/>
    <w:rsid w:val="000663B3"/>
    <w:rsid w:val="00066677"/>
    <w:rsid w:val="00070642"/>
    <w:rsid w:val="000713CF"/>
    <w:rsid w:val="00075C14"/>
    <w:rsid w:val="000822B5"/>
    <w:rsid w:val="00093599"/>
    <w:rsid w:val="00094B87"/>
    <w:rsid w:val="000A012B"/>
    <w:rsid w:val="000A5418"/>
    <w:rsid w:val="000B1E0D"/>
    <w:rsid w:val="000B540D"/>
    <w:rsid w:val="000B5771"/>
    <w:rsid w:val="000E15F9"/>
    <w:rsid w:val="000E2F7F"/>
    <w:rsid w:val="000E43BD"/>
    <w:rsid w:val="000F158C"/>
    <w:rsid w:val="000F345F"/>
    <w:rsid w:val="000F517C"/>
    <w:rsid w:val="000F5540"/>
    <w:rsid w:val="000F7521"/>
    <w:rsid w:val="00105F1A"/>
    <w:rsid w:val="00105FF5"/>
    <w:rsid w:val="00120F6E"/>
    <w:rsid w:val="001269DB"/>
    <w:rsid w:val="00132673"/>
    <w:rsid w:val="001349FA"/>
    <w:rsid w:val="00136A8F"/>
    <w:rsid w:val="001409B2"/>
    <w:rsid w:val="00152636"/>
    <w:rsid w:val="00153779"/>
    <w:rsid w:val="001539DD"/>
    <w:rsid w:val="00156782"/>
    <w:rsid w:val="00164D96"/>
    <w:rsid w:val="0017026B"/>
    <w:rsid w:val="001731F4"/>
    <w:rsid w:val="00184DEE"/>
    <w:rsid w:val="0019476D"/>
    <w:rsid w:val="00196568"/>
    <w:rsid w:val="00196800"/>
    <w:rsid w:val="00197C18"/>
    <w:rsid w:val="001A2F16"/>
    <w:rsid w:val="001B1804"/>
    <w:rsid w:val="001B18C2"/>
    <w:rsid w:val="001B24ED"/>
    <w:rsid w:val="001B73F7"/>
    <w:rsid w:val="001C2E2D"/>
    <w:rsid w:val="001C61A5"/>
    <w:rsid w:val="001C6707"/>
    <w:rsid w:val="001C7F9E"/>
    <w:rsid w:val="001D5D7E"/>
    <w:rsid w:val="001F0346"/>
    <w:rsid w:val="001F5947"/>
    <w:rsid w:val="001F7DD2"/>
    <w:rsid w:val="00200E8F"/>
    <w:rsid w:val="00202410"/>
    <w:rsid w:val="0020597D"/>
    <w:rsid w:val="00210C8A"/>
    <w:rsid w:val="00214A0C"/>
    <w:rsid w:val="0021588B"/>
    <w:rsid w:val="0021653E"/>
    <w:rsid w:val="002216AC"/>
    <w:rsid w:val="0022293D"/>
    <w:rsid w:val="002506D2"/>
    <w:rsid w:val="00250DE2"/>
    <w:rsid w:val="00250E77"/>
    <w:rsid w:val="00254A1B"/>
    <w:rsid w:val="0026064A"/>
    <w:rsid w:val="00265E71"/>
    <w:rsid w:val="00266772"/>
    <w:rsid w:val="0028454D"/>
    <w:rsid w:val="00290441"/>
    <w:rsid w:val="00291C9E"/>
    <w:rsid w:val="002926D4"/>
    <w:rsid w:val="00294412"/>
    <w:rsid w:val="002B06A3"/>
    <w:rsid w:val="002B1D32"/>
    <w:rsid w:val="002B3569"/>
    <w:rsid w:val="002B435C"/>
    <w:rsid w:val="002B447F"/>
    <w:rsid w:val="002C07DA"/>
    <w:rsid w:val="002C0AEA"/>
    <w:rsid w:val="002C2C62"/>
    <w:rsid w:val="002C2DB9"/>
    <w:rsid w:val="002C323D"/>
    <w:rsid w:val="002C6D7C"/>
    <w:rsid w:val="002C7EA9"/>
    <w:rsid w:val="002D0D98"/>
    <w:rsid w:val="002D50EA"/>
    <w:rsid w:val="002E040E"/>
    <w:rsid w:val="002E6C0D"/>
    <w:rsid w:val="002F00AF"/>
    <w:rsid w:val="002F575D"/>
    <w:rsid w:val="00301ABD"/>
    <w:rsid w:val="0030545F"/>
    <w:rsid w:val="003065E7"/>
    <w:rsid w:val="0030690F"/>
    <w:rsid w:val="003105B0"/>
    <w:rsid w:val="00310C00"/>
    <w:rsid w:val="003113D7"/>
    <w:rsid w:val="00311E8A"/>
    <w:rsid w:val="00316A36"/>
    <w:rsid w:val="0032045A"/>
    <w:rsid w:val="00324D8F"/>
    <w:rsid w:val="003348B8"/>
    <w:rsid w:val="00335304"/>
    <w:rsid w:val="00336F36"/>
    <w:rsid w:val="00342F20"/>
    <w:rsid w:val="00344046"/>
    <w:rsid w:val="0034658E"/>
    <w:rsid w:val="00346BB3"/>
    <w:rsid w:val="00350CB8"/>
    <w:rsid w:val="00360377"/>
    <w:rsid w:val="00363F49"/>
    <w:rsid w:val="00366548"/>
    <w:rsid w:val="00374E7C"/>
    <w:rsid w:val="003758F7"/>
    <w:rsid w:val="003809C7"/>
    <w:rsid w:val="0038236C"/>
    <w:rsid w:val="003832C4"/>
    <w:rsid w:val="00386900"/>
    <w:rsid w:val="0039038F"/>
    <w:rsid w:val="00392C81"/>
    <w:rsid w:val="00395B40"/>
    <w:rsid w:val="00397954"/>
    <w:rsid w:val="003A5B83"/>
    <w:rsid w:val="003A6568"/>
    <w:rsid w:val="003A68DB"/>
    <w:rsid w:val="003A6FF6"/>
    <w:rsid w:val="003B1204"/>
    <w:rsid w:val="003B6263"/>
    <w:rsid w:val="003C29E6"/>
    <w:rsid w:val="003C3E29"/>
    <w:rsid w:val="003C64A7"/>
    <w:rsid w:val="003D1671"/>
    <w:rsid w:val="003D3FDA"/>
    <w:rsid w:val="003D593B"/>
    <w:rsid w:val="003D6D00"/>
    <w:rsid w:val="003E166F"/>
    <w:rsid w:val="003E694F"/>
    <w:rsid w:val="003F4789"/>
    <w:rsid w:val="003F798D"/>
    <w:rsid w:val="004001E5"/>
    <w:rsid w:val="00420822"/>
    <w:rsid w:val="00420C74"/>
    <w:rsid w:val="004224A8"/>
    <w:rsid w:val="00430D93"/>
    <w:rsid w:val="00440900"/>
    <w:rsid w:val="00441CBF"/>
    <w:rsid w:val="0044511E"/>
    <w:rsid w:val="004465AA"/>
    <w:rsid w:val="0045458F"/>
    <w:rsid w:val="004633B4"/>
    <w:rsid w:val="0046449E"/>
    <w:rsid w:val="00470ABF"/>
    <w:rsid w:val="00472903"/>
    <w:rsid w:val="00473CC1"/>
    <w:rsid w:val="00483E5F"/>
    <w:rsid w:val="00497B6C"/>
    <w:rsid w:val="004A2F96"/>
    <w:rsid w:val="004B3212"/>
    <w:rsid w:val="004B3553"/>
    <w:rsid w:val="004B3F4B"/>
    <w:rsid w:val="004B427A"/>
    <w:rsid w:val="004C3C0B"/>
    <w:rsid w:val="004C727C"/>
    <w:rsid w:val="004D4CA3"/>
    <w:rsid w:val="004D5A86"/>
    <w:rsid w:val="004D6282"/>
    <w:rsid w:val="004E2F41"/>
    <w:rsid w:val="004E424C"/>
    <w:rsid w:val="004E69F4"/>
    <w:rsid w:val="00501C8E"/>
    <w:rsid w:val="00502F2B"/>
    <w:rsid w:val="00503189"/>
    <w:rsid w:val="00505FEE"/>
    <w:rsid w:val="005100C2"/>
    <w:rsid w:val="00526D01"/>
    <w:rsid w:val="00527288"/>
    <w:rsid w:val="00530E8C"/>
    <w:rsid w:val="00530F94"/>
    <w:rsid w:val="005334F9"/>
    <w:rsid w:val="005370C3"/>
    <w:rsid w:val="00545933"/>
    <w:rsid w:val="0055081E"/>
    <w:rsid w:val="00552105"/>
    <w:rsid w:val="005562F2"/>
    <w:rsid w:val="00557544"/>
    <w:rsid w:val="0056140A"/>
    <w:rsid w:val="00565BBB"/>
    <w:rsid w:val="00580B52"/>
    <w:rsid w:val="00585F3C"/>
    <w:rsid w:val="00586CA0"/>
    <w:rsid w:val="00587875"/>
    <w:rsid w:val="005921BE"/>
    <w:rsid w:val="00594C2E"/>
    <w:rsid w:val="005A63EB"/>
    <w:rsid w:val="005C31EF"/>
    <w:rsid w:val="005C33B6"/>
    <w:rsid w:val="005C784C"/>
    <w:rsid w:val="005C7DB1"/>
    <w:rsid w:val="005D1DB1"/>
    <w:rsid w:val="005D1FE8"/>
    <w:rsid w:val="005D3AB7"/>
    <w:rsid w:val="005D5144"/>
    <w:rsid w:val="005D6202"/>
    <w:rsid w:val="005D6E98"/>
    <w:rsid w:val="005F2E81"/>
    <w:rsid w:val="005F5A1B"/>
    <w:rsid w:val="005F7618"/>
    <w:rsid w:val="006048B6"/>
    <w:rsid w:val="00607E2B"/>
    <w:rsid w:val="00612F6F"/>
    <w:rsid w:val="00613600"/>
    <w:rsid w:val="006139D6"/>
    <w:rsid w:val="00616D1B"/>
    <w:rsid w:val="00617C82"/>
    <w:rsid w:val="00623CE1"/>
    <w:rsid w:val="00624113"/>
    <w:rsid w:val="006267B6"/>
    <w:rsid w:val="0062779A"/>
    <w:rsid w:val="0063062B"/>
    <w:rsid w:val="00637351"/>
    <w:rsid w:val="0064159A"/>
    <w:rsid w:val="00646166"/>
    <w:rsid w:val="006545F8"/>
    <w:rsid w:val="00654896"/>
    <w:rsid w:val="006621F0"/>
    <w:rsid w:val="006647BA"/>
    <w:rsid w:val="00666F5F"/>
    <w:rsid w:val="00667229"/>
    <w:rsid w:val="0067026A"/>
    <w:rsid w:val="00672A3D"/>
    <w:rsid w:val="00682BE5"/>
    <w:rsid w:val="00690FED"/>
    <w:rsid w:val="006939A5"/>
    <w:rsid w:val="006A46D9"/>
    <w:rsid w:val="006B6345"/>
    <w:rsid w:val="006C438A"/>
    <w:rsid w:val="006C633B"/>
    <w:rsid w:val="006D18C5"/>
    <w:rsid w:val="006D5223"/>
    <w:rsid w:val="006D766A"/>
    <w:rsid w:val="006E06B6"/>
    <w:rsid w:val="006E12FC"/>
    <w:rsid w:val="006E32B7"/>
    <w:rsid w:val="006E4D6C"/>
    <w:rsid w:val="006F2B2E"/>
    <w:rsid w:val="00705962"/>
    <w:rsid w:val="00707C21"/>
    <w:rsid w:val="00712451"/>
    <w:rsid w:val="0071446F"/>
    <w:rsid w:val="00717DE9"/>
    <w:rsid w:val="007207A6"/>
    <w:rsid w:val="0072110A"/>
    <w:rsid w:val="00721C95"/>
    <w:rsid w:val="00723673"/>
    <w:rsid w:val="0072518B"/>
    <w:rsid w:val="007251C4"/>
    <w:rsid w:val="007300C1"/>
    <w:rsid w:val="00731041"/>
    <w:rsid w:val="007329E4"/>
    <w:rsid w:val="00732F08"/>
    <w:rsid w:val="007342F0"/>
    <w:rsid w:val="0073550C"/>
    <w:rsid w:val="00740FF2"/>
    <w:rsid w:val="0074190C"/>
    <w:rsid w:val="00755039"/>
    <w:rsid w:val="007570AC"/>
    <w:rsid w:val="00762576"/>
    <w:rsid w:val="007659C8"/>
    <w:rsid w:val="007673CA"/>
    <w:rsid w:val="00774AB3"/>
    <w:rsid w:val="007767E5"/>
    <w:rsid w:val="00777BF1"/>
    <w:rsid w:val="00780DBE"/>
    <w:rsid w:val="00787806"/>
    <w:rsid w:val="00791060"/>
    <w:rsid w:val="007A30A5"/>
    <w:rsid w:val="007A50AE"/>
    <w:rsid w:val="007A515A"/>
    <w:rsid w:val="007B0340"/>
    <w:rsid w:val="007B5626"/>
    <w:rsid w:val="007B6124"/>
    <w:rsid w:val="007C044A"/>
    <w:rsid w:val="007D0174"/>
    <w:rsid w:val="007D1F11"/>
    <w:rsid w:val="007D3C53"/>
    <w:rsid w:val="007D44E9"/>
    <w:rsid w:val="007E007C"/>
    <w:rsid w:val="007E3811"/>
    <w:rsid w:val="007E7049"/>
    <w:rsid w:val="007F2628"/>
    <w:rsid w:val="007F2FBA"/>
    <w:rsid w:val="007F4219"/>
    <w:rsid w:val="00800C3A"/>
    <w:rsid w:val="00801445"/>
    <w:rsid w:val="008035F3"/>
    <w:rsid w:val="0080570B"/>
    <w:rsid w:val="00810476"/>
    <w:rsid w:val="008148E1"/>
    <w:rsid w:val="0081527D"/>
    <w:rsid w:val="00820DF2"/>
    <w:rsid w:val="00822B94"/>
    <w:rsid w:val="008319BF"/>
    <w:rsid w:val="00834DBF"/>
    <w:rsid w:val="00834E47"/>
    <w:rsid w:val="008433C2"/>
    <w:rsid w:val="00844457"/>
    <w:rsid w:val="008454C8"/>
    <w:rsid w:val="00851D78"/>
    <w:rsid w:val="00861FAE"/>
    <w:rsid w:val="00873899"/>
    <w:rsid w:val="0087793F"/>
    <w:rsid w:val="00880318"/>
    <w:rsid w:val="00882234"/>
    <w:rsid w:val="0088256F"/>
    <w:rsid w:val="00882EF4"/>
    <w:rsid w:val="00896C76"/>
    <w:rsid w:val="008A1A0D"/>
    <w:rsid w:val="008A7166"/>
    <w:rsid w:val="008A76ED"/>
    <w:rsid w:val="008B2DC0"/>
    <w:rsid w:val="008B3C72"/>
    <w:rsid w:val="008B4EF9"/>
    <w:rsid w:val="008B6A50"/>
    <w:rsid w:val="008B7A55"/>
    <w:rsid w:val="008C0AE6"/>
    <w:rsid w:val="008C5D03"/>
    <w:rsid w:val="008D0E09"/>
    <w:rsid w:val="008F1502"/>
    <w:rsid w:val="008F3FD8"/>
    <w:rsid w:val="008F4B18"/>
    <w:rsid w:val="008F5D0A"/>
    <w:rsid w:val="008F65DF"/>
    <w:rsid w:val="00903007"/>
    <w:rsid w:val="00915B60"/>
    <w:rsid w:val="00923816"/>
    <w:rsid w:val="00925958"/>
    <w:rsid w:val="0093074B"/>
    <w:rsid w:val="00930E64"/>
    <w:rsid w:val="00931F5E"/>
    <w:rsid w:val="0093429B"/>
    <w:rsid w:val="009463FE"/>
    <w:rsid w:val="00946CD8"/>
    <w:rsid w:val="009527D6"/>
    <w:rsid w:val="00956F8C"/>
    <w:rsid w:val="00961D57"/>
    <w:rsid w:val="00972DB6"/>
    <w:rsid w:val="009750F9"/>
    <w:rsid w:val="00976716"/>
    <w:rsid w:val="0097693B"/>
    <w:rsid w:val="00983B62"/>
    <w:rsid w:val="009843A1"/>
    <w:rsid w:val="00992FAE"/>
    <w:rsid w:val="00993355"/>
    <w:rsid w:val="009954AD"/>
    <w:rsid w:val="009963F7"/>
    <w:rsid w:val="009A4A6D"/>
    <w:rsid w:val="009A77F4"/>
    <w:rsid w:val="009B27FD"/>
    <w:rsid w:val="009B6870"/>
    <w:rsid w:val="009B7E42"/>
    <w:rsid w:val="009C0F9E"/>
    <w:rsid w:val="009D47BF"/>
    <w:rsid w:val="009D5390"/>
    <w:rsid w:val="009E08EB"/>
    <w:rsid w:val="009E13DD"/>
    <w:rsid w:val="009E1F26"/>
    <w:rsid w:val="009E7ED5"/>
    <w:rsid w:val="009F1601"/>
    <w:rsid w:val="009F7DC8"/>
    <w:rsid w:val="00A0503B"/>
    <w:rsid w:val="00A05631"/>
    <w:rsid w:val="00A07D6D"/>
    <w:rsid w:val="00A13265"/>
    <w:rsid w:val="00A14900"/>
    <w:rsid w:val="00A1514F"/>
    <w:rsid w:val="00A2159F"/>
    <w:rsid w:val="00A337BF"/>
    <w:rsid w:val="00A34BAE"/>
    <w:rsid w:val="00A350FB"/>
    <w:rsid w:val="00A451C5"/>
    <w:rsid w:val="00A5236C"/>
    <w:rsid w:val="00A529BC"/>
    <w:rsid w:val="00A5346C"/>
    <w:rsid w:val="00A555FF"/>
    <w:rsid w:val="00A562F0"/>
    <w:rsid w:val="00A564FB"/>
    <w:rsid w:val="00A60D48"/>
    <w:rsid w:val="00A614C1"/>
    <w:rsid w:val="00A61EA6"/>
    <w:rsid w:val="00A637E2"/>
    <w:rsid w:val="00A71136"/>
    <w:rsid w:val="00A74BC5"/>
    <w:rsid w:val="00A772F1"/>
    <w:rsid w:val="00A835F6"/>
    <w:rsid w:val="00A900DE"/>
    <w:rsid w:val="00A91A73"/>
    <w:rsid w:val="00A94865"/>
    <w:rsid w:val="00AA3D56"/>
    <w:rsid w:val="00AA474C"/>
    <w:rsid w:val="00AB634A"/>
    <w:rsid w:val="00AB6DCC"/>
    <w:rsid w:val="00AB752B"/>
    <w:rsid w:val="00AC0E2F"/>
    <w:rsid w:val="00AC0EED"/>
    <w:rsid w:val="00AC35EF"/>
    <w:rsid w:val="00AD2697"/>
    <w:rsid w:val="00AD7E5F"/>
    <w:rsid w:val="00AE3066"/>
    <w:rsid w:val="00AF0218"/>
    <w:rsid w:val="00AF28EB"/>
    <w:rsid w:val="00AF3A08"/>
    <w:rsid w:val="00AF68E4"/>
    <w:rsid w:val="00AF7A9F"/>
    <w:rsid w:val="00B01AA1"/>
    <w:rsid w:val="00B10296"/>
    <w:rsid w:val="00B219E0"/>
    <w:rsid w:val="00B22BD2"/>
    <w:rsid w:val="00B2397D"/>
    <w:rsid w:val="00B30C81"/>
    <w:rsid w:val="00B30F1C"/>
    <w:rsid w:val="00B4793B"/>
    <w:rsid w:val="00B5388C"/>
    <w:rsid w:val="00B64A60"/>
    <w:rsid w:val="00B75341"/>
    <w:rsid w:val="00B80B97"/>
    <w:rsid w:val="00B84869"/>
    <w:rsid w:val="00B869BA"/>
    <w:rsid w:val="00B91F5D"/>
    <w:rsid w:val="00B937D7"/>
    <w:rsid w:val="00B96B67"/>
    <w:rsid w:val="00BB0A73"/>
    <w:rsid w:val="00BB16AC"/>
    <w:rsid w:val="00BB6A79"/>
    <w:rsid w:val="00BB7C9E"/>
    <w:rsid w:val="00BC42CD"/>
    <w:rsid w:val="00BC57EF"/>
    <w:rsid w:val="00BC7DFF"/>
    <w:rsid w:val="00BE08E6"/>
    <w:rsid w:val="00BE44D8"/>
    <w:rsid w:val="00BF25F9"/>
    <w:rsid w:val="00C01802"/>
    <w:rsid w:val="00C0487C"/>
    <w:rsid w:val="00C06D15"/>
    <w:rsid w:val="00C11A3C"/>
    <w:rsid w:val="00C13FC6"/>
    <w:rsid w:val="00C13FD5"/>
    <w:rsid w:val="00C1410F"/>
    <w:rsid w:val="00C14FB3"/>
    <w:rsid w:val="00C15633"/>
    <w:rsid w:val="00C15799"/>
    <w:rsid w:val="00C176EE"/>
    <w:rsid w:val="00C21615"/>
    <w:rsid w:val="00C32E84"/>
    <w:rsid w:val="00C35415"/>
    <w:rsid w:val="00C357AD"/>
    <w:rsid w:val="00C41EA8"/>
    <w:rsid w:val="00C51458"/>
    <w:rsid w:val="00C554CC"/>
    <w:rsid w:val="00C6069C"/>
    <w:rsid w:val="00C61D4F"/>
    <w:rsid w:val="00C6515D"/>
    <w:rsid w:val="00C6752D"/>
    <w:rsid w:val="00C71BFF"/>
    <w:rsid w:val="00C74745"/>
    <w:rsid w:val="00C810E3"/>
    <w:rsid w:val="00C85119"/>
    <w:rsid w:val="00C94222"/>
    <w:rsid w:val="00CA21A7"/>
    <w:rsid w:val="00CC5B85"/>
    <w:rsid w:val="00CD16A2"/>
    <w:rsid w:val="00CD320B"/>
    <w:rsid w:val="00CD3F37"/>
    <w:rsid w:val="00CD42CB"/>
    <w:rsid w:val="00CD5431"/>
    <w:rsid w:val="00CD623B"/>
    <w:rsid w:val="00CE03F4"/>
    <w:rsid w:val="00CE4B93"/>
    <w:rsid w:val="00CF0FDA"/>
    <w:rsid w:val="00CF1B4D"/>
    <w:rsid w:val="00CF2491"/>
    <w:rsid w:val="00CF3963"/>
    <w:rsid w:val="00CF4E6E"/>
    <w:rsid w:val="00CF6ED6"/>
    <w:rsid w:val="00D1252E"/>
    <w:rsid w:val="00D13D9D"/>
    <w:rsid w:val="00D163ED"/>
    <w:rsid w:val="00D205E0"/>
    <w:rsid w:val="00D30F2D"/>
    <w:rsid w:val="00D31494"/>
    <w:rsid w:val="00D4185E"/>
    <w:rsid w:val="00D459A2"/>
    <w:rsid w:val="00D47029"/>
    <w:rsid w:val="00D530FF"/>
    <w:rsid w:val="00D53688"/>
    <w:rsid w:val="00D53BCF"/>
    <w:rsid w:val="00D5407A"/>
    <w:rsid w:val="00D547F8"/>
    <w:rsid w:val="00D57772"/>
    <w:rsid w:val="00D64283"/>
    <w:rsid w:val="00D679AB"/>
    <w:rsid w:val="00D72AE3"/>
    <w:rsid w:val="00D74A7C"/>
    <w:rsid w:val="00D75A4D"/>
    <w:rsid w:val="00D8478B"/>
    <w:rsid w:val="00D86151"/>
    <w:rsid w:val="00D87094"/>
    <w:rsid w:val="00D9172D"/>
    <w:rsid w:val="00D96063"/>
    <w:rsid w:val="00D97C55"/>
    <w:rsid w:val="00DA4D8C"/>
    <w:rsid w:val="00DA7595"/>
    <w:rsid w:val="00DB0A68"/>
    <w:rsid w:val="00DB2677"/>
    <w:rsid w:val="00DB3019"/>
    <w:rsid w:val="00DC43A3"/>
    <w:rsid w:val="00DC4CF3"/>
    <w:rsid w:val="00DC5C01"/>
    <w:rsid w:val="00DD7C09"/>
    <w:rsid w:val="00DF7854"/>
    <w:rsid w:val="00E0124F"/>
    <w:rsid w:val="00E04D00"/>
    <w:rsid w:val="00E15A3A"/>
    <w:rsid w:val="00E2199D"/>
    <w:rsid w:val="00E233B7"/>
    <w:rsid w:val="00E30DF1"/>
    <w:rsid w:val="00E46A51"/>
    <w:rsid w:val="00E503E0"/>
    <w:rsid w:val="00E51D86"/>
    <w:rsid w:val="00E55CC9"/>
    <w:rsid w:val="00E64BB8"/>
    <w:rsid w:val="00E674D3"/>
    <w:rsid w:val="00E678E9"/>
    <w:rsid w:val="00E70FD0"/>
    <w:rsid w:val="00E75AA3"/>
    <w:rsid w:val="00E77C4B"/>
    <w:rsid w:val="00E80A44"/>
    <w:rsid w:val="00E82128"/>
    <w:rsid w:val="00E842B1"/>
    <w:rsid w:val="00E85B05"/>
    <w:rsid w:val="00E86492"/>
    <w:rsid w:val="00E9301F"/>
    <w:rsid w:val="00E931C1"/>
    <w:rsid w:val="00E9690A"/>
    <w:rsid w:val="00E97DC7"/>
    <w:rsid w:val="00EA392F"/>
    <w:rsid w:val="00EA5FED"/>
    <w:rsid w:val="00EC149F"/>
    <w:rsid w:val="00EE4AA3"/>
    <w:rsid w:val="00EE64D8"/>
    <w:rsid w:val="00EE7509"/>
    <w:rsid w:val="00F000EF"/>
    <w:rsid w:val="00F02AAC"/>
    <w:rsid w:val="00F03F7D"/>
    <w:rsid w:val="00F2504E"/>
    <w:rsid w:val="00F2585B"/>
    <w:rsid w:val="00F308C3"/>
    <w:rsid w:val="00F3356B"/>
    <w:rsid w:val="00F4053F"/>
    <w:rsid w:val="00F44A65"/>
    <w:rsid w:val="00F47005"/>
    <w:rsid w:val="00F516E7"/>
    <w:rsid w:val="00F57BF7"/>
    <w:rsid w:val="00F6263E"/>
    <w:rsid w:val="00F627C2"/>
    <w:rsid w:val="00F649C3"/>
    <w:rsid w:val="00F7483D"/>
    <w:rsid w:val="00F754B0"/>
    <w:rsid w:val="00F84067"/>
    <w:rsid w:val="00F851A2"/>
    <w:rsid w:val="00F87B8C"/>
    <w:rsid w:val="00F90056"/>
    <w:rsid w:val="00F94985"/>
    <w:rsid w:val="00F94C2B"/>
    <w:rsid w:val="00FA50B4"/>
    <w:rsid w:val="00FB49D7"/>
    <w:rsid w:val="00FB7672"/>
    <w:rsid w:val="00FC05AC"/>
    <w:rsid w:val="00FC156A"/>
    <w:rsid w:val="00FD05B0"/>
    <w:rsid w:val="00FD0C05"/>
    <w:rsid w:val="00FD1156"/>
    <w:rsid w:val="00FD6235"/>
    <w:rsid w:val="00FE2687"/>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0E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04043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nhideWhenUsed/>
    <w:qFormat/>
    <w:rsid w:val="009F7DC8"/>
    <w:pPr>
      <w:keepNext/>
      <w:keepLines/>
      <w:spacing w:before="260" w:after="260" w:line="416" w:lineRule="auto"/>
      <w:outlineLvl w:val="2"/>
    </w:pPr>
    <w:rPr>
      <w:b/>
      <w:bCs/>
      <w:sz w:val="32"/>
      <w:szCs w:val="32"/>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ECC Hyperlink,CEO_Hyperlink,超级链接"/>
    <w:basedOn w:val="DefaultParagraphFont"/>
    <w:uiPriority w:val="99"/>
    <w:unhideWhenUsed/>
    <w:qFormat/>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paragraph" w:styleId="NormalWeb">
    <w:name w:val="Normal (Web)"/>
    <w:basedOn w:val="Normal"/>
    <w:uiPriority w:val="99"/>
    <w:unhideWhenUsed/>
    <w:rsid w:val="00F44A65"/>
    <w:pPr>
      <w:spacing w:before="100" w:beforeAutospacing="1" w:after="100" w:afterAutospacing="1"/>
    </w:pPr>
    <w:rPr>
      <w:rFonts w:eastAsia="Times New Roman"/>
      <w:lang w:val="en-AU" w:eastAsia="en-AU"/>
    </w:rPr>
  </w:style>
  <w:style w:type="paragraph" w:customStyle="1" w:styleId="ListParagraph1">
    <w:name w:val="List Paragraph1"/>
    <w:basedOn w:val="Normal"/>
    <w:uiPriority w:val="34"/>
    <w:qFormat/>
    <w:rsid w:val="00F44A65"/>
    <w:pPr>
      <w:ind w:firstLineChars="200" w:firstLine="420"/>
    </w:pPr>
  </w:style>
  <w:style w:type="character" w:styleId="FollowedHyperlink">
    <w:name w:val="FollowedHyperlink"/>
    <w:basedOn w:val="DefaultParagraphFont"/>
    <w:semiHidden/>
    <w:unhideWhenUsed/>
    <w:rsid w:val="00441CBF"/>
    <w:rPr>
      <w:color w:val="800080" w:themeColor="followedHyperlink"/>
      <w:u w:val="single"/>
    </w:rPr>
  </w:style>
  <w:style w:type="character" w:customStyle="1" w:styleId="Heading2Char">
    <w:name w:val="Heading 2 Char"/>
    <w:basedOn w:val="DefaultParagraphFont"/>
    <w:link w:val="Heading2"/>
    <w:semiHidden/>
    <w:rsid w:val="0004043C"/>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rsid w:val="009F7DC8"/>
    <w:rPr>
      <w:rFonts w:eastAsia="BatangChe"/>
      <w:b/>
      <w:bCs/>
      <w:sz w:val="32"/>
      <w:szCs w:val="32"/>
    </w:rPr>
  </w:style>
  <w:style w:type="paragraph" w:customStyle="1" w:styleId="enumlev1">
    <w:name w:val="enumlev1"/>
    <w:basedOn w:val="Normal"/>
    <w:link w:val="enumlev1Char"/>
    <w:qFormat/>
    <w:rsid w:val="0046449E"/>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46449E"/>
    <w:rPr>
      <w:rFonts w:eastAsia="MS Mincho"/>
      <w:sz w:val="24"/>
      <w:lang w:val="en-GB"/>
    </w:rPr>
  </w:style>
  <w:style w:type="paragraph" w:styleId="Caption">
    <w:name w:val="caption"/>
    <w:basedOn w:val="Normal"/>
    <w:next w:val="Normal"/>
    <w:semiHidden/>
    <w:unhideWhenUsed/>
    <w:qFormat/>
    <w:rsid w:val="0020597D"/>
    <w:rPr>
      <w:b/>
      <w:bCs/>
      <w:sz w:val="20"/>
      <w:szCs w:val="20"/>
    </w:rPr>
  </w:style>
  <w:style w:type="character" w:customStyle="1" w:styleId="ListParagraphChar">
    <w:name w:val="List Paragraph Char"/>
    <w:link w:val="ListParagraph"/>
    <w:uiPriority w:val="34"/>
    <w:locked/>
    <w:rsid w:val="006E4D6C"/>
    <w:rPr>
      <w:rFonts w:eastAsia="BatangChe"/>
      <w:sz w:val="24"/>
      <w:szCs w:val="24"/>
    </w:rPr>
  </w:style>
  <w:style w:type="character" w:customStyle="1" w:styleId="Heading8Char">
    <w:name w:val="Heading 8 Char"/>
    <w:basedOn w:val="DefaultParagraphFont"/>
    <w:link w:val="Heading8"/>
    <w:rsid w:val="00A94865"/>
    <w:rPr>
      <w:rFonts w:eastAsia="BatangChe"/>
      <w:b/>
      <w:bCs/>
      <w:kern w:val="2"/>
      <w:lang w:eastAsia="ko-KR"/>
    </w:rPr>
  </w:style>
  <w:style w:type="paragraph" w:customStyle="1" w:styleId="Proposal">
    <w:name w:val="Proposal"/>
    <w:basedOn w:val="Normal"/>
    <w:next w:val="Normal"/>
    <w:qFormat/>
    <w:rsid w:val="007A30A5"/>
    <w:pPr>
      <w:keepNext/>
      <w:tabs>
        <w:tab w:val="left" w:pos="1134"/>
        <w:tab w:val="left" w:pos="1871"/>
        <w:tab w:val="left" w:pos="2268"/>
      </w:tabs>
      <w:overflowPunct w:val="0"/>
      <w:autoSpaceDE w:val="0"/>
      <w:autoSpaceDN w:val="0"/>
      <w:adjustRightInd w:val="0"/>
      <w:spacing w:before="240"/>
      <w:textAlignment w:val="baseline"/>
    </w:pPr>
    <w:rPr>
      <w:rFonts w:eastAsia="SimSun" w:hAnsi="Times New Roman Bold"/>
      <w:b/>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04043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nhideWhenUsed/>
    <w:qFormat/>
    <w:rsid w:val="009F7DC8"/>
    <w:pPr>
      <w:keepNext/>
      <w:keepLines/>
      <w:spacing w:before="260" w:after="260" w:line="416" w:lineRule="auto"/>
      <w:outlineLvl w:val="2"/>
    </w:pPr>
    <w:rPr>
      <w:b/>
      <w:bCs/>
      <w:sz w:val="32"/>
      <w:szCs w:val="32"/>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ECC Hyperlink,CEO_Hyperlink,超级链接"/>
    <w:basedOn w:val="DefaultParagraphFont"/>
    <w:uiPriority w:val="99"/>
    <w:unhideWhenUsed/>
    <w:qFormat/>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paragraph" w:styleId="NormalWeb">
    <w:name w:val="Normal (Web)"/>
    <w:basedOn w:val="Normal"/>
    <w:uiPriority w:val="99"/>
    <w:unhideWhenUsed/>
    <w:rsid w:val="00F44A65"/>
    <w:pPr>
      <w:spacing w:before="100" w:beforeAutospacing="1" w:after="100" w:afterAutospacing="1"/>
    </w:pPr>
    <w:rPr>
      <w:rFonts w:eastAsia="Times New Roman"/>
      <w:lang w:val="en-AU" w:eastAsia="en-AU"/>
    </w:rPr>
  </w:style>
  <w:style w:type="paragraph" w:customStyle="1" w:styleId="ListParagraph1">
    <w:name w:val="List Paragraph1"/>
    <w:basedOn w:val="Normal"/>
    <w:uiPriority w:val="34"/>
    <w:qFormat/>
    <w:rsid w:val="00F44A65"/>
    <w:pPr>
      <w:ind w:firstLineChars="200" w:firstLine="420"/>
    </w:pPr>
  </w:style>
  <w:style w:type="character" w:styleId="FollowedHyperlink">
    <w:name w:val="FollowedHyperlink"/>
    <w:basedOn w:val="DefaultParagraphFont"/>
    <w:semiHidden/>
    <w:unhideWhenUsed/>
    <w:rsid w:val="00441CBF"/>
    <w:rPr>
      <w:color w:val="800080" w:themeColor="followedHyperlink"/>
      <w:u w:val="single"/>
    </w:rPr>
  </w:style>
  <w:style w:type="character" w:customStyle="1" w:styleId="Heading2Char">
    <w:name w:val="Heading 2 Char"/>
    <w:basedOn w:val="DefaultParagraphFont"/>
    <w:link w:val="Heading2"/>
    <w:semiHidden/>
    <w:rsid w:val="0004043C"/>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rsid w:val="009F7DC8"/>
    <w:rPr>
      <w:rFonts w:eastAsia="BatangChe"/>
      <w:b/>
      <w:bCs/>
      <w:sz w:val="32"/>
      <w:szCs w:val="32"/>
    </w:rPr>
  </w:style>
  <w:style w:type="paragraph" w:customStyle="1" w:styleId="enumlev1">
    <w:name w:val="enumlev1"/>
    <w:basedOn w:val="Normal"/>
    <w:link w:val="enumlev1Char"/>
    <w:qFormat/>
    <w:rsid w:val="0046449E"/>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46449E"/>
    <w:rPr>
      <w:rFonts w:eastAsia="MS Mincho"/>
      <w:sz w:val="24"/>
      <w:lang w:val="en-GB"/>
    </w:rPr>
  </w:style>
  <w:style w:type="paragraph" w:styleId="Caption">
    <w:name w:val="caption"/>
    <w:basedOn w:val="Normal"/>
    <w:next w:val="Normal"/>
    <w:semiHidden/>
    <w:unhideWhenUsed/>
    <w:qFormat/>
    <w:rsid w:val="0020597D"/>
    <w:rPr>
      <w:b/>
      <w:bCs/>
      <w:sz w:val="20"/>
      <w:szCs w:val="20"/>
    </w:rPr>
  </w:style>
  <w:style w:type="character" w:customStyle="1" w:styleId="ListParagraphChar">
    <w:name w:val="List Paragraph Char"/>
    <w:link w:val="ListParagraph"/>
    <w:uiPriority w:val="34"/>
    <w:locked/>
    <w:rsid w:val="006E4D6C"/>
    <w:rPr>
      <w:rFonts w:eastAsia="BatangChe"/>
      <w:sz w:val="24"/>
      <w:szCs w:val="24"/>
    </w:rPr>
  </w:style>
  <w:style w:type="character" w:customStyle="1" w:styleId="Heading8Char">
    <w:name w:val="Heading 8 Char"/>
    <w:basedOn w:val="DefaultParagraphFont"/>
    <w:link w:val="Heading8"/>
    <w:rsid w:val="00A94865"/>
    <w:rPr>
      <w:rFonts w:eastAsia="BatangChe"/>
      <w:b/>
      <w:bCs/>
      <w:kern w:val="2"/>
      <w:lang w:eastAsia="ko-KR"/>
    </w:rPr>
  </w:style>
  <w:style w:type="paragraph" w:customStyle="1" w:styleId="Proposal">
    <w:name w:val="Proposal"/>
    <w:basedOn w:val="Normal"/>
    <w:next w:val="Normal"/>
    <w:qFormat/>
    <w:rsid w:val="007A30A5"/>
    <w:pPr>
      <w:keepNext/>
      <w:tabs>
        <w:tab w:val="left" w:pos="1134"/>
        <w:tab w:val="left" w:pos="1871"/>
        <w:tab w:val="left" w:pos="2268"/>
      </w:tabs>
      <w:overflowPunct w:val="0"/>
      <w:autoSpaceDE w:val="0"/>
      <w:autoSpaceDN w:val="0"/>
      <w:adjustRightInd w:val="0"/>
      <w:spacing w:before="240"/>
      <w:textAlignment w:val="baseline"/>
    </w:pPr>
    <w:rPr>
      <w:rFonts w:eastAsia="SimSun" w:hAnsi="Times New Roman Bold"/>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4453">
      <w:bodyDiv w:val="1"/>
      <w:marLeft w:val="0"/>
      <w:marRight w:val="0"/>
      <w:marTop w:val="0"/>
      <w:marBottom w:val="0"/>
      <w:divBdr>
        <w:top w:val="none" w:sz="0" w:space="0" w:color="auto"/>
        <w:left w:val="none" w:sz="0" w:space="0" w:color="auto"/>
        <w:bottom w:val="none" w:sz="0" w:space="0" w:color="auto"/>
        <w:right w:val="none" w:sz="0" w:space="0" w:color="auto"/>
      </w:divBdr>
      <w:divsChild>
        <w:div w:id="1683774217">
          <w:marLeft w:val="0"/>
          <w:marRight w:val="0"/>
          <w:marTop w:val="0"/>
          <w:marBottom w:val="0"/>
          <w:divBdr>
            <w:top w:val="none" w:sz="0" w:space="0" w:color="auto"/>
            <w:left w:val="none" w:sz="0" w:space="0" w:color="auto"/>
            <w:bottom w:val="none" w:sz="0" w:space="0" w:color="auto"/>
            <w:right w:val="none" w:sz="0" w:space="0" w:color="auto"/>
          </w:divBdr>
          <w:divsChild>
            <w:div w:id="1926373698">
              <w:marLeft w:val="0"/>
              <w:marRight w:val="0"/>
              <w:marTop w:val="0"/>
              <w:marBottom w:val="0"/>
              <w:divBdr>
                <w:top w:val="none" w:sz="0" w:space="0" w:color="auto"/>
                <w:left w:val="none" w:sz="0" w:space="0" w:color="auto"/>
                <w:bottom w:val="none" w:sz="0" w:space="0" w:color="auto"/>
                <w:right w:val="none" w:sz="0" w:space="0" w:color="auto"/>
              </w:divBdr>
              <w:divsChild>
                <w:div w:id="1934589603">
                  <w:marLeft w:val="0"/>
                  <w:marRight w:val="0"/>
                  <w:marTop w:val="0"/>
                  <w:marBottom w:val="0"/>
                  <w:divBdr>
                    <w:top w:val="none" w:sz="0" w:space="0" w:color="auto"/>
                    <w:left w:val="none" w:sz="0" w:space="0" w:color="auto"/>
                    <w:bottom w:val="none" w:sz="0" w:space="0" w:color="auto"/>
                    <w:right w:val="none" w:sz="0" w:space="0" w:color="auto"/>
                  </w:divBdr>
                  <w:divsChild>
                    <w:div w:id="974143422">
                      <w:marLeft w:val="0"/>
                      <w:marRight w:val="0"/>
                      <w:marTop w:val="0"/>
                      <w:marBottom w:val="0"/>
                      <w:divBdr>
                        <w:top w:val="none" w:sz="0" w:space="0" w:color="auto"/>
                        <w:left w:val="none" w:sz="0" w:space="0" w:color="auto"/>
                        <w:bottom w:val="none" w:sz="0" w:space="0" w:color="auto"/>
                        <w:right w:val="none" w:sz="0" w:space="0" w:color="auto"/>
                      </w:divBdr>
                      <w:divsChild>
                        <w:div w:id="1556428365">
                          <w:marLeft w:val="0"/>
                          <w:marRight w:val="0"/>
                          <w:marTop w:val="0"/>
                          <w:marBottom w:val="0"/>
                          <w:divBdr>
                            <w:top w:val="none" w:sz="0" w:space="0" w:color="auto"/>
                            <w:left w:val="none" w:sz="0" w:space="0" w:color="auto"/>
                            <w:bottom w:val="none" w:sz="0" w:space="0" w:color="auto"/>
                            <w:right w:val="none" w:sz="0" w:space="0" w:color="auto"/>
                          </w:divBdr>
                          <w:divsChild>
                            <w:div w:id="305352895">
                              <w:marLeft w:val="0"/>
                              <w:marRight w:val="0"/>
                              <w:marTop w:val="0"/>
                              <w:marBottom w:val="0"/>
                              <w:divBdr>
                                <w:top w:val="none" w:sz="0" w:space="0" w:color="auto"/>
                                <w:left w:val="none" w:sz="0" w:space="0" w:color="auto"/>
                                <w:bottom w:val="none" w:sz="0" w:space="0" w:color="auto"/>
                                <w:right w:val="none" w:sz="0" w:space="0" w:color="auto"/>
                              </w:divBdr>
                              <w:divsChild>
                                <w:div w:id="883180943">
                                  <w:marLeft w:val="0"/>
                                  <w:marRight w:val="0"/>
                                  <w:marTop w:val="0"/>
                                  <w:marBottom w:val="0"/>
                                  <w:divBdr>
                                    <w:top w:val="none" w:sz="0" w:space="0" w:color="auto"/>
                                    <w:left w:val="none" w:sz="0" w:space="0" w:color="auto"/>
                                    <w:bottom w:val="none" w:sz="0" w:space="0" w:color="auto"/>
                                    <w:right w:val="none" w:sz="0" w:space="0" w:color="auto"/>
                                  </w:divBdr>
                                  <w:divsChild>
                                    <w:div w:id="762335883">
                                      <w:marLeft w:val="0"/>
                                      <w:marRight w:val="0"/>
                                      <w:marTop w:val="0"/>
                                      <w:marBottom w:val="0"/>
                                      <w:divBdr>
                                        <w:top w:val="none" w:sz="0" w:space="0" w:color="auto"/>
                                        <w:left w:val="none" w:sz="0" w:space="0" w:color="auto"/>
                                        <w:bottom w:val="none" w:sz="0" w:space="0" w:color="auto"/>
                                        <w:right w:val="none" w:sz="0" w:space="0" w:color="auto"/>
                                      </w:divBdr>
                                      <w:divsChild>
                                        <w:div w:id="860703263">
                                          <w:marLeft w:val="0"/>
                                          <w:marRight w:val="0"/>
                                          <w:marTop w:val="0"/>
                                          <w:marBottom w:val="0"/>
                                          <w:divBdr>
                                            <w:top w:val="none" w:sz="0" w:space="0" w:color="auto"/>
                                            <w:left w:val="none" w:sz="0" w:space="0" w:color="auto"/>
                                            <w:bottom w:val="none" w:sz="0" w:space="0" w:color="auto"/>
                                            <w:right w:val="none" w:sz="0" w:space="0" w:color="auto"/>
                                          </w:divBdr>
                                          <w:divsChild>
                                            <w:div w:id="1256937950">
                                              <w:marLeft w:val="0"/>
                                              <w:marRight w:val="0"/>
                                              <w:marTop w:val="0"/>
                                              <w:marBottom w:val="0"/>
                                              <w:divBdr>
                                                <w:top w:val="none" w:sz="0" w:space="0" w:color="auto"/>
                                                <w:left w:val="none" w:sz="0" w:space="0" w:color="auto"/>
                                                <w:bottom w:val="none" w:sz="0" w:space="0" w:color="auto"/>
                                                <w:right w:val="none" w:sz="0" w:space="0" w:color="auto"/>
                                              </w:divBdr>
                                              <w:divsChild>
                                                <w:div w:id="1534996508">
                                                  <w:marLeft w:val="0"/>
                                                  <w:marRight w:val="0"/>
                                                  <w:marTop w:val="0"/>
                                                  <w:marBottom w:val="0"/>
                                                  <w:divBdr>
                                                    <w:top w:val="none" w:sz="0" w:space="0" w:color="auto"/>
                                                    <w:left w:val="none" w:sz="0" w:space="0" w:color="auto"/>
                                                    <w:bottom w:val="none" w:sz="0" w:space="0" w:color="auto"/>
                                                    <w:right w:val="none" w:sz="0" w:space="0" w:color="auto"/>
                                                  </w:divBdr>
                                                  <w:divsChild>
                                                    <w:div w:id="1647053857">
                                                      <w:marLeft w:val="0"/>
                                                      <w:marRight w:val="0"/>
                                                      <w:marTop w:val="0"/>
                                                      <w:marBottom w:val="0"/>
                                                      <w:divBdr>
                                                        <w:top w:val="none" w:sz="0" w:space="0" w:color="auto"/>
                                                        <w:left w:val="none" w:sz="0" w:space="0" w:color="auto"/>
                                                        <w:bottom w:val="none" w:sz="0" w:space="0" w:color="auto"/>
                                                        <w:right w:val="none" w:sz="0" w:space="0" w:color="auto"/>
                                                      </w:divBdr>
                                                      <w:divsChild>
                                                        <w:div w:id="1063602957">
                                                          <w:marLeft w:val="0"/>
                                                          <w:marRight w:val="0"/>
                                                          <w:marTop w:val="0"/>
                                                          <w:marBottom w:val="0"/>
                                                          <w:divBdr>
                                                            <w:top w:val="none" w:sz="0" w:space="0" w:color="auto"/>
                                                            <w:left w:val="none" w:sz="0" w:space="0" w:color="auto"/>
                                                            <w:bottom w:val="none" w:sz="0" w:space="0" w:color="auto"/>
                                                            <w:right w:val="none" w:sz="0" w:space="0" w:color="auto"/>
                                                          </w:divBdr>
                                                          <w:divsChild>
                                                            <w:div w:id="829634292">
                                                              <w:marLeft w:val="0"/>
                                                              <w:marRight w:val="0"/>
                                                              <w:marTop w:val="0"/>
                                                              <w:marBottom w:val="0"/>
                                                              <w:divBdr>
                                                                <w:top w:val="none" w:sz="0" w:space="0" w:color="auto"/>
                                                                <w:left w:val="none" w:sz="0" w:space="0" w:color="auto"/>
                                                                <w:bottom w:val="none" w:sz="0" w:space="0" w:color="auto"/>
                                                                <w:right w:val="none" w:sz="0" w:space="0" w:color="auto"/>
                                                              </w:divBdr>
                                                              <w:divsChild>
                                                                <w:div w:id="1858763510">
                                                                  <w:marLeft w:val="0"/>
                                                                  <w:marRight w:val="0"/>
                                                                  <w:marTop w:val="0"/>
                                                                  <w:marBottom w:val="0"/>
                                                                  <w:divBdr>
                                                                    <w:top w:val="none" w:sz="0" w:space="0" w:color="auto"/>
                                                                    <w:left w:val="none" w:sz="0" w:space="0" w:color="auto"/>
                                                                    <w:bottom w:val="none" w:sz="0" w:space="0" w:color="auto"/>
                                                                    <w:right w:val="none" w:sz="0" w:space="0" w:color="auto"/>
                                                                  </w:divBdr>
                                                                </w:div>
                                                                <w:div w:id="1523665128">
                                                                  <w:marLeft w:val="0"/>
                                                                  <w:marRight w:val="0"/>
                                                                  <w:marTop w:val="0"/>
                                                                  <w:marBottom w:val="0"/>
                                                                  <w:divBdr>
                                                                    <w:top w:val="none" w:sz="0" w:space="0" w:color="auto"/>
                                                                    <w:left w:val="none" w:sz="0" w:space="0" w:color="auto"/>
                                                                    <w:bottom w:val="none" w:sz="0" w:space="0" w:color="auto"/>
                                                                    <w:right w:val="none" w:sz="0" w:space="0" w:color="auto"/>
                                                                  </w:divBdr>
                                                                </w:div>
                                                                <w:div w:id="443696569">
                                                                  <w:marLeft w:val="0"/>
                                                                  <w:marRight w:val="0"/>
                                                                  <w:marTop w:val="0"/>
                                                                  <w:marBottom w:val="0"/>
                                                                  <w:divBdr>
                                                                    <w:top w:val="none" w:sz="0" w:space="0" w:color="auto"/>
                                                                    <w:left w:val="none" w:sz="0" w:space="0" w:color="auto"/>
                                                                    <w:bottom w:val="none" w:sz="0" w:space="0" w:color="auto"/>
                                                                    <w:right w:val="none" w:sz="0" w:space="0" w:color="auto"/>
                                                                  </w:divBdr>
                                                                </w:div>
                                                                <w:div w:id="1928221330">
                                                                  <w:marLeft w:val="0"/>
                                                                  <w:marRight w:val="0"/>
                                                                  <w:marTop w:val="0"/>
                                                                  <w:marBottom w:val="0"/>
                                                                  <w:divBdr>
                                                                    <w:top w:val="none" w:sz="0" w:space="0" w:color="auto"/>
                                                                    <w:left w:val="none" w:sz="0" w:space="0" w:color="auto"/>
                                                                    <w:bottom w:val="none" w:sz="0" w:space="0" w:color="auto"/>
                                                                    <w:right w:val="none" w:sz="0" w:space="0" w:color="auto"/>
                                                                  </w:divBdr>
                                                                </w:div>
                                                                <w:div w:id="1450591254">
                                                                  <w:marLeft w:val="0"/>
                                                                  <w:marRight w:val="0"/>
                                                                  <w:marTop w:val="0"/>
                                                                  <w:marBottom w:val="0"/>
                                                                  <w:divBdr>
                                                                    <w:top w:val="none" w:sz="0" w:space="0" w:color="auto"/>
                                                                    <w:left w:val="none" w:sz="0" w:space="0" w:color="auto"/>
                                                                    <w:bottom w:val="none" w:sz="0" w:space="0" w:color="auto"/>
                                                                    <w:right w:val="none" w:sz="0" w:space="0" w:color="auto"/>
                                                                  </w:divBdr>
                                                                </w:div>
                                                                <w:div w:id="62065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7522639">
      <w:bodyDiv w:val="1"/>
      <w:marLeft w:val="0"/>
      <w:marRight w:val="0"/>
      <w:marTop w:val="0"/>
      <w:marBottom w:val="0"/>
      <w:divBdr>
        <w:top w:val="none" w:sz="0" w:space="0" w:color="auto"/>
        <w:left w:val="none" w:sz="0" w:space="0" w:color="auto"/>
        <w:bottom w:val="none" w:sz="0" w:space="0" w:color="auto"/>
        <w:right w:val="none" w:sz="0" w:space="0" w:color="auto"/>
      </w:divBdr>
    </w:div>
    <w:div w:id="662781197">
      <w:bodyDiv w:val="1"/>
      <w:marLeft w:val="0"/>
      <w:marRight w:val="0"/>
      <w:marTop w:val="0"/>
      <w:marBottom w:val="0"/>
      <w:divBdr>
        <w:top w:val="none" w:sz="0" w:space="0" w:color="auto"/>
        <w:left w:val="none" w:sz="0" w:space="0" w:color="auto"/>
        <w:bottom w:val="none" w:sz="0" w:space="0" w:color="auto"/>
        <w:right w:val="none" w:sz="0" w:space="0" w:color="auto"/>
      </w:divBdr>
    </w:div>
    <w:div w:id="1485776612">
      <w:bodyDiv w:val="1"/>
      <w:marLeft w:val="0"/>
      <w:marRight w:val="0"/>
      <w:marTop w:val="0"/>
      <w:marBottom w:val="0"/>
      <w:divBdr>
        <w:top w:val="none" w:sz="0" w:space="0" w:color="auto"/>
        <w:left w:val="none" w:sz="0" w:space="0" w:color="auto"/>
        <w:bottom w:val="none" w:sz="0" w:space="0" w:color="auto"/>
        <w:right w:val="none" w:sz="0" w:space="0" w:color="auto"/>
      </w:divBdr>
    </w:div>
    <w:div w:id="1489125723">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t.int/sites/default/files/2019/07/APG19-5-INP-15Rev.1-Samoa-Vanuatu-AI_9.1.docx" TargetMode="External"/><Relationship Id="rId18" Type="http://schemas.openxmlformats.org/officeDocument/2006/relationships/hyperlink" Target="https://www.itu.int/pub/R-ACT-CPM-2019" TargetMode="External"/><Relationship Id="rId26" Type="http://schemas.openxmlformats.org/officeDocument/2006/relationships/hyperlink" Target="https://www.apt.int/sites/default/files/2019/07/APG19-5-INP-90-J-19_AI9.1_Issue_9.1.7_issue2a.docx"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apt.int/sites/default/files/2019/07/APG19-5-INP-34-IRN_WP6_AI_9.1.7-FF.docx" TargetMode="External"/><Relationship Id="rId34" Type="http://schemas.openxmlformats.org/officeDocument/2006/relationships/package" Target="embeddings/Microsoft_Word_Document1.docx"/><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itu.int/md/R15-CPM19.02-R-0001/en" TargetMode="External"/><Relationship Id="rId17" Type="http://schemas.openxmlformats.org/officeDocument/2006/relationships/hyperlink" Target="https://www.itu.int/pub/R-ACT-CPM-2019" TargetMode="External"/><Relationship Id="rId25" Type="http://schemas.openxmlformats.org/officeDocument/2006/relationships/hyperlink" Target="https://www.apt.int/sites/default/files/2019/07/APG19-5-INP-88-R1-J-17_WP6_PACP_and_Views89.1.69.1.7.docx" TargetMode="External"/><Relationship Id="rId33" Type="http://schemas.openxmlformats.org/officeDocument/2006/relationships/image" Target="media/image2.emf"/><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pt.int/sites/default/files/2019/07/APG19-5-INP-132-WP6_kor.docx" TargetMode="External"/><Relationship Id="rId20" Type="http://schemas.openxmlformats.org/officeDocument/2006/relationships/hyperlink" Target="https://www.apt.int/sites/default/files/2019/07/APG19-5-INP-70-CHN-WG6_PACP_9.1_ISSUE_9.1.6_9.1.7_10_rev.doc" TargetMode="External"/><Relationship Id="rId29" Type="http://schemas.openxmlformats.org/officeDocument/2006/relationships/hyperlink" Target="https://www.apt.int/sites/default/files/2019/07/APG19-5-INP-132-WP6_kor.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tu.int/md/R15-CPM19.02-R-0001/en" TargetMode="External"/><Relationship Id="rId24" Type="http://schemas.openxmlformats.org/officeDocument/2006/relationships/hyperlink" Target="https://www.apt.int/sites/default/files/2019/07/APG19-5-INP-34-ADD1-IRN_WP6_AI_9.1.7.docx" TargetMode="External"/><Relationship Id="rId32" Type="http://schemas.openxmlformats.org/officeDocument/2006/relationships/hyperlink" Target="https://www.itu.int/md/R15-CPM19.02-R-0001/en"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apt.int/sites/default/files/2019/07/APG19-5-INP-54-INS_Views-WP6.docx" TargetMode="External"/><Relationship Id="rId23" Type="http://schemas.openxmlformats.org/officeDocument/2006/relationships/hyperlink" Target="https://www.apt.int/sites/default/files/2019/07/APG19-5-INP-34-IRN_WP6_AI_9.1.7-FF.docx" TargetMode="External"/><Relationship Id="rId28" Type="http://schemas.openxmlformats.org/officeDocument/2006/relationships/hyperlink" Target="https://www.apt.int/sites/default/files/2019/07/APG19-5-INP-105-MLA_SNG_THA_WP6_AI_9.1.7.docx" TargetMode="External"/><Relationship Id="rId36" Type="http://schemas.openxmlformats.org/officeDocument/2006/relationships/header" Target="header2.xml"/><Relationship Id="rId10" Type="http://schemas.openxmlformats.org/officeDocument/2006/relationships/hyperlink" Target="https://www.google.com.au/url?sa=t&amp;rct=j&amp;q=&amp;esrc=s&amp;source=web&amp;cd=1&amp;cad=rja&amp;uact=8&amp;ved=0ahUKEwi_vJ72h_nUAhXFVrwKHbcGBjoQFggkMAA&amp;url=https%3A%2F%2Fwww.itu.int%2Fdms_pub%2Fitu-r%2Foth%2F0c%2F0a%2FR0C0A00000C0024PDFE.pdf&amp;usg=AFQjCNHAI-M36rKMCDIrjXGHQHgSpyoUfA" TargetMode="External"/><Relationship Id="rId19" Type="http://schemas.openxmlformats.org/officeDocument/2006/relationships/hyperlink" Target="https://www.apt.int/sites/default/files/2019/07/APG19-5-INP-47-AUS_Contribution_to_APG19-5_Chapter_6.docx" TargetMode="External"/><Relationship Id="rId31" Type="http://schemas.openxmlformats.org/officeDocument/2006/relationships/hyperlink" Target="https://www.apt.int/sites/default/files/2019/07/APG19-5-INP-105-MLA_SNG_THA_WP6_AI_9.1.7.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apt.int/sites/default/files/2019/07/APG19-5-INP-34-ADD1-IRN_WP6_AI_9.1.7.docx" TargetMode="External"/><Relationship Id="rId22" Type="http://schemas.openxmlformats.org/officeDocument/2006/relationships/hyperlink" Target="https://www.apt.int/sites/default/files/2019/07/APG19-5-INP-34-ADD1-IRN_WP6_AI_9.1.7.docx" TargetMode="External"/><Relationship Id="rId27" Type="http://schemas.openxmlformats.org/officeDocument/2006/relationships/hyperlink" Target="https://www.apt.int/sites/default/files/2019/07/APG19-5-INP-90-J-19_AI9.1_Issue_9.1.7_issue2a.docx" TargetMode="External"/><Relationship Id="rId30" Type="http://schemas.openxmlformats.org/officeDocument/2006/relationships/hyperlink" Target="https://www.apt.int/sites/default/files/2019/07/APG19-5-INP-105-MLA_SNG_THA_WP6_AI_9.1.7.docx"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FFCBB-C2EB-4566-A77A-094C58B6A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2053</Words>
  <Characters>11704</Characters>
  <Application>Microsoft Office Word</Application>
  <DocSecurity>0</DocSecurity>
  <Lines>97</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13730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Tommy Chee</cp:lastModifiedBy>
  <cp:revision>2</cp:revision>
  <cp:lastPrinted>2015-02-02T07:28:00Z</cp:lastPrinted>
  <dcterms:created xsi:type="dcterms:W3CDTF">2019-08-14T15:25:00Z</dcterms:created>
  <dcterms:modified xsi:type="dcterms:W3CDTF">2019-08-14T15:25:00Z</dcterms:modified>
</cp:coreProperties>
</file>