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4A0" w:firstRow="1" w:lastRow="0" w:firstColumn="1" w:lastColumn="0" w:noHBand="0" w:noVBand="1"/>
      </w:tblPr>
      <w:tblGrid>
        <w:gridCol w:w="6911"/>
        <w:gridCol w:w="3120"/>
      </w:tblGrid>
      <w:tr w:rsidR="00993602">
        <w:trPr>
          <w:cantSplit/>
        </w:trPr>
        <w:tc>
          <w:tcPr>
            <w:tcW w:w="6911" w:type="dxa"/>
          </w:tcPr>
          <w:p w:rsidR="00993602" w:rsidRDefault="000B0F7F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(WRC-19)</w:t>
            </w:r>
            <w:r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Egypt, 28 October – 22 November 2019</w:t>
            </w:r>
          </w:p>
        </w:tc>
        <w:tc>
          <w:tcPr>
            <w:tcW w:w="3120" w:type="dxa"/>
          </w:tcPr>
          <w:p w:rsidR="00993602" w:rsidRDefault="000B0F7F">
            <w:pPr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60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93602" w:rsidRDefault="0099360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93602" w:rsidRDefault="0099360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9360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93602" w:rsidRDefault="0099360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93602" w:rsidRDefault="0099360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9360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993602" w:rsidRDefault="000B0F7F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sz w:val="20"/>
                <w:szCs w:val="20"/>
              </w:rPr>
              <w:t>COMMITTEE 4</w:t>
            </w:r>
          </w:p>
        </w:tc>
        <w:tc>
          <w:tcPr>
            <w:tcW w:w="3120" w:type="dxa"/>
          </w:tcPr>
          <w:p w:rsidR="00993602" w:rsidRDefault="000B0F7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406-E</w:t>
            </w:r>
          </w:p>
        </w:tc>
      </w:tr>
      <w:tr w:rsidR="0099360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993602" w:rsidRDefault="0099360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993602" w:rsidRDefault="000B0F7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 November 2019</w:t>
            </w:r>
          </w:p>
        </w:tc>
      </w:tr>
      <w:tr w:rsidR="0099360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993602" w:rsidRDefault="0099360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orlang" w:colFirst="1" w:colLast="1"/>
            <w:bookmarkStart w:id="6" w:name="dbluepink" w:colFirst="0" w:colLast="0"/>
            <w:bookmarkEnd w:id="3"/>
            <w:bookmarkEnd w:id="4"/>
          </w:p>
        </w:tc>
        <w:tc>
          <w:tcPr>
            <w:tcW w:w="3120" w:type="dxa"/>
          </w:tcPr>
          <w:p w:rsidR="00993602" w:rsidRDefault="000B0F7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99360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93602" w:rsidRDefault="0099360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99360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93602" w:rsidRDefault="000B0F7F">
            <w:pPr>
              <w:pStyle w:val="Source"/>
            </w:pPr>
            <w:r>
              <w:t>Working Group 4B</w:t>
            </w:r>
          </w:p>
          <w:p w:rsidR="00993602" w:rsidRDefault="000B0F7F">
            <w:pPr>
              <w:pStyle w:val="Source"/>
              <w:spacing w:before="120"/>
            </w:pPr>
            <w:r>
              <w:rPr>
                <w:bCs/>
              </w:rPr>
              <w:t>Ad-hoc Group on Agenda Item 1.14</w:t>
            </w:r>
          </w:p>
        </w:tc>
      </w:tr>
      <w:tr w:rsidR="0099360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93602" w:rsidRDefault="000B0F7F">
            <w:pPr>
              <w:pStyle w:val="Title1"/>
            </w:pPr>
            <w:r>
              <w:t xml:space="preserve">PROPOSALS RELATING TO </w:t>
            </w:r>
            <w:r>
              <w:t>AGENDA ITEM 1.14</w:t>
            </w:r>
          </w:p>
        </w:tc>
      </w:tr>
      <w:tr w:rsidR="0099360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93602" w:rsidRDefault="00993602">
            <w:pPr>
              <w:pStyle w:val="Title2"/>
            </w:pPr>
          </w:p>
        </w:tc>
      </w:tr>
      <w:tr w:rsidR="0099360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93602" w:rsidRDefault="000B0F7F">
            <w:pPr>
              <w:pStyle w:val="Agendaitem"/>
            </w:pPr>
            <w:r>
              <w:t>Agenda item 1.14</w:t>
            </w:r>
          </w:p>
        </w:tc>
      </w:tr>
    </w:tbl>
    <w:bookmarkEnd w:id="5"/>
    <w:bookmarkEnd w:id="6"/>
    <w:p w:rsidR="00993602" w:rsidRDefault="000B0F7F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 xml:space="preserve">1.14 </w:t>
      </w:r>
      <w:r>
        <w:rPr>
          <w:lang w:val="en-US"/>
        </w:rPr>
        <w:tab/>
        <w:t xml:space="preserve">to consider, on the basis of ITU-R studies in accordance with Resolution </w:t>
      </w:r>
      <w:r>
        <w:rPr>
          <w:b/>
          <w:bCs/>
          <w:lang w:val="en-US"/>
        </w:rPr>
        <w:t>160 (WRC</w:t>
      </w:r>
      <w:r>
        <w:rPr>
          <w:b/>
          <w:bCs/>
          <w:lang w:val="en-US"/>
        </w:rPr>
        <w:noBreakHyphen/>
        <w:t>15)</w:t>
      </w:r>
      <w:r>
        <w:rPr>
          <w:lang w:val="en-US"/>
        </w:rPr>
        <w:t>, appropriate regulatory actions for high-altitude platform stations (HAPS), within existing fixed-service allocations;</w:t>
      </w:r>
    </w:p>
    <w:p w:rsidR="00993602" w:rsidRDefault="000B0F7F">
      <w:pPr>
        <w:rPr>
          <w:lang w:val="en-US"/>
        </w:rPr>
      </w:pPr>
      <w:r>
        <w:rPr>
          <w:lang w:val="en-US"/>
        </w:rPr>
        <w:t xml:space="preserve">For the frequency band 38-39.5 GHz, the Ad-hoc Group agreed to the changes to the Radio Regulations as indicated in the Annex. The proposals on modifications to the Article </w:t>
      </w:r>
      <w:r>
        <w:rPr>
          <w:b/>
          <w:lang w:val="en-US"/>
        </w:rPr>
        <w:t>11</w:t>
      </w:r>
      <w:r>
        <w:rPr>
          <w:lang w:val="en-US"/>
        </w:rPr>
        <w:t>, Appendix </w:t>
      </w:r>
      <w:r>
        <w:rPr>
          <w:b/>
          <w:lang w:val="en-US"/>
        </w:rPr>
        <w:t>4</w:t>
      </w:r>
      <w:r>
        <w:rPr>
          <w:lang w:val="en-US"/>
        </w:rPr>
        <w:t xml:space="preserve">, Appendix </w:t>
      </w:r>
      <w:r>
        <w:rPr>
          <w:b/>
          <w:lang w:val="en-US"/>
        </w:rPr>
        <w:t>7</w:t>
      </w:r>
      <w:r>
        <w:rPr>
          <w:lang w:val="en-US"/>
        </w:rPr>
        <w:t xml:space="preserve"> and </w:t>
      </w:r>
      <w:r>
        <w:rPr>
          <w:rFonts w:asciiTheme="majorBidi" w:hAnsiTheme="majorBidi" w:cstheme="majorBidi"/>
          <w:lang w:val="en-US"/>
        </w:rPr>
        <w:t xml:space="preserve">Resolution </w:t>
      </w:r>
      <w:r>
        <w:rPr>
          <w:rFonts w:asciiTheme="majorBidi" w:hAnsiTheme="majorBidi" w:cstheme="majorBidi"/>
          <w:b/>
          <w:bCs/>
          <w:lang w:val="en-US"/>
        </w:rPr>
        <w:t>160 (WRC</w:t>
      </w:r>
      <w:r>
        <w:rPr>
          <w:rFonts w:asciiTheme="majorBidi" w:hAnsiTheme="majorBidi" w:cstheme="majorBidi"/>
          <w:b/>
          <w:bCs/>
          <w:lang w:val="en-US"/>
        </w:rPr>
        <w:noBreakHyphen/>
        <w:t xml:space="preserve">15) </w:t>
      </w:r>
      <w:r>
        <w:rPr>
          <w:lang w:val="en-US"/>
        </w:rPr>
        <w:t>for the band above will be a</w:t>
      </w:r>
      <w:r>
        <w:rPr>
          <w:lang w:val="en-US"/>
        </w:rPr>
        <w:t>vailable separately.</w:t>
      </w:r>
    </w:p>
    <w:p w:rsidR="00993602" w:rsidRDefault="00993602">
      <w:pPr>
        <w:rPr>
          <w:lang w:val="en-US"/>
        </w:rPr>
      </w:pPr>
    </w:p>
    <w:p w:rsidR="00993602" w:rsidRDefault="00993602">
      <w:pPr>
        <w:rPr>
          <w:lang w:val="en-US"/>
        </w:rPr>
      </w:pPr>
    </w:p>
    <w:p w:rsidR="00993602" w:rsidRDefault="00993602">
      <w:pPr>
        <w:rPr>
          <w:lang w:val="en-US"/>
        </w:rPr>
      </w:pPr>
    </w:p>
    <w:p w:rsidR="00993602" w:rsidRDefault="000B0F7F">
      <w:pPr>
        <w:tabs>
          <w:tab w:val="clear" w:pos="1134"/>
          <w:tab w:val="clear" w:pos="1871"/>
          <w:tab w:val="clear" w:pos="2268"/>
          <w:tab w:val="center" w:pos="7655"/>
        </w:tabs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Marc </w:t>
      </w:r>
      <w:proofErr w:type="spellStart"/>
      <w:r>
        <w:rPr>
          <w:lang w:val="en-US"/>
        </w:rPr>
        <w:t>Girouard</w:t>
      </w:r>
      <w:proofErr w:type="spellEnd"/>
      <w:r>
        <w:rPr>
          <w:lang w:val="en-US"/>
        </w:rPr>
        <w:br/>
      </w:r>
      <w:r>
        <w:rPr>
          <w:lang w:val="en-US"/>
        </w:rPr>
        <w:tab/>
        <w:t>Chairman, Ad-hoc Group on Agenda item 1.14</w:t>
      </w:r>
      <w:r>
        <w:rPr>
          <w:lang w:val="en-US"/>
        </w:rPr>
        <w:br/>
      </w:r>
      <w:r>
        <w:rPr>
          <w:lang w:val="en-US"/>
        </w:rPr>
        <w:tab/>
        <w:t xml:space="preserve">E-mail: </w:t>
      </w:r>
      <w:hyperlink r:id="rId14" w:history="1">
        <w:r>
          <w:rPr>
            <w:rStyle w:val="a9"/>
            <w:lang w:val="en-US"/>
          </w:rPr>
          <w:t>girouarm@gmail.com</w:t>
        </w:r>
      </w:hyperlink>
    </w:p>
    <w:p w:rsidR="00993602" w:rsidRDefault="00993602">
      <w:pPr>
        <w:rPr>
          <w:lang w:val="en-US"/>
        </w:rPr>
      </w:pPr>
    </w:p>
    <w:p w:rsidR="00993602" w:rsidRDefault="000B0F7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93602" w:rsidRDefault="000B0F7F">
      <w:pPr>
        <w:pStyle w:val="Headingb"/>
        <w:jc w:val="center"/>
      </w:pPr>
      <w:r>
        <w:lastRenderedPageBreak/>
        <w:t>Alternative 1 (NOC)</w:t>
      </w:r>
    </w:p>
    <w:p w:rsidR="00993602" w:rsidRDefault="00993602"/>
    <w:p w:rsidR="00993602" w:rsidRDefault="000B0F7F">
      <w:pPr>
        <w:pStyle w:val="ArtNo"/>
        <w:spacing w:before="0"/>
        <w:rPr>
          <w:lang w:val="en-AU"/>
        </w:rPr>
      </w:pPr>
      <w:r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</w:p>
    <w:p w:rsidR="00993602" w:rsidRDefault="000B0F7F">
      <w:pPr>
        <w:pStyle w:val="Arttitle"/>
        <w:rPr>
          <w:lang w:val="en-US"/>
        </w:rPr>
      </w:pPr>
      <w:r>
        <w:t>Frequency allocations</w:t>
      </w:r>
    </w:p>
    <w:p w:rsidR="00993602" w:rsidRDefault="000B0F7F">
      <w:pPr>
        <w:pStyle w:val="Proposal"/>
      </w:pPr>
      <w:r>
        <w:rPr>
          <w:u w:val="single"/>
        </w:rPr>
        <w:t>NOC</w:t>
      </w:r>
      <w:r>
        <w:tab/>
        <w:t>WG4B/406/1</w:t>
      </w:r>
    </w:p>
    <w:p w:rsidR="00993602" w:rsidRDefault="000B0F7F">
      <w:pPr>
        <w:pStyle w:val="Section1"/>
        <w:keepNext/>
      </w:pPr>
      <w:r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>
        <w:rPr>
          <w:b w:val="0"/>
          <w:bCs/>
        </w:rPr>
        <w:t xml:space="preserve">(See No. </w:t>
      </w:r>
      <w:r>
        <w:t>2.1</w:t>
      </w:r>
      <w:r>
        <w:rPr>
          <w:b w:val="0"/>
          <w:bCs/>
        </w:rPr>
        <w:t>)</w:t>
      </w:r>
      <w:r>
        <w:rPr>
          <w:b w:val="0"/>
          <w:bCs/>
        </w:rPr>
        <w:br/>
      </w:r>
      <w:r>
        <w:br/>
      </w:r>
    </w:p>
    <w:p w:rsidR="00993602" w:rsidRDefault="00993602">
      <w:pPr>
        <w:pStyle w:val="Reasons"/>
      </w:pPr>
    </w:p>
    <w:p w:rsidR="00993602" w:rsidRDefault="000B0F7F">
      <w:pPr>
        <w:pStyle w:val="Headingb"/>
        <w:jc w:val="center"/>
      </w:pPr>
      <w:r>
        <w:t>Alternative 2</w:t>
      </w:r>
    </w:p>
    <w:p w:rsidR="00993602" w:rsidRDefault="000B0F7F">
      <w:pPr>
        <w:pStyle w:val="Headingb"/>
        <w:jc w:val="center"/>
      </w:pPr>
      <w:r>
        <w:t>(Worldwide identification HAPS to ground and ground to HAPS)</w:t>
      </w:r>
    </w:p>
    <w:p w:rsidR="00993602" w:rsidRDefault="00993602"/>
    <w:p w:rsidR="00993602" w:rsidRDefault="000B0F7F">
      <w:pPr>
        <w:pStyle w:val="Proposal"/>
      </w:pPr>
      <w:r>
        <w:t>MOD</w:t>
      </w:r>
      <w:r>
        <w:tab/>
        <w:t>WG4B/406/2</w:t>
      </w:r>
      <w:r>
        <w:rPr>
          <w:vanish/>
          <w:color w:val="7F7F7F" w:themeColor="text1" w:themeTint="80"/>
          <w:vertAlign w:val="superscript"/>
        </w:rPr>
        <w:t>#72841</w:t>
      </w:r>
    </w:p>
    <w:p w:rsidR="00993602" w:rsidRDefault="000B0F7F">
      <w:pPr>
        <w:pStyle w:val="Tabletitle"/>
      </w:pPr>
      <w:r>
        <w:t>34.2-40 GHz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99360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2" w:rsidRDefault="000B0F7F">
            <w:pPr>
              <w:pStyle w:val="Tablehead"/>
            </w:pPr>
            <w:r>
              <w:t>Allocation to services</w:t>
            </w:r>
          </w:p>
        </w:tc>
      </w:tr>
      <w:tr w:rsidR="0099360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02" w:rsidRDefault="000B0F7F">
            <w:pPr>
              <w:pStyle w:val="Tablehead"/>
            </w:pPr>
            <w:r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02" w:rsidRDefault="000B0F7F">
            <w:pPr>
              <w:pStyle w:val="Tablehead"/>
            </w:pPr>
            <w: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02" w:rsidRDefault="000B0F7F">
            <w:pPr>
              <w:pStyle w:val="Tablehead"/>
            </w:pPr>
            <w:r>
              <w:t>Region 3</w:t>
            </w:r>
          </w:p>
        </w:tc>
      </w:tr>
      <w:tr w:rsidR="0099360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2" w:rsidRDefault="000B0F7F">
            <w:pPr>
              <w:pStyle w:val="TableTextS5"/>
              <w:rPr>
                <w:color w:val="000000"/>
              </w:rPr>
            </w:pPr>
            <w:r>
              <w:rPr>
                <w:rStyle w:val="Tablefreq"/>
              </w:rPr>
              <w:t>38-39.5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FIXED</w:t>
            </w:r>
            <w:r>
              <w:rPr>
                <w:color w:val="000000"/>
              </w:rPr>
              <w:t xml:space="preserve">  </w:t>
            </w:r>
            <w:r>
              <w:t>ADD</w:t>
            </w:r>
            <w:r>
              <w:rPr>
                <w:rStyle w:val="Artref"/>
              </w:rPr>
              <w:t xml:space="preserve"> 5.</w:t>
            </w:r>
            <w:r>
              <w:rPr>
                <w:rStyle w:val="Artref"/>
              </w:rPr>
              <w:t>G</w:t>
            </w:r>
            <w:r>
              <w:rPr>
                <w:rStyle w:val="Artref"/>
              </w:rPr>
              <w:t>114</w:t>
            </w:r>
          </w:p>
          <w:p w:rsidR="00993602" w:rsidRDefault="000B0F7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FIXED-SATELLITE (space-to-Earth)</w:t>
            </w:r>
          </w:p>
          <w:p w:rsidR="00993602" w:rsidRDefault="000B0F7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tab/>
              <w:t>MOBILE</w:t>
            </w:r>
          </w:p>
          <w:p w:rsidR="00993602" w:rsidRDefault="000B0F7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Earth exploration-satellite (space-to-Earth) </w:t>
            </w:r>
          </w:p>
          <w:p w:rsidR="00993602" w:rsidRDefault="000B0F7F">
            <w:pPr>
              <w:pStyle w:val="TableTextS5"/>
              <w:rPr>
                <w:rStyle w:val="Artref"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rStyle w:val="Artref"/>
                <w:color w:val="000000"/>
              </w:rPr>
              <w:t>5.547</w:t>
            </w:r>
          </w:p>
        </w:tc>
      </w:tr>
    </w:tbl>
    <w:p w:rsidR="00993602" w:rsidRDefault="00993602"/>
    <w:p w:rsidR="00993602" w:rsidRDefault="00993602">
      <w:pPr>
        <w:pStyle w:val="Reasons"/>
      </w:pPr>
    </w:p>
    <w:p w:rsidR="00993602" w:rsidRDefault="000B0F7F">
      <w:pPr>
        <w:pStyle w:val="Proposal"/>
      </w:pPr>
      <w:r>
        <w:t>ADD</w:t>
      </w:r>
      <w:r>
        <w:tab/>
        <w:t>WG4B/406/3</w:t>
      </w:r>
      <w:r>
        <w:rPr>
          <w:vanish/>
          <w:color w:val="7F7F7F" w:themeColor="text1" w:themeTint="80"/>
          <w:vertAlign w:val="superscript"/>
        </w:rPr>
        <w:t>#50574</w:t>
      </w:r>
    </w:p>
    <w:p w:rsidR="00993602" w:rsidRDefault="000B0F7F">
      <w:pPr>
        <w:pStyle w:val="Note"/>
        <w:shd w:val="clear" w:color="auto" w:fill="FFFFFF" w:themeFill="background1"/>
        <w:rPr>
          <w:sz w:val="16"/>
        </w:rPr>
      </w:pPr>
      <w:proofErr w:type="gramStart"/>
      <w:r>
        <w:rPr>
          <w:rStyle w:val="Artdef"/>
        </w:rPr>
        <w:t>5.G114</w:t>
      </w:r>
      <w:proofErr w:type="gramEnd"/>
      <w:r>
        <w:tab/>
      </w:r>
      <w:r>
        <w:t>The allocation to the fixed service in the band 38-39.5 GHz is identified for worldwide use by high-altitude platform stations (HAPS). This identification does not preclude the use of this frequency band by other fixed service applications or by other serv</w:t>
      </w:r>
      <w:r>
        <w:t xml:space="preserve">ices to which this band is allocated on a co-primary basis and does not establish priority in the Radio Regulations. Such use of the fixed-service allocation by HAPS shall be in accordance with the provisions of Resolution </w:t>
      </w:r>
      <w:r>
        <w:rPr>
          <w:b/>
        </w:rPr>
        <w:t>[TBD] (WRC</w:t>
      </w:r>
      <w:r>
        <w:rPr>
          <w:b/>
        </w:rPr>
        <w:noBreakHyphen/>
        <w:t>19)</w:t>
      </w:r>
      <w:r>
        <w:t>.</w:t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    (WRC</w:t>
      </w:r>
      <w:r>
        <w:rPr>
          <w:sz w:val="16"/>
          <w:szCs w:val="16"/>
          <w:lang w:val="en-US"/>
        </w:rPr>
        <w:noBreakHyphen/>
        <w:t>19)</w:t>
      </w:r>
    </w:p>
    <w:p w:rsidR="00993602" w:rsidRDefault="00993602">
      <w:pPr>
        <w:pStyle w:val="Reasons"/>
      </w:pPr>
    </w:p>
    <w:p w:rsidR="00993602" w:rsidRDefault="000B0F7F">
      <w:pPr>
        <w:pStyle w:val="Proposal"/>
      </w:pPr>
      <w:r>
        <w:lastRenderedPageBreak/>
        <w:t>ADD</w:t>
      </w:r>
      <w:r>
        <w:tab/>
        <w:t>WG4B/406/4</w:t>
      </w:r>
      <w:r>
        <w:rPr>
          <w:vanish/>
          <w:color w:val="7F7F7F" w:themeColor="text1" w:themeTint="80"/>
          <w:vertAlign w:val="superscript"/>
        </w:rPr>
        <w:t>#72623</w:t>
      </w:r>
    </w:p>
    <w:p w:rsidR="00993602" w:rsidRDefault="000B0F7F">
      <w:pPr>
        <w:pStyle w:val="ResNo"/>
      </w:pPr>
      <w:r>
        <w:t>draFt new RESOLUTION [TBD] (WRC</w:t>
      </w:r>
      <w:r>
        <w:noBreakHyphen/>
        <w:t>19)</w:t>
      </w:r>
    </w:p>
    <w:p w:rsidR="00993602" w:rsidRDefault="000B0F7F">
      <w:pPr>
        <w:pStyle w:val="Restitle"/>
        <w:rPr>
          <w:lang w:eastAsia="ja-JP"/>
        </w:rPr>
      </w:pPr>
      <w:r>
        <w:rPr>
          <w:rFonts w:eastAsiaTheme="minorEastAsia" w:cs="Times New Roman Bold"/>
          <w:bCs/>
        </w:rPr>
        <w:t>U</w:t>
      </w:r>
      <w:r>
        <w:rPr>
          <w:rFonts w:eastAsiaTheme="minorHAnsi"/>
        </w:rPr>
        <w:t xml:space="preserve">se of the band 38-39.5 GHz by high altitude platform </w:t>
      </w:r>
      <w:r>
        <w:rPr>
          <w:rFonts w:eastAsiaTheme="minorHAnsi"/>
        </w:rPr>
        <w:br/>
        <w:t>stations in the fixed service</w:t>
      </w:r>
    </w:p>
    <w:p w:rsidR="00993602" w:rsidRDefault="000B0F7F">
      <w:pPr>
        <w:pStyle w:val="Normalaftertitle1"/>
      </w:pPr>
      <w:r>
        <w:t xml:space="preserve">The World </w:t>
      </w:r>
      <w:proofErr w:type="spellStart"/>
      <w:r>
        <w:t>Radiocommunication</w:t>
      </w:r>
      <w:proofErr w:type="spellEnd"/>
      <w:r>
        <w:t xml:space="preserve"> Conference (</w:t>
      </w:r>
      <w:proofErr w:type="spellStart"/>
      <w:r>
        <w:t>Sharm</w:t>
      </w:r>
      <w:proofErr w:type="spellEnd"/>
      <w:r>
        <w:t xml:space="preserve"> el-Sheikh, 2019),</w:t>
      </w:r>
    </w:p>
    <w:p w:rsidR="00993602" w:rsidRDefault="000B0F7F">
      <w:pPr>
        <w:pStyle w:val="Call"/>
      </w:pPr>
      <w:proofErr w:type="gramStart"/>
      <w:r>
        <w:t>considering</w:t>
      </w:r>
      <w:proofErr w:type="gramEnd"/>
    </w:p>
    <w:p w:rsidR="00993602" w:rsidRDefault="000B0F7F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a)</w:t>
      </w:r>
      <w:r>
        <w:rPr>
          <w:i/>
          <w:iCs/>
          <w:szCs w:val="24"/>
          <w:lang w:eastAsia="zh-CN"/>
        </w:rPr>
        <w:tab/>
      </w:r>
      <w:proofErr w:type="gramStart"/>
      <w:r>
        <w:rPr>
          <w:szCs w:val="24"/>
          <w:lang w:eastAsia="zh-CN"/>
        </w:rPr>
        <w:t>that</w:t>
      </w:r>
      <w:proofErr w:type="gramEnd"/>
      <w:r>
        <w:rPr>
          <w:szCs w:val="24"/>
          <w:lang w:eastAsia="zh-CN"/>
        </w:rPr>
        <w:t xml:space="preserve"> there is a</w:t>
      </w:r>
      <w:r>
        <w:rPr>
          <w:lang w:val="en-US"/>
        </w:rPr>
        <w:t xml:space="preserve"> </w:t>
      </w:r>
      <w:r>
        <w:rPr>
          <w:szCs w:val="24"/>
          <w:lang w:eastAsia="zh-CN"/>
        </w:rPr>
        <w:t xml:space="preserve">need for greater broadband connectivity in underserved communities and in rural and remote areas; </w:t>
      </w:r>
    </w:p>
    <w:p w:rsidR="00993602" w:rsidRDefault="000B0F7F">
      <w:pPr>
        <w:rPr>
          <w:i/>
          <w:iCs/>
        </w:rPr>
      </w:pPr>
      <w:r>
        <w:rPr>
          <w:i/>
          <w:iCs/>
        </w:rPr>
        <w:t>b)</w:t>
      </w:r>
      <w:r>
        <w:rPr>
          <w:i/>
          <w:iCs/>
        </w:rPr>
        <w:tab/>
      </w:r>
      <w:r>
        <w:rPr>
          <w:iCs/>
        </w:rPr>
        <w:t>that WRC-15 invited ITU-R to study additional spectrum needs for fixed HAPS links to provide broadband connectivity and to facilitate the use of HAPS link</w:t>
      </w:r>
      <w:r>
        <w:rPr>
          <w:iCs/>
        </w:rPr>
        <w:t>s</w:t>
      </w:r>
      <w:r>
        <w:rPr>
          <w:i/>
          <w:iCs/>
        </w:rPr>
        <w:t xml:space="preserve"> </w:t>
      </w:r>
      <w:r>
        <w:rPr>
          <w:iCs/>
        </w:rPr>
        <w:t>on a global or regional basis, recognizing that the existing HAPS identifications were established without reference to today’s broadband capabilities;</w:t>
      </w:r>
    </w:p>
    <w:p w:rsidR="00993602" w:rsidRDefault="000B0F7F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c)</w:t>
      </w:r>
      <w:r>
        <w:rPr>
          <w:i/>
          <w:iCs/>
          <w:szCs w:val="24"/>
          <w:lang w:eastAsia="zh-CN"/>
        </w:rPr>
        <w:tab/>
      </w:r>
      <w:proofErr w:type="gramStart"/>
      <w:r>
        <w:rPr>
          <w:szCs w:val="24"/>
          <w:lang w:eastAsia="zh-CN"/>
        </w:rPr>
        <w:t>that</w:t>
      </w:r>
      <w:proofErr w:type="gramEnd"/>
      <w:r>
        <w:rPr>
          <w:szCs w:val="24"/>
          <w:lang w:eastAsia="zh-CN"/>
        </w:rPr>
        <w:t xml:space="preserve"> HAPS can provide broadband connectivity with minimal ground network infrastructure;</w:t>
      </w:r>
    </w:p>
    <w:p w:rsidR="00993602" w:rsidRDefault="000B0F7F">
      <w:pPr>
        <w:rPr>
          <w:iCs/>
        </w:rPr>
      </w:pPr>
      <w:r>
        <w:rPr>
          <w:i/>
          <w:iCs/>
        </w:rPr>
        <w:t>d)</w:t>
      </w:r>
      <w:r>
        <w:rPr>
          <w:i/>
          <w:iCs/>
        </w:rPr>
        <w:tab/>
      </w:r>
      <w:proofErr w:type="gramStart"/>
      <w:r>
        <w:rPr>
          <w:iCs/>
        </w:rPr>
        <w:t>that</w:t>
      </w:r>
      <w:proofErr w:type="gramEnd"/>
      <w:r>
        <w:rPr>
          <w:iCs/>
        </w:rPr>
        <w:t xml:space="preserve"> Re</w:t>
      </w:r>
      <w:r>
        <w:rPr>
          <w:iCs/>
        </w:rPr>
        <w:t>port ITU-R F.2439 contains updated deployment and technical characteristics of broadband HAPS systems;</w:t>
      </w:r>
    </w:p>
    <w:p w:rsidR="00993602" w:rsidRDefault="000B0F7F">
      <w:pPr>
        <w:rPr>
          <w:szCs w:val="24"/>
          <w:lang w:eastAsia="zh-CN"/>
        </w:rPr>
      </w:pPr>
      <w:r>
        <w:rPr>
          <w:i/>
          <w:iCs/>
        </w:rPr>
        <w:t>e)</w:t>
      </w:r>
      <w:r>
        <w:rPr>
          <w:i/>
          <w:iCs/>
        </w:rPr>
        <w:tab/>
      </w:r>
      <w:proofErr w:type="gramStart"/>
      <w:r>
        <w:rPr>
          <w:iCs/>
        </w:rPr>
        <w:t>that</w:t>
      </w:r>
      <w:proofErr w:type="gramEnd"/>
      <w:r>
        <w:rPr>
          <w:iCs/>
        </w:rPr>
        <w:t xml:space="preserve"> Report ITU-R F.2438 contains worldwide spectrum needs of HAPS systems;</w:t>
      </w:r>
    </w:p>
    <w:p w:rsidR="00993602" w:rsidRDefault="000B0F7F">
      <w:pPr>
        <w:rPr>
          <w:iCs/>
          <w:lang w:eastAsia="zh-CN"/>
        </w:rPr>
      </w:pPr>
      <w:r>
        <w:rPr>
          <w:i/>
          <w:iCs/>
          <w:szCs w:val="24"/>
          <w:lang w:eastAsia="zh-CN"/>
        </w:rPr>
        <w:t>f)</w:t>
      </w:r>
      <w:r>
        <w:rPr>
          <w:i/>
          <w:iCs/>
          <w:szCs w:val="24"/>
          <w:lang w:eastAsia="zh-CN"/>
        </w:rPr>
        <w:tab/>
      </w:r>
      <w:proofErr w:type="gramStart"/>
      <w:r>
        <w:rPr>
          <w:szCs w:val="24"/>
          <w:lang w:eastAsia="zh-CN"/>
        </w:rPr>
        <w:t>that</w:t>
      </w:r>
      <w:proofErr w:type="gramEnd"/>
      <w:r>
        <w:rPr>
          <w:szCs w:val="24"/>
          <w:lang w:eastAsia="zh-CN"/>
        </w:rPr>
        <w:t xml:space="preserve"> ITU</w:t>
      </w:r>
      <w:r>
        <w:rPr>
          <w:szCs w:val="24"/>
          <w:lang w:eastAsia="zh-CN"/>
        </w:rPr>
        <w:noBreakHyphen/>
        <w:t>R has conducted studies dealing with compatibility between sys</w:t>
      </w:r>
      <w:r>
        <w:rPr>
          <w:szCs w:val="24"/>
          <w:lang w:eastAsia="zh-CN"/>
        </w:rPr>
        <w:t>tems using HAPS and existing services in the 38-39.5 GHz frequency band leading to Report ITU</w:t>
      </w:r>
      <w:r>
        <w:rPr>
          <w:szCs w:val="24"/>
          <w:lang w:eastAsia="zh-CN"/>
        </w:rPr>
        <w:noBreakHyphen/>
        <w:t>R F.2475</w:t>
      </w:r>
      <w:r>
        <w:rPr>
          <w:iCs/>
          <w:lang w:eastAsia="zh-CN"/>
        </w:rPr>
        <w:t>;</w:t>
      </w:r>
    </w:p>
    <w:p w:rsidR="00993602" w:rsidRDefault="000B0F7F">
      <w:pPr>
        <w:rPr>
          <w:i/>
          <w:iCs/>
        </w:rPr>
      </w:pPr>
      <w:r>
        <w:rPr>
          <w:i/>
          <w:iCs/>
        </w:rPr>
        <w:tab/>
      </w:r>
      <w:proofErr w:type="gramStart"/>
      <w:r>
        <w:rPr>
          <w:i/>
          <w:iCs/>
        </w:rPr>
        <w:t>considering</w:t>
      </w:r>
      <w:proofErr w:type="gramEnd"/>
      <w:r>
        <w:rPr>
          <w:i/>
          <w:iCs/>
        </w:rPr>
        <w:t xml:space="preserve"> further</w:t>
      </w:r>
    </w:p>
    <w:p w:rsidR="00993602" w:rsidRDefault="000B0F7F">
      <w:pPr>
        <w:rPr>
          <w:iCs/>
        </w:rPr>
      </w:pPr>
      <w:proofErr w:type="gramStart"/>
      <w:r>
        <w:t>that</w:t>
      </w:r>
      <w:proofErr w:type="gramEnd"/>
      <w:r>
        <w:t xml:space="preserve"> current</w:t>
      </w:r>
      <w:r>
        <w:rPr>
          <w:iCs/>
        </w:rPr>
        <w:t xml:space="preserve"> technologies, such as high-altitude platform stations (HAPS), can be used to deliver broadband applications for broadb</w:t>
      </w:r>
      <w:r>
        <w:rPr>
          <w:iCs/>
        </w:rPr>
        <w:t>and connectivity and disaster recovery communications with minimal ground network infrastructure,</w:t>
      </w:r>
    </w:p>
    <w:p w:rsidR="00993602" w:rsidRDefault="000B0F7F">
      <w:pPr>
        <w:rPr>
          <w:i/>
          <w:iCs/>
        </w:rPr>
      </w:pPr>
      <w:r>
        <w:rPr>
          <w:color w:val="FF0000"/>
        </w:rPr>
        <w:tab/>
      </w:r>
      <w:proofErr w:type="gramStart"/>
      <w:r>
        <w:rPr>
          <w:i/>
          <w:iCs/>
        </w:rPr>
        <w:t>recognizing</w:t>
      </w:r>
      <w:proofErr w:type="gramEnd"/>
    </w:p>
    <w:p w:rsidR="00993602" w:rsidRDefault="00993602">
      <w:pPr>
        <w:rPr>
          <w:i/>
          <w:iCs/>
        </w:rPr>
      </w:pPr>
    </w:p>
    <w:p w:rsidR="00993602" w:rsidRDefault="000B0F7F">
      <w:pPr>
        <w:rPr>
          <w:lang w:eastAsia="ja-JP"/>
        </w:rPr>
      </w:pPr>
      <w:r w:rsidRPr="00415A98">
        <w:rPr>
          <w:rFonts w:eastAsia="宋体"/>
          <w:i/>
          <w:iCs/>
          <w:lang w:val="en-US" w:eastAsia="zh-CN"/>
        </w:rPr>
        <w:t>a)</w:t>
      </w:r>
      <w:r>
        <w:rPr>
          <w:rFonts w:eastAsia="宋体" w:hint="eastAsia"/>
          <w:i/>
          <w:iCs/>
          <w:lang w:val="en-US" w:eastAsia="zh-CN"/>
        </w:rPr>
        <w:tab/>
      </w:r>
      <w:r>
        <w:t>that d</w:t>
      </w:r>
      <w:r>
        <w:rPr>
          <w:lang w:eastAsia="ja-JP"/>
        </w:rPr>
        <w:t xml:space="preserve">uring periods of rain, the </w:t>
      </w:r>
      <w:proofErr w:type="spellStart"/>
      <w:r>
        <w:rPr>
          <w:lang w:eastAsia="ja-JP"/>
        </w:rPr>
        <w:t>e.i.r.p</w:t>
      </w:r>
      <w:proofErr w:type="spellEnd"/>
      <w:r>
        <w:rPr>
          <w:lang w:eastAsia="ja-JP"/>
        </w:rPr>
        <w:t>. of the HAPS’ beam suffering rain fade may be increased by a level commensurate with the level of ra</w:t>
      </w:r>
      <w:r>
        <w:rPr>
          <w:lang w:eastAsia="ja-JP"/>
        </w:rPr>
        <w:t xml:space="preserve">in fade, by up to 20 dB above the </w:t>
      </w:r>
      <w:proofErr w:type="spellStart"/>
      <w:r>
        <w:rPr>
          <w:lang w:eastAsia="ja-JP"/>
        </w:rPr>
        <w:t>e.i.r.p</w:t>
      </w:r>
      <w:proofErr w:type="spellEnd"/>
      <w:r>
        <w:rPr>
          <w:lang w:eastAsia="ja-JP"/>
        </w:rPr>
        <w:t>. under clear sky conditions declared in the Appendix 4,</w:t>
      </w:r>
    </w:p>
    <w:p w:rsidR="00993602" w:rsidRDefault="000B0F7F">
      <w:pPr>
        <w:rPr>
          <w:iCs/>
          <w:lang w:eastAsia="zh-CN"/>
        </w:rPr>
      </w:pPr>
      <w:r>
        <w:rPr>
          <w:rFonts w:hint="eastAsia"/>
          <w:i/>
          <w:lang w:val="en-US" w:eastAsia="zh-CN"/>
        </w:rPr>
        <w:t>b</w:t>
      </w:r>
      <w:r>
        <w:rPr>
          <w:rFonts w:hint="eastAsia"/>
          <w:i/>
          <w:lang w:val="en-US" w:eastAsia="zh-CN"/>
        </w:rPr>
        <w:t>)</w:t>
      </w:r>
      <w:r>
        <w:rPr>
          <w:rFonts w:hint="eastAsia"/>
          <w:i/>
          <w:lang w:val="en-US" w:eastAsia="zh-CN"/>
        </w:rPr>
        <w:tab/>
      </w:r>
      <w:proofErr w:type="gramStart"/>
      <w:r>
        <w:rPr>
          <w:iCs/>
          <w:lang w:eastAsia="zh-CN"/>
        </w:rPr>
        <w:t>that</w:t>
      </w:r>
      <w:proofErr w:type="gramEnd"/>
      <w:r>
        <w:rPr>
          <w:iCs/>
          <w:lang w:eastAsia="zh-CN"/>
        </w:rPr>
        <w:t xml:space="preserve"> existing services and their applications shall be protected from HAPS</w:t>
      </w:r>
      <w:r>
        <w:rPr>
          <w:rFonts w:hint="eastAsia"/>
          <w:iCs/>
          <w:lang w:val="en-US" w:eastAsia="zh-CN"/>
        </w:rPr>
        <w:t xml:space="preserve"> </w:t>
      </w:r>
      <w:r>
        <w:rPr>
          <w:rFonts w:hint="eastAsia"/>
          <w:iCs/>
          <w:lang w:val="en-US" w:eastAsia="zh-CN"/>
        </w:rPr>
        <w:t>operations</w:t>
      </w:r>
      <w:r>
        <w:rPr>
          <w:iCs/>
          <w:lang w:eastAsia="zh-CN"/>
        </w:rPr>
        <w:t xml:space="preserve">, and no undue constraints shall be imposed on the future development </w:t>
      </w:r>
      <w:r>
        <w:rPr>
          <w:iCs/>
          <w:lang w:eastAsia="zh-CN"/>
        </w:rPr>
        <w:t>of existing services by HAPS,</w:t>
      </w:r>
    </w:p>
    <w:p w:rsidR="00993602" w:rsidRDefault="00993602">
      <w:pPr>
        <w:rPr>
          <w:lang w:eastAsia="ja-JP"/>
        </w:rPr>
      </w:pPr>
    </w:p>
    <w:p w:rsidR="00993602" w:rsidRDefault="000B0F7F">
      <w:pPr>
        <w:pStyle w:val="Call"/>
      </w:pPr>
      <w:proofErr w:type="gramStart"/>
      <w:r>
        <w:t>resolves</w:t>
      </w:r>
      <w:proofErr w:type="gramEnd"/>
    </w:p>
    <w:p w:rsidR="00993602" w:rsidRDefault="000B0F7F">
      <w:pPr>
        <w:rPr>
          <w:lang w:eastAsia="ja-JP"/>
        </w:rPr>
      </w:pPr>
      <w:r>
        <w:t>1</w:t>
      </w:r>
      <w:r>
        <w:tab/>
        <w:t>that, for the purpose of protecting the fixed service systems in territory of other administrations in the frequency band 38-39.5 GHz, the power flux-density</w:t>
      </w:r>
      <w:r>
        <w:rPr>
          <w:lang w:eastAsia="ja-JP"/>
        </w:rPr>
        <w:t xml:space="preserve"> level (</w:t>
      </w:r>
      <w:proofErr w:type="spellStart"/>
      <w:r>
        <w:rPr>
          <w:lang w:eastAsia="ja-JP"/>
        </w:rPr>
        <w:t>pfd</w:t>
      </w:r>
      <w:proofErr w:type="spellEnd"/>
      <w:r>
        <w:rPr>
          <w:lang w:eastAsia="ja-JP"/>
        </w:rPr>
        <w:t>) per HAPS produced at the surface of the Eart</w:t>
      </w:r>
      <w:r>
        <w:rPr>
          <w:lang w:eastAsia="ja-JP"/>
        </w:rPr>
        <w:t xml:space="preserve">h in territory of other administrations shall not exceed the following limits, developed for clear-sky conditions, </w:t>
      </w:r>
      <w:r>
        <w:t>unless the explicit agreement of the affected administration</w:t>
      </w:r>
      <w:r>
        <w:rPr>
          <w:lang w:eastAsia="ja-JP"/>
        </w:rPr>
        <w:t xml:space="preserve"> is provided at the time of notification of HAPS: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lang w:eastAsia="ja-JP"/>
        </w:rPr>
      </w:pPr>
      <w:r>
        <w:rPr>
          <w:lang w:eastAsia="ja-JP"/>
        </w:rPr>
        <w:tab/>
        <w:t xml:space="preserve">−137 </w:t>
      </w:r>
      <w:r>
        <w:rPr>
          <w:lang w:eastAsia="ja-JP"/>
        </w:rPr>
        <w:tab/>
      </w:r>
      <w:proofErr w:type="gramStart"/>
      <w:r>
        <w:rPr>
          <w:lang w:eastAsia="ja-JP"/>
        </w:rPr>
        <w:t>dB(</w:t>
      </w:r>
      <w:proofErr w:type="gramEnd"/>
      <w:r>
        <w:rPr>
          <w:lang w:eastAsia="ja-JP"/>
        </w:rPr>
        <w:t>W/(m² </w:t>
      </w:r>
      <w:r>
        <w:rPr>
          <w:rFonts w:eastAsia="宋体"/>
        </w:rPr>
        <w:t>·</w:t>
      </w:r>
      <w:r>
        <w:rPr>
          <w:lang w:eastAsia="ja-JP"/>
        </w:rPr>
        <w:t xml:space="preserve"> MHz))        </w:t>
      </w:r>
      <w:r>
        <w:rPr>
          <w:lang w:eastAsia="ja-JP"/>
        </w:rPr>
        <w:t>for</w:t>
      </w:r>
      <w:r>
        <w:rPr>
          <w:lang w:eastAsia="ja-JP"/>
        </w:rPr>
        <w:tab/>
        <w:t xml:space="preserve">0° ≤ </w:t>
      </w:r>
      <w:r>
        <w:rPr>
          <w:rFonts w:eastAsia="宋体"/>
          <w:szCs w:val="24"/>
        </w:rPr>
        <w:sym w:font="Symbol" w:char="F071"/>
      </w:r>
      <w:r>
        <w:rPr>
          <w:rFonts w:eastAsia="宋体"/>
        </w:rPr>
        <w:t xml:space="preserve"> </w:t>
      </w:r>
      <w:r>
        <w:rPr>
          <w:lang w:eastAsia="ja-JP"/>
        </w:rPr>
        <w:t>≤ 13°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lang w:eastAsia="ja-JP"/>
        </w:rPr>
      </w:pPr>
      <w:r>
        <w:rPr>
          <w:rFonts w:eastAsia="宋体"/>
          <w:lang w:eastAsia="ja-JP"/>
        </w:rPr>
        <w:lastRenderedPageBreak/>
        <w:tab/>
        <w:t>−137 + 3.125 (</w:t>
      </w:r>
      <w:r>
        <w:rPr>
          <w:rFonts w:eastAsia="宋体"/>
          <w:szCs w:val="24"/>
        </w:rPr>
        <w:sym w:font="Symbol" w:char="F071"/>
      </w:r>
      <w:r>
        <w:rPr>
          <w:rFonts w:eastAsia="宋体"/>
        </w:rPr>
        <w:t> − </w:t>
      </w:r>
      <w:r>
        <w:rPr>
          <w:rFonts w:ascii="Symbol" w:eastAsia="宋体" w:hAnsi="Symbol"/>
          <w:lang w:eastAsia="ja-JP"/>
        </w:rPr>
        <w:t></w:t>
      </w:r>
      <w:r>
        <w:rPr>
          <w:rFonts w:ascii="Symbol" w:eastAsia="宋体" w:hAnsi="Symbol"/>
          <w:lang w:eastAsia="ja-JP"/>
        </w:rPr>
        <w:t></w:t>
      </w:r>
      <w:r>
        <w:rPr>
          <w:rFonts w:ascii="Symbol" w:eastAsia="宋体" w:hAnsi="Symbol"/>
          <w:lang w:eastAsia="ja-JP"/>
        </w:rPr>
        <w:t></w:t>
      </w:r>
      <w:r>
        <w:rPr>
          <w:rFonts w:ascii="Symbol" w:eastAsia="宋体" w:hAnsi="Symbol"/>
          <w:lang w:eastAsia="ja-JP"/>
        </w:rPr>
        <w:tab/>
      </w:r>
      <w:proofErr w:type="gramStart"/>
      <w:r>
        <w:rPr>
          <w:lang w:eastAsia="ja-JP"/>
        </w:rPr>
        <w:t>dB(</w:t>
      </w:r>
      <w:proofErr w:type="gramEnd"/>
      <w:r>
        <w:rPr>
          <w:lang w:eastAsia="ja-JP"/>
        </w:rPr>
        <w:t>W/(m² </w:t>
      </w:r>
      <w:r>
        <w:rPr>
          <w:rFonts w:eastAsia="宋体"/>
        </w:rPr>
        <w:t>·</w:t>
      </w:r>
      <w:r>
        <w:rPr>
          <w:lang w:eastAsia="ja-JP"/>
        </w:rPr>
        <w:t> MHz))        for</w:t>
      </w:r>
      <w:r>
        <w:rPr>
          <w:rFonts w:ascii="Symbol" w:eastAsia="宋体" w:hAnsi="Symbol"/>
          <w:lang w:eastAsia="ja-JP"/>
        </w:rPr>
        <w:tab/>
      </w:r>
      <w:r>
        <w:rPr>
          <w:lang w:eastAsia="ja-JP"/>
        </w:rPr>
        <w:t>13° &lt;</w:t>
      </w:r>
      <w:r>
        <w:rPr>
          <w:rFonts w:eastAsia="宋体"/>
        </w:rPr>
        <w:t xml:space="preserve"> </w:t>
      </w:r>
      <w:r>
        <w:rPr>
          <w:rFonts w:eastAsia="宋体"/>
          <w:szCs w:val="24"/>
        </w:rPr>
        <w:sym w:font="Symbol" w:char="F071"/>
      </w:r>
      <w:r>
        <w:rPr>
          <w:lang w:eastAsia="ja-JP"/>
        </w:rPr>
        <w:t xml:space="preserve"> ≤ 25°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lang w:eastAsia="ja-JP"/>
        </w:rPr>
      </w:pPr>
      <w:r>
        <w:rPr>
          <w:rFonts w:eastAsia="宋体"/>
          <w:lang w:eastAsia="ja-JP"/>
        </w:rPr>
        <w:tab/>
        <w:t>−99.5 + 0.5 (</w:t>
      </w:r>
      <w:r>
        <w:rPr>
          <w:rFonts w:eastAsia="宋体"/>
          <w:szCs w:val="24"/>
        </w:rPr>
        <w:sym w:font="Symbol" w:char="F071"/>
      </w:r>
      <w:r>
        <w:rPr>
          <w:rFonts w:eastAsia="宋体"/>
        </w:rPr>
        <w:t> − </w:t>
      </w:r>
      <w:r>
        <w:rPr>
          <w:rFonts w:ascii="Symbol" w:eastAsia="宋体" w:hAnsi="Symbol"/>
          <w:lang w:eastAsia="ja-JP"/>
        </w:rPr>
        <w:t></w:t>
      </w:r>
      <w:r>
        <w:rPr>
          <w:rFonts w:ascii="Symbol" w:eastAsia="宋体" w:hAnsi="Symbol"/>
          <w:lang w:eastAsia="ja-JP"/>
        </w:rPr>
        <w:t></w:t>
      </w:r>
      <w:r>
        <w:rPr>
          <w:rFonts w:ascii="Symbol" w:eastAsia="宋体" w:hAnsi="Symbol"/>
          <w:lang w:eastAsia="ja-JP"/>
        </w:rPr>
        <w:t></w:t>
      </w:r>
      <w:r>
        <w:rPr>
          <w:rFonts w:ascii="Symbol" w:eastAsia="宋体" w:hAnsi="Symbol"/>
          <w:lang w:eastAsia="ja-JP"/>
        </w:rPr>
        <w:tab/>
      </w:r>
      <w:proofErr w:type="gramStart"/>
      <w:r>
        <w:rPr>
          <w:lang w:eastAsia="ja-JP"/>
        </w:rPr>
        <w:t>dB(</w:t>
      </w:r>
      <w:proofErr w:type="gramEnd"/>
      <w:r>
        <w:rPr>
          <w:lang w:eastAsia="ja-JP"/>
        </w:rPr>
        <w:t>W/(m² </w:t>
      </w:r>
      <w:r>
        <w:rPr>
          <w:rFonts w:eastAsia="宋体"/>
        </w:rPr>
        <w:t>·</w:t>
      </w:r>
      <w:r>
        <w:rPr>
          <w:lang w:eastAsia="ja-JP"/>
        </w:rPr>
        <w:t> MHz))        for</w:t>
      </w:r>
      <w:r>
        <w:rPr>
          <w:rFonts w:eastAsia="宋体"/>
          <w:lang w:eastAsia="ja-JP"/>
        </w:rPr>
        <w:tab/>
        <w:t>25</w:t>
      </w:r>
      <w:r>
        <w:rPr>
          <w:lang w:eastAsia="ja-JP"/>
        </w:rPr>
        <w:t>° &lt;</w:t>
      </w:r>
      <w:r>
        <w:rPr>
          <w:rFonts w:eastAsia="宋体"/>
        </w:rPr>
        <w:t xml:space="preserve"> </w:t>
      </w:r>
      <w:r>
        <w:rPr>
          <w:rFonts w:eastAsia="宋体"/>
          <w:szCs w:val="24"/>
        </w:rPr>
        <w:sym w:font="Symbol" w:char="F071"/>
      </w:r>
      <w:r>
        <w:rPr>
          <w:lang w:eastAsia="ja-JP"/>
        </w:rPr>
        <w:t xml:space="preserve"> ≤ 50°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lang w:eastAsia="ja-JP"/>
        </w:rPr>
      </w:pPr>
      <w:r>
        <w:rPr>
          <w:rFonts w:eastAsia="宋体"/>
          <w:lang w:eastAsia="ja-JP"/>
        </w:rPr>
        <w:tab/>
        <w:t>−</w:t>
      </w:r>
      <w:r>
        <w:rPr>
          <w:lang w:eastAsia="ja-JP"/>
        </w:rPr>
        <w:t>87</w:t>
      </w:r>
      <w:r>
        <w:rPr>
          <w:lang w:eastAsia="ja-JP"/>
        </w:rPr>
        <w:tab/>
      </w:r>
      <w:proofErr w:type="gramStart"/>
      <w:r>
        <w:rPr>
          <w:lang w:eastAsia="ja-JP"/>
        </w:rPr>
        <w:t>dB(</w:t>
      </w:r>
      <w:proofErr w:type="gramEnd"/>
      <w:r>
        <w:rPr>
          <w:lang w:eastAsia="ja-JP"/>
        </w:rPr>
        <w:t>W/(m² </w:t>
      </w:r>
      <w:r>
        <w:rPr>
          <w:rFonts w:eastAsia="宋体"/>
        </w:rPr>
        <w:t>·</w:t>
      </w:r>
      <w:r>
        <w:rPr>
          <w:lang w:eastAsia="ja-JP"/>
        </w:rPr>
        <w:t> MHz))        for</w:t>
      </w:r>
      <w:r>
        <w:rPr>
          <w:lang w:eastAsia="ja-JP"/>
        </w:rPr>
        <w:tab/>
        <w:t xml:space="preserve">50° &lt; </w:t>
      </w:r>
      <w:r>
        <w:rPr>
          <w:rFonts w:eastAsia="宋体"/>
          <w:szCs w:val="24"/>
        </w:rPr>
        <w:sym w:font="Symbol" w:char="F071"/>
      </w:r>
      <w:r>
        <w:rPr>
          <w:lang w:eastAsia="ja-JP"/>
        </w:rPr>
        <w:t xml:space="preserve"> ≤ 90°</w:t>
      </w:r>
    </w:p>
    <w:p w:rsidR="00993602" w:rsidRDefault="000B0F7F">
      <w:pPr>
        <w:rPr>
          <w:lang w:eastAsia="ja-JP"/>
        </w:rPr>
      </w:pPr>
      <w:proofErr w:type="gramStart"/>
      <w:r>
        <w:rPr>
          <w:lang w:eastAsia="ja-JP"/>
        </w:rPr>
        <w:t>where</w:t>
      </w:r>
      <w:proofErr w:type="gramEnd"/>
      <w:r>
        <w:rPr>
          <w:lang w:eastAsia="ja-JP"/>
        </w:rPr>
        <w:t xml:space="preserve"> </w:t>
      </w:r>
      <w:r>
        <w:rPr>
          <w:iCs/>
          <w:lang w:eastAsia="ja-JP"/>
        </w:rPr>
        <w:t>θ</w:t>
      </w:r>
      <w:r>
        <w:rPr>
          <w:lang w:eastAsia="ja-JP"/>
        </w:rPr>
        <w:t xml:space="preserve"> is the </w:t>
      </w:r>
      <w:r>
        <w:t xml:space="preserve">angles of arrival </w:t>
      </w:r>
      <w:r>
        <w:rPr>
          <w:lang w:eastAsia="ja-JP"/>
        </w:rPr>
        <w:t xml:space="preserve">of the incident wave </w:t>
      </w:r>
      <w:r>
        <w:t>above the</w:t>
      </w:r>
      <w:r>
        <w:t xml:space="preserve"> horizontal plane</w:t>
      </w:r>
      <w:r>
        <w:rPr>
          <w:lang w:eastAsia="ja-JP"/>
        </w:rPr>
        <w:t>, in degrees;</w:t>
      </w:r>
    </w:p>
    <w:p w:rsidR="00993602" w:rsidRDefault="000B0F7F">
      <w:r>
        <w:t>2</w:t>
      </w:r>
      <w:r>
        <w:tab/>
        <w:t>that, with regard to the protection of fixed service stations with pointing elevation beyond 15°, an administration believing that unacceptable interference may still be caused shall, within four months of the date of publi</w:t>
      </w:r>
      <w:r>
        <w:t>cation of the relevant BR IFIC, provide its comments with relevant justification to the notifying administration;</w:t>
      </w:r>
    </w:p>
    <w:p w:rsidR="00993602" w:rsidRDefault="000B0F7F">
      <w:r>
        <w:t>3</w:t>
      </w:r>
      <w:r>
        <w:tab/>
        <w:t xml:space="preserve">that, for the purpose of protecting the mobile service systems in territory of other administrations in the frequency band 38-39.5 GHz, the </w:t>
      </w:r>
      <w:r>
        <w:t>power flux-density</w:t>
      </w:r>
      <w:r>
        <w:rPr>
          <w:lang w:eastAsia="ja-JP"/>
        </w:rPr>
        <w:t xml:space="preserve"> level (</w:t>
      </w:r>
      <w:proofErr w:type="spellStart"/>
      <w:r>
        <w:rPr>
          <w:lang w:eastAsia="ja-JP"/>
        </w:rPr>
        <w:t>pfd</w:t>
      </w:r>
      <w:proofErr w:type="spellEnd"/>
      <w:r>
        <w:rPr>
          <w:lang w:eastAsia="ja-JP"/>
        </w:rPr>
        <w:t xml:space="preserve">) per HAPS produced at the surface of the Earth in territory of other administrations shall not exceed the following limits, developed for clear-sky conditions, </w:t>
      </w:r>
      <w:r>
        <w:t>unless the explicit agreement of the affected administration</w:t>
      </w:r>
      <w:r>
        <w:rPr>
          <w:lang w:eastAsia="ja-JP"/>
        </w:rPr>
        <w:t xml:space="preserve"> is pr</w:t>
      </w:r>
      <w:r>
        <w:rPr>
          <w:lang w:eastAsia="ja-JP"/>
        </w:rPr>
        <w:t>ovided at the time of notification of HAPS: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lang w:val="en-US" w:eastAsia="ja-JP"/>
        </w:rPr>
      </w:pPr>
      <w:r>
        <w:rPr>
          <w:lang w:eastAsia="ja-JP"/>
        </w:rPr>
        <w:tab/>
        <w:t>−107.8                        </w:t>
      </w:r>
      <w:r>
        <w:rPr>
          <w:lang w:eastAsia="ja-JP"/>
        </w:rPr>
        <w:tab/>
      </w:r>
      <w:proofErr w:type="gramStart"/>
      <w:r>
        <w:rPr>
          <w:lang w:eastAsia="ja-JP"/>
        </w:rPr>
        <w:t>dB(</w:t>
      </w:r>
      <w:proofErr w:type="gramEnd"/>
      <w:r>
        <w:rPr>
          <w:lang w:eastAsia="ja-JP"/>
        </w:rPr>
        <w:t xml:space="preserve">W/(m² · MHz))              for        0 &lt;  </w:t>
      </w:r>
      <w:r>
        <w:rPr>
          <w:rFonts w:eastAsia="宋体"/>
          <w:szCs w:val="24"/>
        </w:rPr>
        <w:sym w:font="Symbol" w:char="F071"/>
      </w:r>
      <w:r>
        <w:rPr>
          <w:rFonts w:eastAsia="宋体"/>
          <w:szCs w:val="24"/>
        </w:rPr>
        <w:t xml:space="preserve"> </w:t>
      </w:r>
      <w:r>
        <w:rPr>
          <w:lang w:eastAsia="ja-JP"/>
        </w:rPr>
        <w:t xml:space="preserve"> ≤ 4°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lang w:val="en-US" w:eastAsia="ja-JP"/>
        </w:rPr>
      </w:pPr>
      <w:r>
        <w:rPr>
          <w:lang w:eastAsia="ja-JP"/>
        </w:rPr>
        <w:tab/>
        <w:t>−107.8 + 1.5 (</w:t>
      </w:r>
      <w:r>
        <w:rPr>
          <w:rFonts w:eastAsia="宋体"/>
          <w:szCs w:val="24"/>
        </w:rPr>
        <w:sym w:font="Symbol" w:char="F071"/>
      </w:r>
      <w:r>
        <w:rPr>
          <w:lang w:eastAsia="ja-JP"/>
        </w:rPr>
        <w:t xml:space="preserve"> − 4)       </w:t>
      </w:r>
      <w:proofErr w:type="gramStart"/>
      <w:r>
        <w:rPr>
          <w:lang w:eastAsia="ja-JP"/>
        </w:rPr>
        <w:t>dB(</w:t>
      </w:r>
      <w:proofErr w:type="gramEnd"/>
      <w:r>
        <w:rPr>
          <w:lang w:eastAsia="ja-JP"/>
        </w:rPr>
        <w:t>W/(m² · MHz)) </w:t>
      </w:r>
      <w:r>
        <w:rPr>
          <w:lang w:eastAsia="ja-JP"/>
        </w:rPr>
        <w:tab/>
        <w:t xml:space="preserve">              for        4° &lt;  </w:t>
      </w:r>
      <w:r>
        <w:rPr>
          <w:rFonts w:eastAsia="宋体"/>
          <w:szCs w:val="24"/>
        </w:rPr>
        <w:sym w:font="Symbol" w:char="F071"/>
      </w:r>
      <w:r>
        <w:rPr>
          <w:rFonts w:eastAsia="宋体"/>
          <w:szCs w:val="24"/>
        </w:rPr>
        <w:t xml:space="preserve"> </w:t>
      </w:r>
      <w:r>
        <w:rPr>
          <w:lang w:eastAsia="ja-JP"/>
        </w:rPr>
        <w:t xml:space="preserve"> ≤ 10</w:t>
      </w:r>
      <w:r>
        <w:rPr>
          <w:rFonts w:hint="eastAsia"/>
          <w:lang w:eastAsia="ja-JP"/>
        </w:rPr>
        <w:t>°</w:t>
      </w:r>
    </w:p>
    <w:p w:rsidR="00993602" w:rsidRDefault="000B0F7F">
      <w:pPr>
        <w:rPr>
          <w:lang w:eastAsia="ja-JP"/>
        </w:rPr>
      </w:pPr>
      <w:r>
        <w:rPr>
          <w:lang w:eastAsia="ja-JP"/>
        </w:rPr>
        <w:tab/>
        <w:t xml:space="preserve">−98.8                              </w:t>
      </w:r>
      <w:proofErr w:type="gramStart"/>
      <w:r>
        <w:rPr>
          <w:lang w:eastAsia="ja-JP"/>
        </w:rPr>
        <w:t>dB(</w:t>
      </w:r>
      <w:proofErr w:type="gramEnd"/>
      <w:r>
        <w:rPr>
          <w:lang w:eastAsia="ja-JP"/>
        </w:rPr>
        <w:t>W</w:t>
      </w:r>
      <w:r>
        <w:rPr>
          <w:lang w:eastAsia="ja-JP"/>
        </w:rPr>
        <w:t>/(m² · MHz))               for       10</w:t>
      </w:r>
      <w:r>
        <w:rPr>
          <w:rFonts w:hint="eastAsia"/>
          <w:lang w:eastAsia="ja-JP"/>
        </w:rPr>
        <w:t>°</w:t>
      </w:r>
      <w:r>
        <w:rPr>
          <w:lang w:eastAsia="ja-JP"/>
        </w:rPr>
        <w:t xml:space="preserve"> &lt;  </w:t>
      </w:r>
      <w:r>
        <w:rPr>
          <w:rFonts w:eastAsia="宋体"/>
          <w:szCs w:val="24"/>
        </w:rPr>
        <w:sym w:font="Symbol" w:char="F071"/>
      </w:r>
      <w:r>
        <w:rPr>
          <w:rFonts w:eastAsia="宋体"/>
          <w:szCs w:val="24"/>
        </w:rPr>
        <w:t xml:space="preserve"> </w:t>
      </w:r>
      <w:r>
        <w:rPr>
          <w:lang w:eastAsia="ja-JP"/>
        </w:rPr>
        <w:t xml:space="preserve"> ≤ 90°</w:t>
      </w:r>
    </w:p>
    <w:p w:rsidR="00993602" w:rsidRDefault="000B0F7F">
      <w:pPr>
        <w:rPr>
          <w:lang w:eastAsia="ja-JP"/>
        </w:rPr>
      </w:pPr>
      <w:proofErr w:type="gramStart"/>
      <w:r>
        <w:rPr>
          <w:lang w:eastAsia="ja-JP"/>
        </w:rPr>
        <w:t>where</w:t>
      </w:r>
      <w:proofErr w:type="gramEnd"/>
      <w:r>
        <w:rPr>
          <w:lang w:eastAsia="ja-JP"/>
        </w:rPr>
        <w:t xml:space="preserve"> </w:t>
      </w:r>
      <w:r>
        <w:rPr>
          <w:iCs/>
          <w:lang w:eastAsia="ja-JP"/>
        </w:rPr>
        <w:t>θ</w:t>
      </w:r>
      <w:r>
        <w:rPr>
          <w:lang w:eastAsia="ja-JP"/>
        </w:rPr>
        <w:t xml:space="preserve"> is the </w:t>
      </w:r>
      <w:r>
        <w:t xml:space="preserve">angles of arrival </w:t>
      </w:r>
      <w:r>
        <w:rPr>
          <w:lang w:eastAsia="ja-JP"/>
        </w:rPr>
        <w:t xml:space="preserve">of the incident wave </w:t>
      </w:r>
      <w:r>
        <w:t>above the horizontal plane</w:t>
      </w:r>
      <w:r>
        <w:rPr>
          <w:lang w:eastAsia="ja-JP"/>
        </w:rPr>
        <w:t>, in degrees.</w:t>
      </w:r>
    </w:p>
    <w:p w:rsidR="00993602" w:rsidRDefault="000B0F7F">
      <w:pPr>
        <w:rPr>
          <w:rFonts w:eastAsia="Calibri"/>
        </w:rPr>
      </w:pPr>
      <w:r>
        <w:rPr>
          <w:rFonts w:eastAsia="Calibri"/>
        </w:rPr>
        <w:t xml:space="preserve">The limits above do take into account 3 dB aggregate </w:t>
      </w:r>
      <w:proofErr w:type="gramStart"/>
      <w:r>
        <w:rPr>
          <w:rFonts w:eastAsia="Calibri"/>
        </w:rPr>
        <w:t>loss</w:t>
      </w:r>
      <w:proofErr w:type="gramEnd"/>
      <w:r>
        <w:rPr>
          <w:rFonts w:eastAsia="Calibri"/>
        </w:rPr>
        <w:t xml:space="preserve"> due to polarization mismatch and body loss was not </w:t>
      </w:r>
      <w:r>
        <w:rPr>
          <w:rFonts w:eastAsia="Calibri"/>
        </w:rPr>
        <w:t>taken into account;</w:t>
      </w:r>
    </w:p>
    <w:p w:rsidR="00993602" w:rsidRDefault="000B0F7F">
      <w:pPr>
        <w:rPr>
          <w:lang w:eastAsia="ja-JP"/>
        </w:rPr>
      </w:pPr>
      <w:r>
        <w:t>4</w:t>
      </w:r>
      <w:r>
        <w:tab/>
      </w:r>
      <w:r>
        <w:rPr>
          <w:lang w:eastAsia="ja-JP"/>
        </w:rPr>
        <w:t xml:space="preserve">that, for the purpose of protecting FSS GSO </w:t>
      </w:r>
      <w:r>
        <w:t>Earth station in the fixed-satellite service (space</w:t>
      </w:r>
      <w:r>
        <w:noBreakHyphen/>
        <w:t xml:space="preserve">to-Earth) </w:t>
      </w:r>
      <w:r>
        <w:rPr>
          <w:lang w:eastAsia="ja-JP"/>
        </w:rPr>
        <w:t>in the territory of other administrations</w:t>
      </w:r>
      <w:proofErr w:type="gramStart"/>
      <w:r>
        <w:rPr>
          <w:lang w:eastAsia="ja-JP"/>
        </w:rPr>
        <w:t>,  the</w:t>
      </w:r>
      <w:proofErr w:type="gramEnd"/>
      <w:r>
        <w:rPr>
          <w:lang w:eastAsia="ja-JP"/>
        </w:rPr>
        <w:t xml:space="preserve"> power flux-density in </w:t>
      </w:r>
      <w:r>
        <w:t xml:space="preserve">the territory of other neighbouring </w:t>
      </w:r>
      <w:r>
        <w:rPr>
          <w:lang w:eastAsia="ja-JP"/>
        </w:rPr>
        <w:t xml:space="preserve">administrations </w:t>
      </w:r>
      <w:r>
        <w:rPr>
          <w:rFonts w:eastAsia="宋体" w:hint="eastAsia"/>
          <w:lang w:val="en-US" w:eastAsia="zh-CN"/>
        </w:rPr>
        <w:t xml:space="preserve">shall </w:t>
      </w:r>
      <w:r>
        <w:rPr>
          <w:rFonts w:eastAsia="宋体" w:hint="eastAsia"/>
          <w:lang w:val="en-US" w:eastAsia="zh-CN"/>
        </w:rPr>
        <w:t>not exceed the following values, unless the explicit agreement of the affected administration is provided at the time of notification of HAPS</w:t>
      </w:r>
      <w:r>
        <w:rPr>
          <w:lang w:eastAsia="ja-JP"/>
        </w:rPr>
        <w:t>: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lang w:eastAsia="ja-JP"/>
        </w:rPr>
      </w:pPr>
      <w:r>
        <w:rPr>
          <w:lang w:eastAsia="ja-JP"/>
        </w:rPr>
        <w:tab/>
        <w:t>−</w:t>
      </w:r>
      <w:r>
        <w:rPr>
          <w:szCs w:val="24"/>
        </w:rPr>
        <w:t>169.9 + 1954 α²</w:t>
      </w:r>
      <w:r>
        <w:rPr>
          <w:lang w:eastAsia="ja-JP"/>
        </w:rPr>
        <w:tab/>
      </w:r>
      <w:proofErr w:type="gramStart"/>
      <w:r>
        <w:rPr>
          <w:szCs w:val="24"/>
        </w:rPr>
        <w:t>dB(</w:t>
      </w:r>
      <w:proofErr w:type="gramEnd"/>
      <w:r>
        <w:rPr>
          <w:szCs w:val="24"/>
        </w:rPr>
        <w:t>W/(m²</w:t>
      </w:r>
      <w:r>
        <w:rPr>
          <w:lang w:eastAsia="ja-JP"/>
        </w:rPr>
        <w:t> </w:t>
      </w:r>
      <w:r>
        <w:rPr>
          <w:rFonts w:eastAsia="宋体"/>
        </w:rPr>
        <w:t>·</w:t>
      </w:r>
      <w:r>
        <w:rPr>
          <w:lang w:eastAsia="ja-JP"/>
        </w:rPr>
        <w:t> </w:t>
      </w:r>
      <w:r>
        <w:rPr>
          <w:szCs w:val="24"/>
        </w:rPr>
        <w:t>MHz))</w:t>
      </w:r>
      <w:r>
        <w:rPr>
          <w:lang w:eastAsia="ja-JP"/>
        </w:rPr>
        <w:t xml:space="preserve">        for</w:t>
      </w:r>
      <w:r>
        <w:rPr>
          <w:lang w:eastAsia="ja-JP"/>
        </w:rPr>
        <w:tab/>
      </w:r>
      <w:r>
        <w:rPr>
          <w:szCs w:val="24"/>
        </w:rPr>
        <w:t>0 ≤ α &lt; 0.136°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lang w:eastAsia="ja-JP"/>
        </w:rPr>
      </w:pPr>
      <w:r>
        <w:rPr>
          <w:lang w:eastAsia="ja-JP"/>
        </w:rPr>
        <w:tab/>
        <w:t>−133.9</w:t>
      </w:r>
      <w:r>
        <w:rPr>
          <w:lang w:eastAsia="ja-JP"/>
        </w:rPr>
        <w:tab/>
      </w:r>
      <w:proofErr w:type="gramStart"/>
      <w:r>
        <w:rPr>
          <w:szCs w:val="24"/>
        </w:rPr>
        <w:t>dB(</w:t>
      </w:r>
      <w:proofErr w:type="gramEnd"/>
      <w:r>
        <w:rPr>
          <w:szCs w:val="24"/>
        </w:rPr>
        <w:t>W/(m²</w:t>
      </w:r>
      <w:r>
        <w:rPr>
          <w:lang w:eastAsia="ja-JP"/>
        </w:rPr>
        <w:t> </w:t>
      </w:r>
      <w:r>
        <w:rPr>
          <w:rFonts w:eastAsia="宋体"/>
        </w:rPr>
        <w:t>·</w:t>
      </w:r>
      <w:r>
        <w:rPr>
          <w:lang w:eastAsia="ja-JP"/>
        </w:rPr>
        <w:t> </w:t>
      </w:r>
      <w:r>
        <w:rPr>
          <w:szCs w:val="24"/>
        </w:rPr>
        <w:t>MHz))</w:t>
      </w:r>
      <w:r>
        <w:rPr>
          <w:lang w:eastAsia="ja-JP"/>
        </w:rPr>
        <w:t xml:space="preserve">        for</w:t>
      </w:r>
      <w:r>
        <w:rPr>
          <w:lang w:eastAsia="ja-JP"/>
        </w:rPr>
        <w:tab/>
      </w:r>
      <w:r>
        <w:rPr>
          <w:szCs w:val="24"/>
        </w:rPr>
        <w:t>0.136° ≤ α &lt; 1°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szCs w:val="24"/>
        </w:rPr>
      </w:pPr>
      <w:r>
        <w:rPr>
          <w:lang w:eastAsia="ja-JP"/>
        </w:rPr>
        <w:tab/>
        <w:t>−</w:t>
      </w:r>
      <w:r>
        <w:rPr>
          <w:szCs w:val="24"/>
        </w:rPr>
        <w:t>133.9 + 25 log α</w:t>
      </w:r>
      <w:r>
        <w:rPr>
          <w:lang w:eastAsia="ja-JP"/>
        </w:rPr>
        <w:tab/>
      </w:r>
      <w:proofErr w:type="gramStart"/>
      <w:r>
        <w:rPr>
          <w:szCs w:val="24"/>
        </w:rPr>
        <w:t>dB(</w:t>
      </w:r>
      <w:proofErr w:type="gramEnd"/>
      <w:r>
        <w:rPr>
          <w:szCs w:val="24"/>
        </w:rPr>
        <w:t>W/(m²</w:t>
      </w:r>
      <w:r>
        <w:rPr>
          <w:lang w:eastAsia="ja-JP"/>
        </w:rPr>
        <w:t> </w:t>
      </w:r>
      <w:r>
        <w:rPr>
          <w:rFonts w:eastAsia="宋体"/>
        </w:rPr>
        <w:t>·</w:t>
      </w:r>
      <w:r>
        <w:rPr>
          <w:lang w:eastAsia="ja-JP"/>
        </w:rPr>
        <w:t> </w:t>
      </w:r>
      <w:r>
        <w:rPr>
          <w:szCs w:val="24"/>
        </w:rPr>
        <w:t>MHz))</w:t>
      </w:r>
      <w:r>
        <w:rPr>
          <w:lang w:eastAsia="ja-JP"/>
        </w:rPr>
        <w:t xml:space="preserve">        for</w:t>
      </w:r>
      <w:r>
        <w:rPr>
          <w:lang w:eastAsia="ja-JP"/>
        </w:rPr>
        <w:tab/>
      </w:r>
      <w:r>
        <w:rPr>
          <w:szCs w:val="24"/>
        </w:rPr>
        <w:t>1° ≤ α &lt; 47.9°</w:t>
      </w:r>
    </w:p>
    <w:p w:rsidR="00993602" w:rsidRDefault="000B0F7F">
      <w:pPr>
        <w:tabs>
          <w:tab w:val="clear" w:pos="1871"/>
          <w:tab w:val="clear" w:pos="2268"/>
          <w:tab w:val="left" w:pos="3544"/>
          <w:tab w:val="right" w:pos="7938"/>
          <w:tab w:val="right" w:pos="9639"/>
        </w:tabs>
        <w:rPr>
          <w:lang w:eastAsia="ja-JP"/>
        </w:rPr>
      </w:pPr>
      <w:r>
        <w:rPr>
          <w:szCs w:val="24"/>
        </w:rPr>
        <w:tab/>
      </w:r>
      <w:r>
        <w:rPr>
          <w:lang w:eastAsia="ja-JP"/>
        </w:rPr>
        <w:t>−</w:t>
      </w:r>
      <w:r>
        <w:rPr>
          <w:szCs w:val="24"/>
        </w:rPr>
        <w:t>91.9</w:t>
      </w:r>
      <w:r>
        <w:rPr>
          <w:szCs w:val="24"/>
        </w:rPr>
        <w:tab/>
      </w:r>
      <w:proofErr w:type="gramStart"/>
      <w:r>
        <w:rPr>
          <w:szCs w:val="24"/>
        </w:rPr>
        <w:t>dB(</w:t>
      </w:r>
      <w:proofErr w:type="gramEnd"/>
      <w:r>
        <w:rPr>
          <w:szCs w:val="24"/>
        </w:rPr>
        <w:t>W/(m²</w:t>
      </w:r>
      <w:r>
        <w:rPr>
          <w:lang w:eastAsia="ja-JP"/>
        </w:rPr>
        <w:t> </w:t>
      </w:r>
      <w:r>
        <w:rPr>
          <w:rFonts w:eastAsia="宋体"/>
        </w:rPr>
        <w:t>·</w:t>
      </w:r>
      <w:r>
        <w:rPr>
          <w:lang w:eastAsia="ja-JP"/>
        </w:rPr>
        <w:t> </w:t>
      </w:r>
      <w:r>
        <w:rPr>
          <w:szCs w:val="24"/>
        </w:rPr>
        <w:t>MHz))</w:t>
      </w:r>
      <w:r>
        <w:rPr>
          <w:lang w:eastAsia="ja-JP"/>
        </w:rPr>
        <w:t xml:space="preserve">        for</w:t>
      </w:r>
      <w:r>
        <w:rPr>
          <w:lang w:eastAsia="ja-JP"/>
        </w:rPr>
        <w:tab/>
      </w:r>
      <w:r>
        <w:rPr>
          <w:szCs w:val="24"/>
        </w:rPr>
        <w:t>47.9° ≤ α ≤ 180°</w:t>
      </w:r>
    </w:p>
    <w:p w:rsidR="00993602" w:rsidRDefault="000B0F7F">
      <w:pPr>
        <w:rPr>
          <w:lang w:eastAsia="ja-JP"/>
        </w:rPr>
      </w:pPr>
      <w:proofErr w:type="gramStart"/>
      <w:r>
        <w:rPr>
          <w:lang w:eastAsia="ja-JP"/>
        </w:rPr>
        <w:t>where</w:t>
      </w:r>
      <w:proofErr w:type="gramEnd"/>
      <w:r>
        <w:rPr>
          <w:lang w:eastAsia="ja-JP"/>
        </w:rPr>
        <w:t xml:space="preserve"> α is the minimum angle between the line to the HAPS (taking into account the HAPS location tolerance) and the lines to the GSO arc in de</w:t>
      </w:r>
      <w:r>
        <w:rPr>
          <w:lang w:eastAsia="ja-JP"/>
        </w:rPr>
        <w:t xml:space="preserve">grees at any point of </w:t>
      </w:r>
      <w:r>
        <w:t xml:space="preserve">the territory of other </w:t>
      </w:r>
      <w:r>
        <w:rPr>
          <w:lang w:eastAsia="ja-JP"/>
        </w:rPr>
        <w:t>administrations.</w:t>
      </w:r>
    </w:p>
    <w:p w:rsidR="00993602" w:rsidRDefault="000B0F7F">
      <w:pPr>
        <w:rPr>
          <w:lang w:eastAsia="ja-JP"/>
        </w:rPr>
      </w:pPr>
      <w:r>
        <w:rPr>
          <w:lang w:eastAsia="ja-JP"/>
        </w:rPr>
        <w:t xml:space="preserve">To calculate the </w:t>
      </w:r>
      <w:proofErr w:type="spellStart"/>
      <w:r>
        <w:rPr>
          <w:lang w:eastAsia="ja-JP"/>
        </w:rPr>
        <w:t>pfd</w:t>
      </w:r>
      <w:proofErr w:type="spellEnd"/>
      <w:r>
        <w:rPr>
          <w:lang w:eastAsia="ja-JP"/>
        </w:rPr>
        <w:t xml:space="preserve"> produced by a HAPS platform, the following equation shall be used:</w:t>
      </w:r>
    </w:p>
    <w:p w:rsidR="00993602" w:rsidRDefault="000B0F7F">
      <w:pPr>
        <w:tabs>
          <w:tab w:val="clear" w:pos="1871"/>
          <w:tab w:val="clear" w:pos="2268"/>
          <w:tab w:val="center" w:pos="4820"/>
          <w:tab w:val="right" w:pos="9639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position w:val="-16"/>
          <w:lang w:eastAsia="ja-JP"/>
        </w:rPr>
        <w:object w:dxaOrig="3580" w:dyaOrig="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95pt;height:22.55pt" o:ole="">
            <v:imagedata r:id="rId15" o:title=""/>
          </v:shape>
          <o:OLEObject Type="Embed" ProgID="Equation.DSMT4" ShapeID="_x0000_i1025" DrawAspect="Content" ObjectID="_1635606289" r:id="rId16"/>
        </w:object>
      </w:r>
    </w:p>
    <w:p w:rsidR="00993602" w:rsidRDefault="000B0F7F">
      <w:pPr>
        <w:shd w:val="clear" w:color="auto" w:fill="FFFFFF"/>
        <w:tabs>
          <w:tab w:val="clear" w:pos="1871"/>
        </w:tabs>
        <w:ind w:left="1134" w:hanging="1134"/>
        <w:rPr>
          <w:lang w:eastAsia="ja-JP"/>
        </w:rPr>
      </w:pPr>
      <w:proofErr w:type="gramStart"/>
      <w:r>
        <w:rPr>
          <w:lang w:eastAsia="ja-JP"/>
        </w:rPr>
        <w:t>where</w:t>
      </w:r>
      <w:proofErr w:type="gramEnd"/>
      <w:r>
        <w:rPr>
          <w:lang w:eastAsia="ja-JP"/>
        </w:rPr>
        <w:t>:</w:t>
      </w:r>
    </w:p>
    <w:p w:rsidR="00993602" w:rsidRDefault="000B0F7F">
      <w:pPr>
        <w:shd w:val="clear" w:color="auto" w:fill="FFFFFF"/>
        <w:tabs>
          <w:tab w:val="clear" w:pos="1134"/>
          <w:tab w:val="clear" w:pos="2268"/>
          <w:tab w:val="right" w:pos="1871"/>
          <w:tab w:val="left" w:pos="2041"/>
        </w:tabs>
        <w:spacing w:before="80"/>
        <w:ind w:left="2041" w:hanging="2041"/>
        <w:rPr>
          <w:lang w:eastAsia="ja-JP"/>
        </w:rPr>
      </w:pPr>
      <w:r>
        <w:rPr>
          <w:lang w:eastAsia="ja-JP"/>
        </w:rPr>
        <w:tab/>
      </w:r>
      <w:proofErr w:type="gramStart"/>
      <w:r>
        <w:rPr>
          <w:i/>
          <w:lang w:eastAsia="ja-JP"/>
        </w:rPr>
        <w:t>d</w:t>
      </w:r>
      <w:proofErr w:type="gramEnd"/>
      <w:r>
        <w:rPr>
          <w:iCs/>
          <w:lang w:eastAsia="ja-JP"/>
        </w:rPr>
        <w:t>:</w:t>
      </w:r>
      <w:r>
        <w:rPr>
          <w:i/>
          <w:lang w:eastAsia="ja-JP"/>
        </w:rPr>
        <w:t xml:space="preserve"> </w:t>
      </w:r>
      <w:r>
        <w:rPr>
          <w:lang w:eastAsia="ja-JP"/>
        </w:rPr>
        <w:tab/>
        <w:t>distance between the HAPS and the GSO FSS earth station (m);</w:t>
      </w:r>
    </w:p>
    <w:p w:rsidR="00993602" w:rsidRDefault="000B0F7F">
      <w:pPr>
        <w:shd w:val="clear" w:color="auto" w:fill="FFFFFF"/>
        <w:tabs>
          <w:tab w:val="clear" w:pos="1134"/>
          <w:tab w:val="clear" w:pos="2268"/>
          <w:tab w:val="right" w:pos="1871"/>
          <w:tab w:val="left" w:pos="2041"/>
        </w:tabs>
        <w:spacing w:before="80"/>
        <w:ind w:left="2041" w:hanging="2041"/>
        <w:rPr>
          <w:lang w:eastAsia="ja-JP"/>
        </w:rPr>
      </w:pPr>
      <w:r>
        <w:rPr>
          <w:i/>
          <w:iCs/>
          <w:lang w:eastAsia="ja-JP"/>
        </w:rPr>
        <w:tab/>
      </w:r>
      <w:proofErr w:type="spellStart"/>
      <w:r>
        <w:rPr>
          <w:i/>
          <w:lang w:eastAsia="ja-JP"/>
        </w:rPr>
        <w:t>Att</w:t>
      </w:r>
      <w:r>
        <w:rPr>
          <w:i/>
          <w:vertAlign w:val="subscript"/>
          <w:lang w:eastAsia="ja-JP"/>
        </w:rPr>
        <w:t>gaz</w:t>
      </w:r>
      <w:proofErr w:type="spellEnd"/>
      <w:r>
        <w:rPr>
          <w:iCs/>
          <w:lang w:eastAsia="ja-JP"/>
        </w:rPr>
        <w:t xml:space="preserve">: </w:t>
      </w:r>
      <w:r>
        <w:rPr>
          <w:iCs/>
          <w:lang w:eastAsia="ja-JP"/>
        </w:rPr>
        <w:tab/>
        <w:t xml:space="preserve">attenuation due to atmospheric gases on the </w:t>
      </w:r>
      <w:r>
        <w:rPr>
          <w:lang w:eastAsia="ja-JP"/>
        </w:rPr>
        <w:t xml:space="preserve">HAPS to GSO FSS earth station path in dB (Rec ITU-R P.676); </w:t>
      </w:r>
    </w:p>
    <w:p w:rsidR="00993602" w:rsidRDefault="000B0F7F">
      <w:pPr>
        <w:shd w:val="clear" w:color="auto" w:fill="FFFFFF"/>
        <w:tabs>
          <w:tab w:val="clear" w:pos="1134"/>
          <w:tab w:val="clear" w:pos="2268"/>
          <w:tab w:val="right" w:pos="1871"/>
          <w:tab w:val="left" w:pos="2041"/>
        </w:tabs>
        <w:spacing w:before="80"/>
        <w:ind w:left="2041" w:hanging="2041"/>
        <w:rPr>
          <w:lang w:eastAsia="ja-JP"/>
        </w:rPr>
      </w:pPr>
      <w:r>
        <w:rPr>
          <w:lang w:eastAsia="ja-JP"/>
        </w:rPr>
        <w:tab/>
      </w:r>
      <w:proofErr w:type="spellStart"/>
      <w:r>
        <w:rPr>
          <w:i/>
          <w:lang w:eastAsia="ja-JP"/>
        </w:rPr>
        <w:t>e.i.r.p</w:t>
      </w:r>
      <w:proofErr w:type="spellEnd"/>
      <w:r>
        <w:rPr>
          <w:iCs/>
          <w:lang w:eastAsia="ja-JP"/>
        </w:rPr>
        <w:t>:</w:t>
      </w:r>
      <w:r>
        <w:rPr>
          <w:lang w:eastAsia="ja-JP"/>
        </w:rPr>
        <w:tab/>
        <w:t xml:space="preserve">maximum HAPS </w:t>
      </w:r>
      <w:proofErr w:type="spellStart"/>
      <w:r>
        <w:rPr>
          <w:lang w:eastAsia="ja-JP"/>
        </w:rPr>
        <w:t>e.i.r.p</w:t>
      </w:r>
      <w:proofErr w:type="spellEnd"/>
      <w:r>
        <w:rPr>
          <w:lang w:eastAsia="ja-JP"/>
        </w:rPr>
        <w:t xml:space="preserve">. spectral density in the direction of the GSO FSS earth station in </w:t>
      </w:r>
      <w:proofErr w:type="gramStart"/>
      <w:r>
        <w:rPr>
          <w:lang w:eastAsia="ja-JP"/>
        </w:rPr>
        <w:t>dB(</w:t>
      </w:r>
      <w:proofErr w:type="gramEnd"/>
      <w:r>
        <w:rPr>
          <w:lang w:eastAsia="ja-JP"/>
        </w:rPr>
        <w:t>W/MHz);</w:t>
      </w:r>
    </w:p>
    <w:p w:rsidR="00993602" w:rsidRDefault="000B0F7F">
      <w:pPr>
        <w:shd w:val="clear" w:color="auto" w:fill="FFFFFF"/>
        <w:rPr>
          <w:lang w:eastAsia="ja-JP"/>
        </w:rPr>
      </w:pPr>
      <w:r>
        <w:t>5</w:t>
      </w:r>
      <w:r>
        <w:tab/>
      </w:r>
      <w:r>
        <w:t xml:space="preserve">that, for the purpose of protecting FSS non-GSO systems in the fixed satellite service (space-to-Earth) </w:t>
      </w:r>
      <w:r>
        <w:rPr>
          <w:lang w:eastAsia="ja-JP"/>
        </w:rPr>
        <w:t xml:space="preserve">in the territory of other administrations from </w:t>
      </w:r>
      <w:r>
        <w:rPr>
          <w:rFonts w:eastAsia="宋体" w:hint="eastAsia"/>
          <w:lang w:val="en-US" w:eastAsia="zh-CN"/>
        </w:rPr>
        <w:t xml:space="preserve">HAPS </w:t>
      </w:r>
      <w:proofErr w:type="gramStart"/>
      <w:r>
        <w:rPr>
          <w:lang w:eastAsia="ja-JP"/>
        </w:rPr>
        <w:t>interference ,</w:t>
      </w:r>
      <w:proofErr w:type="gramEnd"/>
      <w:r>
        <w:rPr>
          <w:lang w:eastAsia="ja-JP"/>
        </w:rPr>
        <w:t xml:space="preserve"> </w:t>
      </w:r>
      <w:r>
        <w:t xml:space="preserve">Administrations </w:t>
      </w:r>
      <w:r>
        <w:lastRenderedPageBreak/>
        <w:t>implementing HAPS shall seek explicit agreement with any other Admini</w:t>
      </w:r>
      <w:r>
        <w:t>stration when</w:t>
      </w:r>
      <w:r>
        <w:rPr>
          <w:lang w:eastAsia="zh-CN"/>
        </w:rPr>
        <w:t xml:space="preserve"> </w:t>
      </w:r>
      <w:r>
        <w:rPr>
          <w:lang w:eastAsia="ja-JP"/>
        </w:rPr>
        <w:t xml:space="preserve">the distance between the HAPS nadir point and any point of such other administration’s border is less than </w:t>
      </w:r>
      <w:r>
        <w:rPr>
          <w:lang w:eastAsia="zh-CN"/>
        </w:rPr>
        <w:t xml:space="preserve">the distance calculated by the following formula, where the </w:t>
      </w:r>
      <w:r>
        <w:t>minimum earth station elevation angle</w:t>
      </w:r>
      <w:r>
        <w:rPr>
          <w:lang w:eastAsia="zh-CN"/>
        </w:rPr>
        <w:t xml:space="preserve"> is 10 degrees. This does not preclude lower elevation angles to be used for the operation of earth stations. This distance can be decreased by</w:t>
      </w:r>
      <w:r>
        <w:t xml:space="preserve"> explicit agreement of affected administrations</w:t>
      </w:r>
      <w:r>
        <w:rPr>
          <w:lang w:eastAsia="ja-JP"/>
        </w:rPr>
        <w:t xml:space="preserve"> on a case by case basis;</w:t>
      </w:r>
    </w:p>
    <w:p w:rsidR="00993602" w:rsidRDefault="00993602">
      <w:pPr>
        <w:shd w:val="clear" w:color="auto" w:fill="FFFFFF"/>
        <w:rPr>
          <w:lang w:eastAsia="zh-CN"/>
        </w:rPr>
      </w:pPr>
    </w:p>
    <w:p w:rsidR="00993602" w:rsidRDefault="000B0F7F">
      <m:oMathPara>
        <m:oMathParaPr>
          <m:jc m:val="center"/>
        </m:oMathParaPr>
        <m:oMath>
          <m:r>
            <w:rPr>
              <w:rFonts w:ascii="Cambria Math" w:hAnsi="Cambria Math" w:hint="eastAsia"/>
            </w:rPr>
            <m:t>d</m:t>
          </m:r>
          <m: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πR</m:t>
              </m:r>
            </m:num>
            <m:den>
              <m:r>
                <w:rPr>
                  <w:rFonts w:ascii="Cambria Math" w:hAnsi="Cambria Math" w:hint="eastAsia"/>
                </w:rPr>
                <m:t>180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90-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asin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hint="eastAsia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  <m:r>
                            <w:rPr>
                              <w:rFonts w:ascii="Cambria Math" w:hAnsi="Cambria Math"/>
                            </w:rPr>
                            <m:t>+h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cosθ</m:t>
                      </m:r>
                    </m:e>
                  </m:d>
                </m:e>
              </m:func>
            </m:e>
          </m:d>
        </m:oMath>
      </m:oMathPara>
    </w:p>
    <w:p w:rsidR="00993602" w:rsidRDefault="00993602"/>
    <w:p w:rsidR="00993602" w:rsidRDefault="000B0F7F">
      <w:proofErr w:type="gramStart"/>
      <w:r>
        <w:t>where</w:t>
      </w:r>
      <w:proofErr w:type="gramEnd"/>
      <w:r>
        <w:t>:</w:t>
      </w:r>
    </w:p>
    <w:p w:rsidR="00993602" w:rsidRDefault="000B0F7F">
      <w:pPr>
        <w:tabs>
          <w:tab w:val="left" w:pos="567"/>
        </w:tabs>
      </w:pPr>
      <w:r>
        <w:tab/>
      </w:r>
      <w:r>
        <w:rPr>
          <w:i/>
          <w:iCs/>
        </w:rPr>
        <w:t>R</w:t>
      </w:r>
      <w:r>
        <w:t xml:space="preserve"> is the Earth radius (6371 km)</w:t>
      </w:r>
    </w:p>
    <w:p w:rsidR="00993602" w:rsidRDefault="000B0F7F">
      <w:pPr>
        <w:tabs>
          <w:tab w:val="clear" w:pos="1134"/>
          <w:tab w:val="left" w:pos="567"/>
        </w:tabs>
      </w:pPr>
      <w:r>
        <w:tab/>
      </w:r>
      <w:r>
        <w:sym w:font="Symbol" w:char="F071"/>
      </w:r>
      <w:r>
        <w:t xml:space="preserve"> </w:t>
      </w:r>
      <w:proofErr w:type="gramStart"/>
      <w:r>
        <w:t>is</w:t>
      </w:r>
      <w:proofErr w:type="gramEnd"/>
      <w:r>
        <w:t xml:space="preserve"> the minimum elevation angle at the non-GSO FSS earth station (10°)</w:t>
      </w:r>
    </w:p>
    <w:p w:rsidR="00993602" w:rsidRDefault="000B0F7F">
      <w:pPr>
        <w:tabs>
          <w:tab w:val="clear" w:pos="1134"/>
          <w:tab w:val="left" w:pos="567"/>
        </w:tabs>
      </w:pPr>
      <w:r>
        <w:tab/>
      </w:r>
      <w:proofErr w:type="gramStart"/>
      <w:r>
        <w:rPr>
          <w:i/>
          <w:iCs/>
        </w:rPr>
        <w:t>h</w:t>
      </w:r>
      <w:proofErr w:type="gramEnd"/>
      <w:r>
        <w:t xml:space="preserve"> is the HAPS altitude (km)</w:t>
      </w:r>
    </w:p>
    <w:p w:rsidR="00993602" w:rsidRDefault="000B0F7F">
      <w:r>
        <w:t>6</w:t>
      </w:r>
      <w:r>
        <w:tab/>
        <w:t>that, in making assignments to HAPS systems (HAPS ground stations and HAPS) in the fixed service in the frequency band 3</w:t>
      </w:r>
      <w:r>
        <w:t>8-39.5 GHz, administrations shall protect the space research service (SRS) (space-to-Earth) in the frequency band 37-38 GHz from harmful interference by unwanted emissions, taking into account the space research service (space-to-Earth) protection level of</w:t>
      </w:r>
      <w:r>
        <w:t xml:space="preserve"> </w:t>
      </w:r>
      <w:r>
        <w:rPr>
          <w:lang w:eastAsia="ja-JP"/>
        </w:rPr>
        <w:t>−</w:t>
      </w:r>
      <w:r>
        <w:t xml:space="preserve">217 dB(W/Hz) at the input of the SRS receiver with 0.001% </w:t>
      </w:r>
      <w:proofErr w:type="spellStart"/>
      <w:r>
        <w:t>exceedance</w:t>
      </w:r>
      <w:proofErr w:type="spellEnd"/>
      <w:r>
        <w:t xml:space="preserve"> due to atmospheric and precipitation effects as referred in the relevant ITU-R Recommendations;</w:t>
      </w:r>
    </w:p>
    <w:p w:rsidR="00993602" w:rsidRDefault="000B0F7F">
      <w:pPr>
        <w:rPr>
          <w:shd w:val="clear" w:color="auto" w:fill="FFFFFF"/>
        </w:rPr>
      </w:pPr>
      <w:r>
        <w:t>7</w:t>
      </w:r>
      <w:r>
        <w:tab/>
      </w:r>
      <w:r>
        <w:rPr>
          <w:shd w:val="clear" w:color="auto" w:fill="FFFFFF"/>
        </w:rPr>
        <w:t>that for the purpose of protecting mobile service systems operating in the frequency ba</w:t>
      </w:r>
      <w:r>
        <w:rPr>
          <w:shd w:val="clear" w:color="auto" w:fill="FFFFFF"/>
        </w:rPr>
        <w:t xml:space="preserve">nd 38-39.5 GHz in neighbouring administrations, coordination of a transmitting HAPS ground station is required when the power flux-density in dB(W/m²/MHz) at the border of a neighbouring administration exceeds a </w:t>
      </w:r>
      <w:proofErr w:type="spellStart"/>
      <w:r>
        <w:rPr>
          <w:shd w:val="clear" w:color="auto" w:fill="FFFFFF"/>
        </w:rPr>
        <w:t>pfd</w:t>
      </w:r>
      <w:proofErr w:type="spellEnd"/>
      <w:r>
        <w:rPr>
          <w:shd w:val="clear" w:color="auto" w:fill="FFFFFF"/>
        </w:rPr>
        <w:t xml:space="preserve"> limit of −110.8 dB(W/m²/MHz)</w:t>
      </w:r>
      <w:r>
        <w:rPr>
          <w:lang w:val="en-US"/>
        </w:rPr>
        <w:t xml:space="preserve"> and the </w:t>
      </w:r>
      <w:proofErr w:type="spellStart"/>
      <w:r>
        <w:rPr>
          <w:lang w:val="en-US"/>
        </w:rPr>
        <w:t>pfd</w:t>
      </w:r>
      <w:proofErr w:type="spellEnd"/>
      <w:r>
        <w:rPr>
          <w:lang w:val="en-US"/>
        </w:rPr>
        <w:t xml:space="preserve"> values shall be verified considering a percentage of time of 1% in the relevant propagation model (recommendation  ITU-R P.452) and a mobile station antenna height of 20 m</w:t>
      </w:r>
      <w:r>
        <w:rPr>
          <w:shd w:val="clear" w:color="auto" w:fill="FFFFFF"/>
        </w:rPr>
        <w:t>;</w:t>
      </w:r>
    </w:p>
    <w:p w:rsidR="00993602" w:rsidRDefault="000B0F7F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ab/>
        <w:t>that for the purpose of protecting FSS GSO and NGSO earth station systems in the</w:t>
      </w:r>
      <w:r>
        <w:rPr>
          <w:lang w:val="en-US"/>
        </w:rPr>
        <w:t xml:space="preserve"> fixed-satellite service (space to-Earth) in </w:t>
      </w:r>
      <w:proofErr w:type="spellStart"/>
      <w:r>
        <w:rPr>
          <w:lang w:val="en-US"/>
        </w:rPr>
        <w:t>neighbouring</w:t>
      </w:r>
      <w:proofErr w:type="spellEnd"/>
      <w:r>
        <w:rPr>
          <w:lang w:val="en-US"/>
        </w:rPr>
        <w:t xml:space="preserve"> administrations, coordination of a transmitting HAPS ground station is required when the power flux-density in dB(W/m²/MHz) at the border of a neighboring administration exceeds a </w:t>
      </w:r>
      <w:proofErr w:type="spellStart"/>
      <w:r>
        <w:rPr>
          <w:lang w:val="en-US"/>
        </w:rPr>
        <w:t>pfd</w:t>
      </w:r>
      <w:proofErr w:type="spellEnd"/>
      <w:r>
        <w:rPr>
          <w:lang w:val="en-US"/>
        </w:rPr>
        <w:t xml:space="preserve"> limit of −111.</w:t>
      </w:r>
      <w:r>
        <w:rPr>
          <w:lang w:val="en-US"/>
        </w:rPr>
        <w:t xml:space="preserve">3 dB(W/m²/MHz) for NGSO operations and −108.9 dB(W/m²/MHz) for GSO operations and the </w:t>
      </w:r>
      <w:proofErr w:type="spellStart"/>
      <w:r>
        <w:rPr>
          <w:lang w:val="en-US"/>
        </w:rPr>
        <w:t>pfd</w:t>
      </w:r>
      <w:proofErr w:type="spellEnd"/>
      <w:r>
        <w:rPr>
          <w:lang w:val="en-US"/>
        </w:rPr>
        <w:t xml:space="preserve"> values shall be verified considering a percentage of time of 20% in the relevant propagation model (Recommendation ITU-R P.452) and an FSS Earth station antenna heigh</w:t>
      </w:r>
      <w:r>
        <w:rPr>
          <w:lang w:val="en-US"/>
        </w:rPr>
        <w:t>t of 10 m;</w:t>
      </w:r>
    </w:p>
    <w:p w:rsidR="00993602" w:rsidRDefault="000B0F7F">
      <w:r>
        <w:t>9</w:t>
      </w:r>
      <w:r>
        <w:tab/>
        <w:t xml:space="preserve">that administrations planning to implement a HAPS system in the </w:t>
      </w:r>
      <w:r>
        <w:rPr>
          <w:szCs w:val="24"/>
        </w:rPr>
        <w:t xml:space="preserve">frequency band 38-39.5 GHz </w:t>
      </w:r>
      <w:r>
        <w:t>shall notify the frequency assignments by submitting all mandatory elements of Appendix </w:t>
      </w:r>
      <w:r>
        <w:rPr>
          <w:b/>
          <w:bCs/>
        </w:rPr>
        <w:t>4</w:t>
      </w:r>
      <w:r>
        <w:t xml:space="preserve"> to the Bureau for the examination of compliance with respect t</w:t>
      </w:r>
      <w:r>
        <w:t>o this resolution with a view</w:t>
      </w:r>
      <w:r>
        <w:rPr>
          <w:shd w:val="clear" w:color="auto" w:fill="FFFFFF" w:themeFill="background1"/>
        </w:rPr>
        <w:t xml:space="preserve"> to their registration in the Master International Frequency Register,</w:t>
      </w:r>
    </w:p>
    <w:p w:rsidR="00993602" w:rsidRDefault="000B0F7F">
      <w:pPr>
        <w:keepNext/>
        <w:keepLines/>
        <w:spacing w:before="160"/>
        <w:ind w:left="1134"/>
        <w:rPr>
          <w:i/>
        </w:rPr>
      </w:pPr>
      <w:proofErr w:type="gramStart"/>
      <w:r>
        <w:rPr>
          <w:i/>
        </w:rPr>
        <w:t>instructs</w:t>
      </w:r>
      <w:proofErr w:type="gramEnd"/>
      <w:r>
        <w:rPr>
          <w:i/>
        </w:rPr>
        <w:t xml:space="preserve"> the Director of the </w:t>
      </w:r>
      <w:proofErr w:type="spellStart"/>
      <w:r>
        <w:rPr>
          <w:i/>
        </w:rPr>
        <w:t>Radiocommunication</w:t>
      </w:r>
      <w:proofErr w:type="spellEnd"/>
      <w:r>
        <w:rPr>
          <w:i/>
        </w:rPr>
        <w:t xml:space="preserve"> Bureau</w:t>
      </w:r>
    </w:p>
    <w:p w:rsidR="00993602" w:rsidRDefault="000B0F7F">
      <w:proofErr w:type="gramStart"/>
      <w:r>
        <w:t>to</w:t>
      </w:r>
      <w:proofErr w:type="gramEnd"/>
      <w:r>
        <w:t xml:space="preserve"> take all necessary measures to implement this Resolution,</w:t>
      </w:r>
    </w:p>
    <w:p w:rsidR="00993602" w:rsidRDefault="000B0F7F">
      <w:pPr>
        <w:keepNext/>
        <w:keepLines/>
        <w:spacing w:before="160"/>
        <w:ind w:left="1134"/>
        <w:rPr>
          <w:i/>
        </w:rPr>
      </w:pPr>
      <w:proofErr w:type="gramStart"/>
      <w:r>
        <w:rPr>
          <w:i/>
        </w:rPr>
        <w:t>invites</w:t>
      </w:r>
      <w:proofErr w:type="gramEnd"/>
      <w:r>
        <w:rPr>
          <w:i/>
        </w:rPr>
        <w:t xml:space="preserve"> the ITU-R</w:t>
      </w:r>
    </w:p>
    <w:p w:rsidR="00993602" w:rsidRDefault="000B0F7F">
      <w:proofErr w:type="gramStart"/>
      <w:r>
        <w:t>to</w:t>
      </w:r>
      <w:proofErr w:type="gramEnd"/>
      <w:r>
        <w:t xml:space="preserve"> develop a Recommen</w:t>
      </w:r>
      <w:r>
        <w:t>dation to provide technical guidance to facilitate the implementation of HAPS operations while ensuring the protection of non-GSO FSS earth stations.</w:t>
      </w:r>
    </w:p>
    <w:p w:rsidR="00993602" w:rsidRDefault="00993602">
      <w:pPr>
        <w:pStyle w:val="Reasons"/>
      </w:pPr>
    </w:p>
    <w:p w:rsidR="00993602" w:rsidRDefault="000B0F7F">
      <w:pPr>
        <w:pStyle w:val="Headingb"/>
        <w:keepNext/>
        <w:spacing w:after="240"/>
        <w:jc w:val="center"/>
        <w:rPr>
          <w:lang w:val="en-GB"/>
        </w:rPr>
      </w:pPr>
      <w:r>
        <w:rPr>
          <w:lang w:val="en-GB"/>
        </w:rPr>
        <w:lastRenderedPageBreak/>
        <w:t>Alternative 3 (Worldwide identification ground to HAPS)</w:t>
      </w:r>
    </w:p>
    <w:p w:rsidR="00993602" w:rsidRDefault="000B0F7F">
      <w:pPr>
        <w:pStyle w:val="ArtNo"/>
        <w:spacing w:before="0"/>
        <w:rPr>
          <w:lang w:val="en-AU"/>
        </w:rPr>
      </w:pPr>
      <w:r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</w:p>
    <w:p w:rsidR="00993602" w:rsidRDefault="000B0F7F">
      <w:pPr>
        <w:pStyle w:val="Arttitle"/>
        <w:rPr>
          <w:lang w:val="en-US"/>
        </w:rPr>
      </w:pPr>
      <w:r>
        <w:t>Frequency allocations</w:t>
      </w:r>
    </w:p>
    <w:p w:rsidR="00993602" w:rsidRDefault="000B0F7F">
      <w:pPr>
        <w:pStyle w:val="Section1"/>
        <w:keepNext/>
      </w:pPr>
      <w:r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>
        <w:rPr>
          <w:b w:val="0"/>
          <w:bCs/>
        </w:rPr>
        <w:t xml:space="preserve">(See No. </w:t>
      </w:r>
      <w:r>
        <w:t>2.1</w:t>
      </w:r>
      <w:r>
        <w:rPr>
          <w:b w:val="0"/>
          <w:bCs/>
        </w:rPr>
        <w:t>)</w:t>
      </w:r>
      <w:r>
        <w:rPr>
          <w:b w:val="0"/>
          <w:bCs/>
        </w:rPr>
        <w:br/>
      </w:r>
      <w:r>
        <w:br/>
      </w:r>
    </w:p>
    <w:p w:rsidR="00993602" w:rsidRDefault="000B0F7F">
      <w:pPr>
        <w:pStyle w:val="Proposal"/>
      </w:pPr>
      <w:r>
        <w:t>MOD</w:t>
      </w:r>
      <w:r>
        <w:tab/>
        <w:t>WG4B/406/5</w:t>
      </w:r>
      <w:r>
        <w:rPr>
          <w:vanish/>
          <w:color w:val="7F7F7F" w:themeColor="text1" w:themeTint="80"/>
          <w:vertAlign w:val="superscript"/>
        </w:rPr>
        <w:t>#50573</w:t>
      </w:r>
    </w:p>
    <w:p w:rsidR="00993602" w:rsidRDefault="000B0F7F">
      <w:pPr>
        <w:pStyle w:val="Tabletitle"/>
      </w:pPr>
      <w:r>
        <w:t>34.2-40 GHz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99360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2" w:rsidRDefault="000B0F7F">
            <w:pPr>
              <w:pStyle w:val="Tablehead"/>
            </w:pPr>
            <w:r>
              <w:t>Allocation to services</w:t>
            </w:r>
          </w:p>
        </w:tc>
      </w:tr>
      <w:tr w:rsidR="0099360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02" w:rsidRDefault="000B0F7F">
            <w:pPr>
              <w:pStyle w:val="Tablehead"/>
            </w:pPr>
            <w:r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02" w:rsidRDefault="000B0F7F">
            <w:pPr>
              <w:pStyle w:val="Tablehead"/>
            </w:pPr>
            <w: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02" w:rsidRDefault="000B0F7F">
            <w:pPr>
              <w:pStyle w:val="Tablehead"/>
            </w:pPr>
            <w:r>
              <w:t>Region 3</w:t>
            </w:r>
          </w:p>
        </w:tc>
      </w:tr>
      <w:tr w:rsidR="0099360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2" w:rsidRDefault="000B0F7F">
            <w:pPr>
              <w:pStyle w:val="TableTextS5"/>
              <w:rPr>
                <w:color w:val="000000"/>
              </w:rPr>
            </w:pPr>
            <w:r>
              <w:rPr>
                <w:rStyle w:val="Tablefreq"/>
              </w:rPr>
              <w:t>38-39.5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FIXED</w:t>
            </w:r>
            <w:r>
              <w:rPr>
                <w:color w:val="000000"/>
              </w:rPr>
              <w:t xml:space="preserve">  </w:t>
            </w:r>
            <w:r>
              <w:t>ADD</w:t>
            </w:r>
            <w:r>
              <w:rPr>
                <w:rStyle w:val="Artref"/>
              </w:rPr>
              <w:t xml:space="preserve"> 5.</w:t>
            </w:r>
            <w:r>
              <w:rPr>
                <w:rStyle w:val="Artref"/>
              </w:rPr>
              <w:t>G</w:t>
            </w:r>
            <w:r>
              <w:rPr>
                <w:rStyle w:val="Artref"/>
              </w:rPr>
              <w:t>114</w:t>
            </w:r>
          </w:p>
          <w:p w:rsidR="00993602" w:rsidRDefault="000B0F7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tab/>
              <w:t>FIXED-SATELLITE (space-to-Earth)</w:t>
            </w:r>
          </w:p>
          <w:p w:rsidR="00993602" w:rsidRDefault="000B0F7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tab/>
              <w:t>MOBILE</w:t>
            </w:r>
          </w:p>
          <w:p w:rsidR="00993602" w:rsidRDefault="000B0F7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Earth exploration-satellite (space-to-Earth) </w:t>
            </w:r>
          </w:p>
          <w:p w:rsidR="00993602" w:rsidRDefault="000B0F7F">
            <w:pPr>
              <w:pStyle w:val="TableTextS5"/>
              <w:rPr>
                <w:rStyle w:val="Artref"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rStyle w:val="Artref"/>
                <w:color w:val="000000"/>
              </w:rPr>
              <w:t>5.547</w:t>
            </w:r>
          </w:p>
        </w:tc>
      </w:tr>
    </w:tbl>
    <w:p w:rsidR="00993602" w:rsidRDefault="00993602"/>
    <w:p w:rsidR="00993602" w:rsidRDefault="00993602">
      <w:pPr>
        <w:pStyle w:val="Reasons"/>
      </w:pPr>
    </w:p>
    <w:p w:rsidR="00993602" w:rsidRDefault="000B0F7F">
      <w:pPr>
        <w:pStyle w:val="Proposal"/>
      </w:pPr>
      <w:r>
        <w:t>ADD</w:t>
      </w:r>
      <w:r>
        <w:tab/>
        <w:t>WG4B/406/6</w:t>
      </w:r>
      <w:r>
        <w:rPr>
          <w:vanish/>
          <w:color w:val="7F7F7F" w:themeColor="text1" w:themeTint="80"/>
          <w:vertAlign w:val="superscript"/>
        </w:rPr>
        <w:t>#50574</w:t>
      </w:r>
    </w:p>
    <w:p w:rsidR="00993602" w:rsidRDefault="000B0F7F">
      <w:pPr>
        <w:pStyle w:val="Note"/>
        <w:shd w:val="clear" w:color="auto" w:fill="FFFFFF" w:themeFill="background1"/>
        <w:rPr>
          <w:sz w:val="16"/>
        </w:rPr>
      </w:pPr>
      <w:proofErr w:type="gramStart"/>
      <w:r>
        <w:rPr>
          <w:rStyle w:val="Artdef"/>
        </w:rPr>
        <w:t>5.G114</w:t>
      </w:r>
      <w:proofErr w:type="gramEnd"/>
      <w:r>
        <w:tab/>
      </w:r>
      <w:r>
        <w:rPr>
          <w:lang w:val="en-US"/>
        </w:rPr>
        <w:t xml:space="preserve">The allocation to the fixed service in the band 38-39.5 GHz is identified for worldwide use by high-altitude platform stations (HAPS). Such use of the fixed-service allocation by HAPS is limited to the ground-to-HAPS direction. </w:t>
      </w:r>
      <w:r>
        <w:t>This identification does not</w:t>
      </w:r>
      <w:r>
        <w:t xml:space="preserve"> preclude the use of this frequency band by other fixed service applications or by other services to which this band is allocated on a co-primary basis and does not establish priority in the Radio Regulations.</w:t>
      </w:r>
      <w:r>
        <w:rPr>
          <w:lang w:val="en-US"/>
        </w:rPr>
        <w:t xml:space="preserve"> </w:t>
      </w:r>
      <w:r>
        <w:t xml:space="preserve">See Resolution </w:t>
      </w:r>
      <w:r>
        <w:rPr>
          <w:b/>
          <w:bCs/>
        </w:rPr>
        <w:t>[TBD]</w:t>
      </w:r>
      <w:r>
        <w:rPr>
          <w:b/>
        </w:rPr>
        <w:t xml:space="preserve"> (WRC</w:t>
      </w:r>
      <w:r>
        <w:rPr>
          <w:b/>
        </w:rPr>
        <w:noBreakHyphen/>
        <w:t>19)</w:t>
      </w:r>
      <w:r>
        <w:t>.</w:t>
      </w:r>
      <w:r>
        <w:rPr>
          <w:sz w:val="16"/>
          <w:szCs w:val="16"/>
          <w:lang w:val="en-US"/>
        </w:rPr>
        <w:t xml:space="preserve">     (WRC</w:t>
      </w:r>
      <w:r>
        <w:rPr>
          <w:sz w:val="16"/>
          <w:szCs w:val="16"/>
          <w:lang w:val="en-US"/>
        </w:rPr>
        <w:noBreakHyphen/>
        <w:t>19)</w:t>
      </w:r>
    </w:p>
    <w:p w:rsidR="00993602" w:rsidRDefault="00993602">
      <w:pPr>
        <w:pStyle w:val="Reasons"/>
      </w:pPr>
    </w:p>
    <w:p w:rsidR="00993602" w:rsidRDefault="000B0F7F">
      <w:pPr>
        <w:pStyle w:val="Proposal"/>
      </w:pPr>
      <w:bookmarkStart w:id="7" w:name="OLE_LINK4"/>
      <w:r>
        <w:t>A</w:t>
      </w:r>
      <w:r>
        <w:t>DD</w:t>
      </w:r>
      <w:r>
        <w:tab/>
        <w:t>WG4B/406/7</w:t>
      </w:r>
      <w:bookmarkEnd w:id="7"/>
      <w:r>
        <w:rPr>
          <w:vanish/>
          <w:color w:val="7F7F7F" w:themeColor="text1" w:themeTint="80"/>
          <w:vertAlign w:val="superscript"/>
        </w:rPr>
        <w:t>#72623</w:t>
      </w:r>
    </w:p>
    <w:p w:rsidR="00993602" w:rsidRDefault="000B0F7F">
      <w:pPr>
        <w:pStyle w:val="ResNo"/>
      </w:pPr>
      <w:r>
        <w:t>draFt new RESOLUTION [TBD] (WRC</w:t>
      </w:r>
      <w:r>
        <w:noBreakHyphen/>
        <w:t>19)</w:t>
      </w:r>
    </w:p>
    <w:p w:rsidR="00993602" w:rsidRDefault="000B0F7F">
      <w:pPr>
        <w:pStyle w:val="Restitle"/>
        <w:rPr>
          <w:lang w:eastAsia="ja-JP"/>
        </w:rPr>
      </w:pPr>
      <w:r>
        <w:rPr>
          <w:rFonts w:eastAsiaTheme="minorEastAsia" w:cs="Times New Roman Bold"/>
          <w:bCs/>
        </w:rPr>
        <w:t>U</w:t>
      </w:r>
      <w:r>
        <w:rPr>
          <w:rFonts w:eastAsiaTheme="minorHAnsi"/>
        </w:rPr>
        <w:t xml:space="preserve">se of the band 38-39.5 GHz by high altitude platform </w:t>
      </w:r>
      <w:r>
        <w:rPr>
          <w:rFonts w:eastAsiaTheme="minorHAnsi"/>
        </w:rPr>
        <w:br/>
        <w:t>stations in the fixed service</w:t>
      </w:r>
    </w:p>
    <w:p w:rsidR="00993602" w:rsidRDefault="000B0F7F">
      <w:pPr>
        <w:pStyle w:val="Normalaftertitle1"/>
      </w:pPr>
      <w:r>
        <w:t xml:space="preserve">The World </w:t>
      </w:r>
      <w:proofErr w:type="spellStart"/>
      <w:r>
        <w:t>Radiocommunication</w:t>
      </w:r>
      <w:proofErr w:type="spellEnd"/>
      <w:r>
        <w:t xml:space="preserve"> Conference (</w:t>
      </w:r>
      <w:proofErr w:type="spellStart"/>
      <w:r>
        <w:t>Sharm</w:t>
      </w:r>
      <w:proofErr w:type="spellEnd"/>
      <w:r>
        <w:t xml:space="preserve"> el-Sheikh, 2019),</w:t>
      </w:r>
    </w:p>
    <w:p w:rsidR="00993602" w:rsidRDefault="000B0F7F">
      <w:pPr>
        <w:pStyle w:val="Call"/>
      </w:pPr>
      <w:proofErr w:type="gramStart"/>
      <w:r>
        <w:t>considering</w:t>
      </w:r>
      <w:proofErr w:type="gramEnd"/>
    </w:p>
    <w:p w:rsidR="00993602" w:rsidRDefault="000B0F7F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a)</w:t>
      </w:r>
      <w:r>
        <w:rPr>
          <w:i/>
          <w:iCs/>
          <w:szCs w:val="24"/>
          <w:lang w:eastAsia="zh-CN"/>
        </w:rPr>
        <w:tab/>
      </w:r>
      <w:proofErr w:type="gramStart"/>
      <w:r>
        <w:rPr>
          <w:szCs w:val="24"/>
          <w:lang w:eastAsia="zh-CN"/>
        </w:rPr>
        <w:t>that</w:t>
      </w:r>
      <w:proofErr w:type="gramEnd"/>
      <w:r>
        <w:rPr>
          <w:szCs w:val="24"/>
          <w:lang w:eastAsia="zh-CN"/>
        </w:rPr>
        <w:t xml:space="preserve"> there is a</w:t>
      </w:r>
      <w:r>
        <w:rPr>
          <w:lang w:val="en-US"/>
        </w:rPr>
        <w:t xml:space="preserve"> </w:t>
      </w:r>
      <w:r>
        <w:rPr>
          <w:szCs w:val="24"/>
          <w:lang w:eastAsia="zh-CN"/>
        </w:rPr>
        <w:t>need for greater br</w:t>
      </w:r>
      <w:r>
        <w:rPr>
          <w:szCs w:val="24"/>
          <w:lang w:eastAsia="zh-CN"/>
        </w:rPr>
        <w:t>oadband connectivity in underserved communities and in rural and remote areas;</w:t>
      </w:r>
    </w:p>
    <w:p w:rsidR="00993602" w:rsidRDefault="000B0F7F">
      <w:pPr>
        <w:rPr>
          <w:i/>
          <w:iCs/>
        </w:rPr>
      </w:pPr>
      <w:r>
        <w:rPr>
          <w:i/>
          <w:iCs/>
        </w:rPr>
        <w:t>b)</w:t>
      </w:r>
      <w:r>
        <w:rPr>
          <w:i/>
          <w:iCs/>
        </w:rPr>
        <w:tab/>
      </w:r>
      <w:r>
        <w:rPr>
          <w:iCs/>
        </w:rPr>
        <w:t>that WRC-15 invited ITU-R to study additional spectrum needs for fixed HAPS links to provide broadband connectivity and to facilitate the use of HAPS links</w:t>
      </w:r>
      <w:r>
        <w:rPr>
          <w:i/>
          <w:iCs/>
        </w:rPr>
        <w:t xml:space="preserve"> </w:t>
      </w:r>
      <w:r>
        <w:rPr>
          <w:iCs/>
        </w:rPr>
        <w:t>on a global or reg</w:t>
      </w:r>
      <w:r>
        <w:rPr>
          <w:iCs/>
        </w:rPr>
        <w:t xml:space="preserve">ional basis, </w:t>
      </w:r>
      <w:r>
        <w:rPr>
          <w:iCs/>
        </w:rPr>
        <w:lastRenderedPageBreak/>
        <w:t>recognizing that the existing HAPS identifications were established without reference to today’s broadband capabilities;</w:t>
      </w:r>
    </w:p>
    <w:p w:rsidR="00993602" w:rsidRDefault="000B0F7F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c)</w:t>
      </w:r>
      <w:r>
        <w:rPr>
          <w:i/>
          <w:iCs/>
          <w:szCs w:val="24"/>
          <w:lang w:eastAsia="zh-CN"/>
        </w:rPr>
        <w:tab/>
      </w:r>
      <w:proofErr w:type="gramStart"/>
      <w:r>
        <w:rPr>
          <w:szCs w:val="24"/>
          <w:lang w:eastAsia="zh-CN"/>
        </w:rPr>
        <w:t>that</w:t>
      </w:r>
      <w:proofErr w:type="gramEnd"/>
      <w:r>
        <w:rPr>
          <w:szCs w:val="24"/>
          <w:lang w:eastAsia="zh-CN"/>
        </w:rPr>
        <w:t xml:space="preserve"> HAPS can provide broadband connectivity with minimal ground network infrastructure;</w:t>
      </w:r>
    </w:p>
    <w:p w:rsidR="00993602" w:rsidRDefault="000B0F7F">
      <w:pPr>
        <w:rPr>
          <w:iCs/>
        </w:rPr>
      </w:pPr>
      <w:r>
        <w:rPr>
          <w:i/>
          <w:iCs/>
        </w:rPr>
        <w:t>d)</w:t>
      </w:r>
      <w:r>
        <w:rPr>
          <w:i/>
          <w:iCs/>
        </w:rPr>
        <w:tab/>
      </w:r>
      <w:proofErr w:type="gramStart"/>
      <w:r>
        <w:rPr>
          <w:iCs/>
        </w:rPr>
        <w:t>that</w:t>
      </w:r>
      <w:proofErr w:type="gramEnd"/>
      <w:r>
        <w:rPr>
          <w:iCs/>
        </w:rPr>
        <w:t xml:space="preserve"> Report ITU-R F.2439 </w:t>
      </w:r>
      <w:r>
        <w:rPr>
          <w:iCs/>
        </w:rPr>
        <w:t>contains updated deployment and technical characteristics of broadband HAPS systems;</w:t>
      </w:r>
    </w:p>
    <w:p w:rsidR="00993602" w:rsidRDefault="000B0F7F">
      <w:pPr>
        <w:rPr>
          <w:szCs w:val="24"/>
          <w:lang w:eastAsia="zh-CN"/>
        </w:rPr>
      </w:pPr>
      <w:r>
        <w:rPr>
          <w:i/>
          <w:iCs/>
        </w:rPr>
        <w:t>e)</w:t>
      </w:r>
      <w:r>
        <w:rPr>
          <w:i/>
          <w:iCs/>
        </w:rPr>
        <w:tab/>
      </w:r>
      <w:proofErr w:type="gramStart"/>
      <w:r>
        <w:rPr>
          <w:iCs/>
        </w:rPr>
        <w:t>that</w:t>
      </w:r>
      <w:proofErr w:type="gramEnd"/>
      <w:r>
        <w:rPr>
          <w:iCs/>
        </w:rPr>
        <w:t xml:space="preserve"> Report ITU-R F.2438 contains worldwide spectrum needs of HAPS systems;</w:t>
      </w:r>
    </w:p>
    <w:p w:rsidR="00993602" w:rsidRDefault="000B0F7F">
      <w:pPr>
        <w:rPr>
          <w:iCs/>
          <w:lang w:eastAsia="zh-CN"/>
        </w:rPr>
      </w:pPr>
      <w:r>
        <w:rPr>
          <w:i/>
          <w:iCs/>
          <w:szCs w:val="24"/>
          <w:lang w:eastAsia="zh-CN"/>
        </w:rPr>
        <w:t>f)</w:t>
      </w:r>
      <w:r>
        <w:rPr>
          <w:i/>
          <w:iCs/>
          <w:szCs w:val="24"/>
          <w:lang w:eastAsia="zh-CN"/>
        </w:rPr>
        <w:tab/>
      </w:r>
      <w:proofErr w:type="gramStart"/>
      <w:r>
        <w:rPr>
          <w:szCs w:val="24"/>
          <w:lang w:eastAsia="zh-CN"/>
        </w:rPr>
        <w:t>that</w:t>
      </w:r>
      <w:proofErr w:type="gramEnd"/>
      <w:r>
        <w:rPr>
          <w:szCs w:val="24"/>
          <w:lang w:eastAsia="zh-CN"/>
        </w:rPr>
        <w:t xml:space="preserve"> ITU</w:t>
      </w:r>
      <w:r>
        <w:rPr>
          <w:szCs w:val="24"/>
          <w:lang w:eastAsia="zh-CN"/>
        </w:rPr>
        <w:noBreakHyphen/>
        <w:t>R has conducted studies dealing with compatibility between systems using HAPS an</w:t>
      </w:r>
      <w:r>
        <w:rPr>
          <w:szCs w:val="24"/>
          <w:lang w:eastAsia="zh-CN"/>
        </w:rPr>
        <w:t>d existing services in the 38-39.5 GHz frequency band leading to Report ITU</w:t>
      </w:r>
      <w:r>
        <w:rPr>
          <w:szCs w:val="24"/>
          <w:lang w:eastAsia="zh-CN"/>
        </w:rPr>
        <w:noBreakHyphen/>
        <w:t>R F.2475</w:t>
      </w:r>
      <w:r>
        <w:rPr>
          <w:iCs/>
          <w:lang w:eastAsia="zh-CN"/>
        </w:rPr>
        <w:t>;</w:t>
      </w:r>
    </w:p>
    <w:p w:rsidR="00993602" w:rsidRDefault="000B0F7F">
      <w:pPr>
        <w:rPr>
          <w:iCs/>
          <w:lang w:eastAsia="zh-CN"/>
        </w:rPr>
      </w:pPr>
      <w:r>
        <w:rPr>
          <w:i/>
          <w:iCs/>
          <w:lang w:eastAsia="zh-CN"/>
        </w:rPr>
        <w:t>g)</w:t>
      </w:r>
      <w:r>
        <w:rPr>
          <w:iCs/>
          <w:lang w:eastAsia="zh-CN"/>
        </w:rPr>
        <w:tab/>
      </w:r>
      <w:proofErr w:type="gramStart"/>
      <w:r>
        <w:rPr>
          <w:iCs/>
          <w:lang w:eastAsia="zh-CN"/>
        </w:rPr>
        <w:t>that</w:t>
      </w:r>
      <w:proofErr w:type="gramEnd"/>
      <w:r>
        <w:rPr>
          <w:iCs/>
          <w:lang w:eastAsia="zh-CN"/>
        </w:rPr>
        <w:t xml:space="preserve"> existing services and their applications shall be protected from HAPS applications, and no undue constraints shall be imposed on the future development of existin</w:t>
      </w:r>
      <w:r>
        <w:rPr>
          <w:iCs/>
          <w:lang w:eastAsia="zh-CN"/>
        </w:rPr>
        <w:t>g services by HAPS,</w:t>
      </w:r>
    </w:p>
    <w:p w:rsidR="00993602" w:rsidRDefault="000B0F7F">
      <w:pPr>
        <w:pStyle w:val="Call"/>
      </w:pPr>
      <w:proofErr w:type="gramStart"/>
      <w:r>
        <w:t>considering</w:t>
      </w:r>
      <w:proofErr w:type="gramEnd"/>
      <w:r>
        <w:t xml:space="preserve"> further</w:t>
      </w:r>
    </w:p>
    <w:p w:rsidR="00993602" w:rsidRDefault="000B0F7F">
      <w:pPr>
        <w:rPr>
          <w:i/>
          <w:iCs/>
        </w:rPr>
      </w:pPr>
      <w:proofErr w:type="gramStart"/>
      <w:r>
        <w:t>that</w:t>
      </w:r>
      <w:proofErr w:type="gramEnd"/>
      <w:r>
        <w:t xml:space="preserve"> current</w:t>
      </w:r>
      <w:r>
        <w:rPr>
          <w:iCs/>
        </w:rPr>
        <w:t xml:space="preserve"> technologies, such as high-altitude platform stations (HAPS), can be used to deliver broadband applications for broadband connectivity and disaster recovery communications with minimal ground network inf</w:t>
      </w:r>
      <w:r>
        <w:rPr>
          <w:iCs/>
        </w:rPr>
        <w:t>rastructure,</w:t>
      </w:r>
    </w:p>
    <w:p w:rsidR="00993602" w:rsidRDefault="000B0F7F">
      <w:pPr>
        <w:pStyle w:val="Call"/>
      </w:pPr>
      <w:proofErr w:type="gramStart"/>
      <w:r>
        <w:t>resolves</w:t>
      </w:r>
      <w:proofErr w:type="gramEnd"/>
    </w:p>
    <w:p w:rsidR="00993602" w:rsidRDefault="000B0F7F">
      <w:r>
        <w:t>1</w:t>
      </w:r>
      <w:r>
        <w:tab/>
        <w:t>that, in making assignments to HAPS ground stations in the fixed service in the frequency band 38-39.5 GHz, administrations shall protect the space research service (SRS) (space-to-Earth) in the frequency band 37-38 GHz from harmful</w:t>
      </w:r>
      <w:r>
        <w:t xml:space="preserve"> interference by unwanted emissions, taking into account the space research service (space-to-Earth) protection level of </w:t>
      </w:r>
      <w:r>
        <w:rPr>
          <w:lang w:eastAsia="ja-JP"/>
        </w:rPr>
        <w:t>−</w:t>
      </w:r>
      <w:r>
        <w:t xml:space="preserve">217 dB(W/Hz) at the input of the SRS receiver with 0.001% </w:t>
      </w:r>
      <w:proofErr w:type="spellStart"/>
      <w:r>
        <w:t>exceedance</w:t>
      </w:r>
      <w:proofErr w:type="spellEnd"/>
      <w:r>
        <w:t xml:space="preserve"> due to atmospheric and precipitation effects as referred in the r</w:t>
      </w:r>
      <w:r>
        <w:t>elevant ITU-R Recommendations;</w:t>
      </w:r>
    </w:p>
    <w:p w:rsidR="00993602" w:rsidRDefault="000B0F7F">
      <w:pPr>
        <w:rPr>
          <w:shd w:val="clear" w:color="auto" w:fill="FFFFFF"/>
        </w:rPr>
      </w:pPr>
      <w:r>
        <w:t>2</w:t>
      </w:r>
      <w:r>
        <w:tab/>
      </w:r>
      <w:r>
        <w:rPr>
          <w:shd w:val="clear" w:color="auto" w:fill="FFFFFF"/>
        </w:rPr>
        <w:t>that for the purpose of protecting mobile service systems operating in the frequency band 38-39.5 GHz in neighbouring administrations, coordination of a transmitting HAPS ground station is required when the power flux-densi</w:t>
      </w:r>
      <w:r>
        <w:rPr>
          <w:shd w:val="clear" w:color="auto" w:fill="FFFFFF"/>
        </w:rPr>
        <w:t xml:space="preserve">ty in dB(W/m²/MHz) at the border of a neighbouring administration exceeds a </w:t>
      </w:r>
      <w:proofErr w:type="spellStart"/>
      <w:r>
        <w:rPr>
          <w:shd w:val="clear" w:color="auto" w:fill="FFFFFF"/>
        </w:rPr>
        <w:t>pfd</w:t>
      </w:r>
      <w:proofErr w:type="spellEnd"/>
      <w:r>
        <w:rPr>
          <w:shd w:val="clear" w:color="auto" w:fill="FFFFFF"/>
        </w:rPr>
        <w:t xml:space="preserve"> limit of −110.8 dB(W/m²/MHz)</w:t>
      </w:r>
      <w:r>
        <w:rPr>
          <w:lang w:val="en-US"/>
        </w:rPr>
        <w:t xml:space="preserve"> and the </w:t>
      </w:r>
      <w:proofErr w:type="spellStart"/>
      <w:r>
        <w:rPr>
          <w:lang w:val="en-US"/>
        </w:rPr>
        <w:t>pfd</w:t>
      </w:r>
      <w:proofErr w:type="spellEnd"/>
      <w:r>
        <w:rPr>
          <w:lang w:val="en-US"/>
        </w:rPr>
        <w:t xml:space="preserve"> values shall be verified considering a percentage of time of 1% in the relevant propagation model (recommendation  ITU-R P.452) and a m</w:t>
      </w:r>
      <w:r>
        <w:rPr>
          <w:lang w:val="en-US"/>
        </w:rPr>
        <w:t>obile station antenna height of 20 m</w:t>
      </w:r>
      <w:r>
        <w:rPr>
          <w:shd w:val="clear" w:color="auto" w:fill="FFFFFF"/>
        </w:rPr>
        <w:t>;</w:t>
      </w:r>
    </w:p>
    <w:p w:rsidR="00993602" w:rsidRDefault="000B0F7F">
      <w:pPr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 xml:space="preserve">that for the purpose of protecting FSS GSO and NGSO earth station systems in the fixed-satellite service (space to-Earth) in </w:t>
      </w:r>
      <w:proofErr w:type="spellStart"/>
      <w:r>
        <w:rPr>
          <w:lang w:val="en-US"/>
        </w:rPr>
        <w:t>neighbouring</w:t>
      </w:r>
      <w:proofErr w:type="spellEnd"/>
      <w:r>
        <w:rPr>
          <w:lang w:val="en-US"/>
        </w:rPr>
        <w:t xml:space="preserve"> administrations, coordination of a transmitting HAPS ground station is require</w:t>
      </w:r>
      <w:r>
        <w:rPr>
          <w:lang w:val="en-US"/>
        </w:rPr>
        <w:t xml:space="preserve">d when the power flux-density in dB(W/m²/MHz) at the border of a neighboring administration exceeds a </w:t>
      </w:r>
      <w:proofErr w:type="spellStart"/>
      <w:r>
        <w:rPr>
          <w:lang w:val="en-US"/>
        </w:rPr>
        <w:t>pfd</w:t>
      </w:r>
      <w:proofErr w:type="spellEnd"/>
      <w:r>
        <w:rPr>
          <w:lang w:val="en-US"/>
        </w:rPr>
        <w:t xml:space="preserve"> limit of −111.3 dB(W/m²/MHz) for NGSO operations and −108.9 dB(W/m²/MHz) for GSO operations and the </w:t>
      </w:r>
      <w:proofErr w:type="spellStart"/>
      <w:r>
        <w:rPr>
          <w:lang w:val="en-US"/>
        </w:rPr>
        <w:t>pfd</w:t>
      </w:r>
      <w:proofErr w:type="spellEnd"/>
      <w:r>
        <w:rPr>
          <w:lang w:val="en-US"/>
        </w:rPr>
        <w:t xml:space="preserve"> values shall be verified considering a percent</w:t>
      </w:r>
      <w:r>
        <w:rPr>
          <w:lang w:val="en-US"/>
        </w:rPr>
        <w:t>age of time of 20% in the relevant propagation model (Recommendation ITU-R P.452) and an FSS Earth station antenna height of 10 m;</w:t>
      </w:r>
    </w:p>
    <w:p w:rsidR="00993602" w:rsidRDefault="000B0F7F">
      <w:r>
        <w:t>4</w:t>
      </w:r>
      <w:r>
        <w:tab/>
        <w:t xml:space="preserve">that administrations planning to implement a HAPS system in the </w:t>
      </w:r>
      <w:r>
        <w:rPr>
          <w:szCs w:val="24"/>
        </w:rPr>
        <w:t xml:space="preserve">frequency band 38-39.5 GHz </w:t>
      </w:r>
      <w:r>
        <w:t>shall notify the frequency assig</w:t>
      </w:r>
      <w:r>
        <w:t>nments by submitting all mandatory elements of Appendix </w:t>
      </w:r>
      <w:r>
        <w:rPr>
          <w:b/>
          <w:bCs/>
        </w:rPr>
        <w:t>4</w:t>
      </w:r>
      <w:r>
        <w:t xml:space="preserve"> to the Bureau for the examination of compliance with respect to this resolution with a view</w:t>
      </w:r>
      <w:r>
        <w:rPr>
          <w:shd w:val="clear" w:color="auto" w:fill="FFFFFF" w:themeFill="background1"/>
        </w:rPr>
        <w:t xml:space="preserve"> to their registration in the Master International Frequency Register,</w:t>
      </w:r>
    </w:p>
    <w:p w:rsidR="00993602" w:rsidRDefault="000B0F7F">
      <w:pPr>
        <w:pStyle w:val="Call"/>
      </w:pPr>
      <w:proofErr w:type="gramStart"/>
      <w:r>
        <w:t>instructs</w:t>
      </w:r>
      <w:proofErr w:type="gramEnd"/>
      <w:r>
        <w:t xml:space="preserve"> the Director of the </w:t>
      </w:r>
      <w:proofErr w:type="spellStart"/>
      <w:r>
        <w:t>Radioc</w:t>
      </w:r>
      <w:r>
        <w:t>ommunication</w:t>
      </w:r>
      <w:proofErr w:type="spellEnd"/>
      <w:r>
        <w:t xml:space="preserve"> Bureau</w:t>
      </w:r>
    </w:p>
    <w:p w:rsidR="00993602" w:rsidRDefault="000B0F7F">
      <w:proofErr w:type="gramStart"/>
      <w:r>
        <w:t>to</w:t>
      </w:r>
      <w:proofErr w:type="gramEnd"/>
      <w:r>
        <w:t xml:space="preserve"> take all necessary measures to implement this Resolution.</w:t>
      </w:r>
    </w:p>
    <w:p w:rsidR="00993602" w:rsidRDefault="00993602">
      <w:pPr>
        <w:pStyle w:val="Reasons"/>
      </w:pPr>
    </w:p>
    <w:p w:rsidR="00993602" w:rsidRDefault="000B0F7F">
      <w:pPr>
        <w:pStyle w:val="Headingb"/>
        <w:jc w:val="center"/>
      </w:pPr>
      <w:r>
        <w:t xml:space="preserve">Alternative </w:t>
      </w:r>
      <w:r>
        <w:rPr>
          <w:rFonts w:eastAsia="宋体" w:hint="eastAsia"/>
          <w:lang w:val="en-US" w:eastAsia="zh-CN"/>
        </w:rPr>
        <w:t>4</w:t>
      </w:r>
      <w:r>
        <w:t xml:space="preserve"> ([Regional] identification ground to HAPS)</w:t>
      </w:r>
    </w:p>
    <w:p w:rsidR="00993602" w:rsidRDefault="00993602"/>
    <w:p w:rsidR="00993602" w:rsidRDefault="000B0F7F">
      <w:pPr>
        <w:pStyle w:val="Proposal"/>
      </w:pPr>
      <w:r>
        <w:t>MOD</w:t>
      </w:r>
      <w:r>
        <w:tab/>
        <w:t>WG4B/406/10</w:t>
      </w:r>
      <w:r>
        <w:rPr>
          <w:vanish/>
          <w:color w:val="7F7F7F" w:themeColor="text1" w:themeTint="80"/>
          <w:vertAlign w:val="superscript"/>
        </w:rPr>
        <w:t>#72841</w:t>
      </w:r>
    </w:p>
    <w:p w:rsidR="00993602" w:rsidRDefault="000B0F7F">
      <w:pPr>
        <w:pStyle w:val="Tabletitle"/>
      </w:pPr>
      <w:r>
        <w:t>34.2-40 GHz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99360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2" w:rsidRDefault="000B0F7F">
            <w:pPr>
              <w:pStyle w:val="Tablehead"/>
            </w:pPr>
            <w:r>
              <w:t>Allocation to services</w:t>
            </w:r>
          </w:p>
        </w:tc>
      </w:tr>
      <w:tr w:rsidR="0099360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02" w:rsidRDefault="000B0F7F">
            <w:pPr>
              <w:pStyle w:val="Tablehead"/>
            </w:pPr>
            <w:r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02" w:rsidRDefault="000B0F7F">
            <w:pPr>
              <w:pStyle w:val="Tablehead"/>
            </w:pPr>
            <w: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02" w:rsidRDefault="000B0F7F">
            <w:pPr>
              <w:pStyle w:val="Tablehead"/>
            </w:pPr>
            <w:r>
              <w:t>Region 3</w:t>
            </w:r>
          </w:p>
        </w:tc>
      </w:tr>
      <w:tr w:rsidR="0099360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2" w:rsidRDefault="000B0F7F">
            <w:pPr>
              <w:pStyle w:val="TableTextS5"/>
              <w:rPr>
                <w:color w:val="000000"/>
              </w:rPr>
            </w:pPr>
            <w:r>
              <w:rPr>
                <w:rStyle w:val="Tablefreq"/>
              </w:rPr>
              <w:t>38-39.5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FIXED</w:t>
            </w:r>
            <w:r>
              <w:rPr>
                <w:color w:val="000000"/>
              </w:rPr>
              <w:t xml:space="preserve">  </w:t>
            </w:r>
            <w:r>
              <w:t>ADD</w:t>
            </w:r>
            <w:r>
              <w:rPr>
                <w:rStyle w:val="Artref"/>
              </w:rPr>
              <w:t xml:space="preserve"> 5.</w:t>
            </w:r>
            <w:r>
              <w:rPr>
                <w:rStyle w:val="Artref"/>
              </w:rPr>
              <w:t>G</w:t>
            </w:r>
            <w:r>
              <w:rPr>
                <w:rStyle w:val="Artref"/>
              </w:rPr>
              <w:t>114</w:t>
            </w:r>
          </w:p>
          <w:p w:rsidR="00993602" w:rsidRDefault="000B0F7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tab/>
              <w:t>FIXED-SATELLITE (space-to-Earth)</w:t>
            </w:r>
          </w:p>
          <w:p w:rsidR="00993602" w:rsidRDefault="000B0F7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tab/>
              <w:t>MOBILE</w:t>
            </w:r>
          </w:p>
          <w:p w:rsidR="00993602" w:rsidRDefault="000B0F7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Earth exploration-satellite (space-to-Earth) </w:t>
            </w:r>
          </w:p>
          <w:p w:rsidR="00993602" w:rsidRDefault="000B0F7F">
            <w:pPr>
              <w:pStyle w:val="TableTextS5"/>
              <w:rPr>
                <w:rStyle w:val="Artref"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rStyle w:val="Artref"/>
                <w:color w:val="000000"/>
              </w:rPr>
              <w:t>5.547</w:t>
            </w:r>
          </w:p>
        </w:tc>
      </w:tr>
    </w:tbl>
    <w:p w:rsidR="00993602" w:rsidRDefault="00993602">
      <w:pPr>
        <w:pStyle w:val="Reasons"/>
      </w:pPr>
    </w:p>
    <w:p w:rsidR="00993602" w:rsidRDefault="000B0F7F">
      <w:pPr>
        <w:pStyle w:val="Proposal"/>
      </w:pPr>
      <w:r>
        <w:t>ADD</w:t>
      </w:r>
      <w:r>
        <w:tab/>
        <w:t>WG4B/406/11</w:t>
      </w:r>
      <w:r>
        <w:rPr>
          <w:vanish/>
          <w:color w:val="7F7F7F" w:themeColor="text1" w:themeTint="80"/>
          <w:vertAlign w:val="superscript"/>
        </w:rPr>
        <w:t>#50574</w:t>
      </w:r>
    </w:p>
    <w:p w:rsidR="00993602" w:rsidRDefault="000B0F7F">
      <w:pPr>
        <w:pStyle w:val="Note"/>
        <w:shd w:val="clear" w:color="auto" w:fill="FFFFFF" w:themeFill="background1"/>
        <w:rPr>
          <w:sz w:val="16"/>
          <w:szCs w:val="16"/>
          <w:lang w:val="en-US"/>
        </w:rPr>
      </w:pPr>
      <w:r>
        <w:rPr>
          <w:rStyle w:val="Artdef"/>
        </w:rPr>
        <w:t>5.G114</w:t>
      </w:r>
      <w:r>
        <w:tab/>
      </w:r>
      <w:r>
        <w:rPr>
          <w:rFonts w:eastAsia="宋体"/>
        </w:rPr>
        <w:t xml:space="preserve">In Region 3 [and …], the allocation to the fixed service in the band 38-39.5 GHz may also be used by administrations wishing to implement high-altitude platform stations (HAPS), limited to operation in the </w:t>
      </w:r>
      <w:r>
        <w:rPr>
          <w:rFonts w:eastAsia="宋体"/>
          <w:bCs/>
        </w:rPr>
        <w:t>ground-to-HAPS</w:t>
      </w:r>
      <w:r>
        <w:rPr>
          <w:rFonts w:eastAsia="宋体"/>
        </w:rPr>
        <w:t xml:space="preserve"> direction. Such use of the fixed-se</w:t>
      </w:r>
      <w:r>
        <w:rPr>
          <w:rFonts w:eastAsia="宋体"/>
        </w:rPr>
        <w:t>rvice allocation by HAPS is limited to the ground-to-HAPS direction and shall not cause harmful interference to, nor claim protection from, other types of fixed-service systems or other co-primary services. Furthermore, the development of these other servi</w:t>
      </w:r>
      <w:r>
        <w:rPr>
          <w:rFonts w:eastAsia="宋体"/>
        </w:rPr>
        <w:t xml:space="preserve">ces shall not be constrained by HAPS. </w:t>
      </w:r>
      <w:proofErr w:type="gramStart"/>
      <w:r>
        <w:rPr>
          <w:rFonts w:eastAsia="宋体"/>
        </w:rPr>
        <w:t xml:space="preserve">[See </w:t>
      </w:r>
      <w:r>
        <w:t xml:space="preserve">Resolution </w:t>
      </w:r>
      <w:r>
        <w:rPr>
          <w:b/>
        </w:rPr>
        <w:t>[TBD] (WRC</w:t>
      </w:r>
      <w:r>
        <w:rPr>
          <w:b/>
        </w:rPr>
        <w:noBreakHyphen/>
        <w:t>19)</w:t>
      </w:r>
      <w:r>
        <w:tab/>
        <w:t>.</w:t>
      </w:r>
      <w:proofErr w:type="gramEnd"/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    (WRC</w:t>
      </w:r>
      <w:r>
        <w:rPr>
          <w:sz w:val="16"/>
          <w:szCs w:val="16"/>
          <w:lang w:val="en-US"/>
        </w:rPr>
        <w:noBreakHyphen/>
        <w:t>19)</w:t>
      </w:r>
    </w:p>
    <w:p w:rsidR="00993602" w:rsidRDefault="00993602"/>
    <w:p w:rsidR="00993602" w:rsidRDefault="000B0F7F" w:rsidP="00415A98">
      <w:pPr>
        <w:pStyle w:val="Proposal"/>
      </w:pPr>
      <w:r>
        <w:t>ADD</w:t>
      </w:r>
      <w:r>
        <w:tab/>
        <w:t>WG4B/406/11</w:t>
      </w:r>
      <w:r>
        <w:rPr>
          <w:vanish/>
          <w:color w:val="7F7F7F" w:themeColor="text1" w:themeTint="80"/>
          <w:vertAlign w:val="superscript"/>
        </w:rPr>
        <w:t>#50574</w:t>
      </w:r>
    </w:p>
    <w:p w:rsidR="00993602" w:rsidRDefault="000B0F7F">
      <w:pPr>
        <w:pStyle w:val="ResNo"/>
      </w:pPr>
      <w:r>
        <w:t>draFt new RESOLUTION [TBD] (WRC</w:t>
      </w:r>
      <w:r>
        <w:noBreakHyphen/>
        <w:t>19)</w:t>
      </w:r>
    </w:p>
    <w:p w:rsidR="00993602" w:rsidRDefault="000B0F7F">
      <w:pPr>
        <w:pStyle w:val="Restitle"/>
        <w:rPr>
          <w:lang w:eastAsia="ja-JP"/>
        </w:rPr>
      </w:pPr>
      <w:r>
        <w:rPr>
          <w:rFonts w:eastAsiaTheme="minorEastAsia" w:cs="Times New Roman Bold"/>
          <w:bCs/>
        </w:rPr>
        <w:t>U</w:t>
      </w:r>
      <w:r>
        <w:rPr>
          <w:rFonts w:eastAsiaTheme="minorHAnsi"/>
        </w:rPr>
        <w:t xml:space="preserve">se of the band 38-39.5 GHz by high altitude platform </w:t>
      </w:r>
      <w:r>
        <w:rPr>
          <w:rFonts w:eastAsiaTheme="minorHAnsi"/>
        </w:rPr>
        <w:br/>
        <w:t>stations in the fixed service</w:t>
      </w:r>
    </w:p>
    <w:p w:rsidR="00993602" w:rsidRDefault="000B0F7F">
      <w:pPr>
        <w:pStyle w:val="Normalaftertitle1"/>
      </w:pPr>
      <w:r>
        <w:t xml:space="preserve">The World </w:t>
      </w:r>
      <w:proofErr w:type="spellStart"/>
      <w:r>
        <w:t>Radiocommunication</w:t>
      </w:r>
      <w:proofErr w:type="spellEnd"/>
      <w:r>
        <w:t xml:space="preserve"> Conference (</w:t>
      </w:r>
      <w:proofErr w:type="spellStart"/>
      <w:r>
        <w:t>Sharm</w:t>
      </w:r>
      <w:proofErr w:type="spellEnd"/>
      <w:r>
        <w:t xml:space="preserve"> el-Sheikh, 2019),</w:t>
      </w:r>
    </w:p>
    <w:p w:rsidR="00993602" w:rsidRDefault="000B0F7F">
      <w:pPr>
        <w:pStyle w:val="Call"/>
      </w:pPr>
      <w:proofErr w:type="gramStart"/>
      <w:r>
        <w:t>considering</w:t>
      </w:r>
      <w:proofErr w:type="gramEnd"/>
    </w:p>
    <w:p w:rsidR="00993602" w:rsidRDefault="000B0F7F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a)</w:t>
      </w:r>
      <w:r>
        <w:rPr>
          <w:i/>
          <w:iCs/>
          <w:szCs w:val="24"/>
          <w:lang w:eastAsia="zh-CN"/>
        </w:rPr>
        <w:tab/>
      </w:r>
      <w:proofErr w:type="gramStart"/>
      <w:r>
        <w:rPr>
          <w:szCs w:val="24"/>
          <w:lang w:eastAsia="zh-CN"/>
        </w:rPr>
        <w:t>that</w:t>
      </w:r>
      <w:proofErr w:type="gramEnd"/>
      <w:r>
        <w:rPr>
          <w:szCs w:val="24"/>
          <w:lang w:eastAsia="zh-CN"/>
        </w:rPr>
        <w:t xml:space="preserve"> there is a</w:t>
      </w:r>
      <w:r>
        <w:rPr>
          <w:lang w:val="en-US"/>
        </w:rPr>
        <w:t xml:space="preserve"> </w:t>
      </w:r>
      <w:r>
        <w:rPr>
          <w:szCs w:val="24"/>
          <w:lang w:eastAsia="zh-CN"/>
        </w:rPr>
        <w:t>need for greater broadband connectivity in underserved communities and in rural and remote areas;</w:t>
      </w:r>
    </w:p>
    <w:p w:rsidR="00993602" w:rsidRDefault="000B0F7F">
      <w:pPr>
        <w:rPr>
          <w:i/>
          <w:iCs/>
        </w:rPr>
      </w:pPr>
      <w:r>
        <w:rPr>
          <w:i/>
          <w:iCs/>
        </w:rPr>
        <w:t>b)</w:t>
      </w:r>
      <w:r>
        <w:rPr>
          <w:i/>
          <w:iCs/>
        </w:rPr>
        <w:tab/>
      </w:r>
      <w:r>
        <w:rPr>
          <w:iCs/>
        </w:rPr>
        <w:t xml:space="preserve">that WRC-15 invited ITU-R to study additional spectrum needs for fixed HAPS links to </w:t>
      </w:r>
      <w:r>
        <w:rPr>
          <w:iCs/>
        </w:rPr>
        <w:t>provide broadband connectivity and to facilitate the use of HAPS links</w:t>
      </w:r>
      <w:r>
        <w:rPr>
          <w:i/>
          <w:iCs/>
        </w:rPr>
        <w:t xml:space="preserve"> </w:t>
      </w:r>
      <w:r>
        <w:rPr>
          <w:iCs/>
        </w:rPr>
        <w:t>on a global or regional basis, recognizing that the existing HAPS identifications were established without reference to today’s broadband capabilities;</w:t>
      </w:r>
    </w:p>
    <w:p w:rsidR="00993602" w:rsidRDefault="000B0F7F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c)</w:t>
      </w:r>
      <w:r>
        <w:rPr>
          <w:i/>
          <w:iCs/>
          <w:szCs w:val="24"/>
          <w:lang w:eastAsia="zh-CN"/>
        </w:rPr>
        <w:tab/>
      </w:r>
      <w:proofErr w:type="gramStart"/>
      <w:r>
        <w:rPr>
          <w:szCs w:val="24"/>
          <w:lang w:eastAsia="zh-CN"/>
        </w:rPr>
        <w:t>that</w:t>
      </w:r>
      <w:proofErr w:type="gramEnd"/>
      <w:r>
        <w:rPr>
          <w:szCs w:val="24"/>
          <w:lang w:eastAsia="zh-CN"/>
        </w:rPr>
        <w:t xml:space="preserve"> HAPS can provide broadban</w:t>
      </w:r>
      <w:r>
        <w:rPr>
          <w:szCs w:val="24"/>
          <w:lang w:eastAsia="zh-CN"/>
        </w:rPr>
        <w:t>d connectivity with minimal ground network infrastructure;</w:t>
      </w:r>
    </w:p>
    <w:p w:rsidR="00993602" w:rsidRDefault="000B0F7F">
      <w:pPr>
        <w:rPr>
          <w:iCs/>
        </w:rPr>
      </w:pPr>
      <w:r>
        <w:rPr>
          <w:i/>
          <w:iCs/>
        </w:rPr>
        <w:t>d)</w:t>
      </w:r>
      <w:r>
        <w:rPr>
          <w:i/>
          <w:iCs/>
        </w:rPr>
        <w:tab/>
      </w:r>
      <w:proofErr w:type="gramStart"/>
      <w:r>
        <w:rPr>
          <w:iCs/>
        </w:rPr>
        <w:t>that</w:t>
      </w:r>
      <w:proofErr w:type="gramEnd"/>
      <w:r>
        <w:rPr>
          <w:iCs/>
        </w:rPr>
        <w:t xml:space="preserve"> Report ITU-R F.2439 contains updated deployment and technical characteristics of broadband HAPS systems;</w:t>
      </w:r>
    </w:p>
    <w:p w:rsidR="00993602" w:rsidRDefault="000B0F7F">
      <w:pPr>
        <w:rPr>
          <w:szCs w:val="24"/>
          <w:lang w:eastAsia="zh-CN"/>
        </w:rPr>
      </w:pPr>
      <w:r>
        <w:rPr>
          <w:i/>
          <w:iCs/>
        </w:rPr>
        <w:t>e)</w:t>
      </w:r>
      <w:r>
        <w:rPr>
          <w:i/>
          <w:iCs/>
        </w:rPr>
        <w:tab/>
      </w:r>
      <w:proofErr w:type="gramStart"/>
      <w:r>
        <w:rPr>
          <w:iCs/>
        </w:rPr>
        <w:t>that</w:t>
      </w:r>
      <w:proofErr w:type="gramEnd"/>
      <w:r>
        <w:rPr>
          <w:iCs/>
        </w:rPr>
        <w:t xml:space="preserve"> Report ITU-R F.2438 contains worldwide spectrum needs of HAPS systems;</w:t>
      </w:r>
    </w:p>
    <w:p w:rsidR="00993602" w:rsidRDefault="000B0F7F">
      <w:pPr>
        <w:rPr>
          <w:iCs/>
          <w:lang w:eastAsia="zh-CN"/>
        </w:rPr>
      </w:pPr>
      <w:r>
        <w:rPr>
          <w:i/>
          <w:iCs/>
          <w:szCs w:val="24"/>
          <w:lang w:eastAsia="zh-CN"/>
        </w:rPr>
        <w:lastRenderedPageBreak/>
        <w:t>f)</w:t>
      </w:r>
      <w:r>
        <w:rPr>
          <w:i/>
          <w:iCs/>
          <w:szCs w:val="24"/>
          <w:lang w:eastAsia="zh-CN"/>
        </w:rPr>
        <w:tab/>
      </w:r>
      <w:proofErr w:type="gramStart"/>
      <w:r>
        <w:rPr>
          <w:szCs w:val="24"/>
          <w:lang w:eastAsia="zh-CN"/>
        </w:rPr>
        <w:t>th</w:t>
      </w:r>
      <w:r>
        <w:rPr>
          <w:szCs w:val="24"/>
          <w:lang w:eastAsia="zh-CN"/>
        </w:rPr>
        <w:t>at</w:t>
      </w:r>
      <w:proofErr w:type="gramEnd"/>
      <w:r>
        <w:rPr>
          <w:szCs w:val="24"/>
          <w:lang w:eastAsia="zh-CN"/>
        </w:rPr>
        <w:t xml:space="preserve"> ITU</w:t>
      </w:r>
      <w:r>
        <w:rPr>
          <w:szCs w:val="24"/>
          <w:lang w:eastAsia="zh-CN"/>
        </w:rPr>
        <w:noBreakHyphen/>
        <w:t>R has conducted studies dealing with compatibility between systems using HAPS and existing services in the 38-39.5 GHz frequency band leading to Report ITU</w:t>
      </w:r>
      <w:r>
        <w:rPr>
          <w:szCs w:val="24"/>
          <w:lang w:eastAsia="zh-CN"/>
        </w:rPr>
        <w:noBreakHyphen/>
        <w:t>R F.2475</w:t>
      </w:r>
      <w:r>
        <w:rPr>
          <w:iCs/>
          <w:lang w:eastAsia="zh-CN"/>
        </w:rPr>
        <w:t>;</w:t>
      </w:r>
    </w:p>
    <w:p w:rsidR="00993602" w:rsidRDefault="000B0F7F">
      <w:pPr>
        <w:rPr>
          <w:iCs/>
          <w:lang w:eastAsia="zh-CN"/>
        </w:rPr>
      </w:pPr>
      <w:r>
        <w:rPr>
          <w:i/>
          <w:iCs/>
          <w:lang w:eastAsia="zh-CN"/>
        </w:rPr>
        <w:t>g)</w:t>
      </w:r>
      <w:r>
        <w:rPr>
          <w:iCs/>
          <w:lang w:eastAsia="zh-CN"/>
        </w:rPr>
        <w:tab/>
      </w:r>
      <w:proofErr w:type="gramStart"/>
      <w:r>
        <w:rPr>
          <w:iCs/>
          <w:lang w:eastAsia="zh-CN"/>
        </w:rPr>
        <w:t>that</w:t>
      </w:r>
      <w:proofErr w:type="gramEnd"/>
      <w:r>
        <w:rPr>
          <w:iCs/>
          <w:lang w:eastAsia="zh-CN"/>
        </w:rPr>
        <w:t xml:space="preserve"> existing services and their applications shall be protected from HAPS appli</w:t>
      </w:r>
      <w:r>
        <w:rPr>
          <w:iCs/>
          <w:lang w:eastAsia="zh-CN"/>
        </w:rPr>
        <w:t>cations, and no undue constraints shall be imposed on the future development of existing services by HAPS,</w:t>
      </w:r>
    </w:p>
    <w:p w:rsidR="00993602" w:rsidRDefault="000B0F7F">
      <w:pPr>
        <w:pStyle w:val="Call"/>
      </w:pPr>
      <w:proofErr w:type="gramStart"/>
      <w:r>
        <w:t>considering</w:t>
      </w:r>
      <w:proofErr w:type="gramEnd"/>
      <w:r>
        <w:t xml:space="preserve"> further</w:t>
      </w:r>
    </w:p>
    <w:p w:rsidR="00993602" w:rsidRDefault="000B0F7F">
      <w:pPr>
        <w:rPr>
          <w:i/>
          <w:iCs/>
        </w:rPr>
      </w:pPr>
      <w:proofErr w:type="gramStart"/>
      <w:r>
        <w:t>that</w:t>
      </w:r>
      <w:proofErr w:type="gramEnd"/>
      <w:r>
        <w:t xml:space="preserve"> current</w:t>
      </w:r>
      <w:r>
        <w:rPr>
          <w:iCs/>
        </w:rPr>
        <w:t xml:space="preserve"> technologies, such as high-altitude platform stations (HAPS), can be used to deliver broadband applications for broadband connectivity and disaster recovery communications with minimal ground network infrastructure,</w:t>
      </w:r>
    </w:p>
    <w:p w:rsidR="00993602" w:rsidRDefault="00EF2C46">
      <w:pPr>
        <w:pStyle w:val="Call"/>
      </w:pPr>
      <w:proofErr w:type="gramStart"/>
      <w:r>
        <w:rPr>
          <w:rFonts w:eastAsiaTheme="minorEastAsia" w:hint="eastAsia"/>
          <w:lang w:eastAsia="zh-CN"/>
        </w:rPr>
        <w:t>r</w:t>
      </w:r>
      <w:r>
        <w:t>esolves</w:t>
      </w:r>
      <w:proofErr w:type="gramEnd"/>
    </w:p>
    <w:p w:rsidR="00993602" w:rsidRDefault="00415A98">
      <w:r>
        <w:rPr>
          <w:rFonts w:eastAsia="宋体" w:hint="eastAsia"/>
          <w:lang w:val="en-US" w:eastAsia="zh-CN"/>
        </w:rPr>
        <w:t>1</w:t>
      </w:r>
      <w:r w:rsidR="000B0F7F">
        <w:tab/>
        <w:t>that, in making assignments to H</w:t>
      </w:r>
      <w:bookmarkStart w:id="8" w:name="_GoBack"/>
      <w:bookmarkEnd w:id="8"/>
      <w:r w:rsidR="000B0F7F">
        <w:t>APS ground stations in the fixed service in the frequency band 38-39.5 GHz, administrations shall protect the space research service (SRS) (space-to-Earth) in the freque</w:t>
      </w:r>
      <w:r w:rsidR="000B0F7F">
        <w:t xml:space="preserve">ncy band 37-38 GHz from harmful interference by unwanted emissions, taking into account the space research service (space-to-Earth) protection level of </w:t>
      </w:r>
      <w:r w:rsidR="000B0F7F">
        <w:rPr>
          <w:lang w:eastAsia="ja-JP"/>
        </w:rPr>
        <w:t>−</w:t>
      </w:r>
      <w:r w:rsidR="000B0F7F">
        <w:t xml:space="preserve">217 dB(W/Hz) at the input of the SRS receiver with 0.001% </w:t>
      </w:r>
      <w:proofErr w:type="spellStart"/>
      <w:r w:rsidR="000B0F7F">
        <w:t>exceedance</w:t>
      </w:r>
      <w:proofErr w:type="spellEnd"/>
      <w:r w:rsidR="000B0F7F">
        <w:t xml:space="preserve"> due to atmospheric and </w:t>
      </w:r>
      <w:r w:rsidR="000B0F7F">
        <w:t>precipitation effects as referred in the relevant ITU-R Recommendations;</w:t>
      </w:r>
    </w:p>
    <w:p w:rsidR="00993602" w:rsidRDefault="00415A98">
      <w:pPr>
        <w:rPr>
          <w:shd w:val="clear" w:color="auto" w:fill="FFFFFF"/>
        </w:rPr>
      </w:pPr>
      <w:r>
        <w:rPr>
          <w:rFonts w:eastAsia="宋体" w:hint="eastAsia"/>
          <w:lang w:val="en-US" w:eastAsia="zh-CN"/>
        </w:rPr>
        <w:t>2</w:t>
      </w:r>
      <w:r w:rsidR="000B0F7F">
        <w:tab/>
      </w:r>
      <w:r w:rsidR="000B0F7F">
        <w:rPr>
          <w:shd w:val="clear" w:color="auto" w:fill="FFFFFF"/>
        </w:rPr>
        <w:t>that for the purpose of protecting mobile service systems operating in the frequency band 38-39.5 GHz in neighbouring administrations, coordination of a transmitting HAPS ground sta</w:t>
      </w:r>
      <w:r w:rsidR="000B0F7F">
        <w:rPr>
          <w:shd w:val="clear" w:color="auto" w:fill="FFFFFF"/>
        </w:rPr>
        <w:t xml:space="preserve">tion is required when the power flux-density in dB(W/m²/MHz) at the border of a neighbouring administration exceeds a </w:t>
      </w:r>
      <w:proofErr w:type="spellStart"/>
      <w:r w:rsidR="000B0F7F">
        <w:rPr>
          <w:shd w:val="clear" w:color="auto" w:fill="FFFFFF"/>
        </w:rPr>
        <w:t>pfd</w:t>
      </w:r>
      <w:proofErr w:type="spellEnd"/>
      <w:r w:rsidR="000B0F7F">
        <w:rPr>
          <w:shd w:val="clear" w:color="auto" w:fill="FFFFFF"/>
        </w:rPr>
        <w:t xml:space="preserve"> limit of −110.8 dB(W/m²/MHz)</w:t>
      </w:r>
      <w:r w:rsidR="000B0F7F">
        <w:rPr>
          <w:lang w:val="en-US"/>
        </w:rPr>
        <w:t xml:space="preserve"> and the </w:t>
      </w:r>
      <w:proofErr w:type="spellStart"/>
      <w:r w:rsidR="000B0F7F">
        <w:rPr>
          <w:lang w:val="en-US"/>
        </w:rPr>
        <w:t>pfd</w:t>
      </w:r>
      <w:proofErr w:type="spellEnd"/>
      <w:r w:rsidR="000B0F7F">
        <w:rPr>
          <w:lang w:val="en-US"/>
        </w:rPr>
        <w:t xml:space="preserve"> values shall be verified considering a percentage of time of 1% in the relevant propagation m</w:t>
      </w:r>
      <w:r w:rsidR="000B0F7F">
        <w:rPr>
          <w:lang w:val="en-US"/>
        </w:rPr>
        <w:t>odel (recommendation  ITU-R P.452) and a mobile station antenna height of 20 m</w:t>
      </w:r>
      <w:r w:rsidR="000B0F7F">
        <w:rPr>
          <w:shd w:val="clear" w:color="auto" w:fill="FFFFFF"/>
        </w:rPr>
        <w:t>;</w:t>
      </w:r>
    </w:p>
    <w:p w:rsidR="00993602" w:rsidRDefault="00415A98">
      <w:pPr>
        <w:rPr>
          <w:lang w:val="en-US"/>
        </w:rPr>
      </w:pPr>
      <w:r>
        <w:rPr>
          <w:rFonts w:eastAsia="宋体" w:hint="eastAsia"/>
          <w:lang w:val="en-US" w:eastAsia="zh-CN"/>
        </w:rPr>
        <w:t>3</w:t>
      </w:r>
      <w:r w:rsidR="000B0F7F">
        <w:rPr>
          <w:lang w:val="en-US"/>
        </w:rPr>
        <w:tab/>
        <w:t xml:space="preserve">that for the purpose of protecting FSS GSO and NGSO earth station systems in the fixed-satellite service (space to-Earth) in </w:t>
      </w:r>
      <w:proofErr w:type="spellStart"/>
      <w:r w:rsidR="000B0F7F">
        <w:rPr>
          <w:lang w:val="en-US"/>
        </w:rPr>
        <w:t>neighbouring</w:t>
      </w:r>
      <w:proofErr w:type="spellEnd"/>
      <w:r w:rsidR="000B0F7F">
        <w:rPr>
          <w:lang w:val="en-US"/>
        </w:rPr>
        <w:t xml:space="preserve"> administrations, coordination of a t</w:t>
      </w:r>
      <w:r w:rsidR="000B0F7F">
        <w:rPr>
          <w:lang w:val="en-US"/>
        </w:rPr>
        <w:t xml:space="preserve">ransmitting HAPS ground station is required when the power flux-density in dB(W/m²/MHz) at the border of a neighboring administration exceeds a </w:t>
      </w:r>
      <w:proofErr w:type="spellStart"/>
      <w:r w:rsidR="000B0F7F">
        <w:rPr>
          <w:lang w:val="en-US"/>
        </w:rPr>
        <w:t>pfd</w:t>
      </w:r>
      <w:proofErr w:type="spellEnd"/>
      <w:r w:rsidR="000B0F7F">
        <w:rPr>
          <w:lang w:val="en-US"/>
        </w:rPr>
        <w:t xml:space="preserve"> limit of −111.3 dB(W/m²/MHz) for NGSO operations and −108.9 dB(W/m²/MHz) for GSO operations and the </w:t>
      </w:r>
      <w:proofErr w:type="spellStart"/>
      <w:r w:rsidR="000B0F7F">
        <w:rPr>
          <w:lang w:val="en-US"/>
        </w:rPr>
        <w:t>pfd</w:t>
      </w:r>
      <w:proofErr w:type="spellEnd"/>
      <w:r w:rsidR="000B0F7F">
        <w:rPr>
          <w:lang w:val="en-US"/>
        </w:rPr>
        <w:t xml:space="preserve"> valu</w:t>
      </w:r>
      <w:r w:rsidR="000B0F7F">
        <w:rPr>
          <w:lang w:val="en-US"/>
        </w:rPr>
        <w:t>es shall be verified considering a percentage of time of 20% in the relevant propagation model (Recommendation ITU-R P.452) and an FSS Earth station antenna height of 10 m;</w:t>
      </w:r>
    </w:p>
    <w:p w:rsidR="00993602" w:rsidRDefault="00415A98">
      <w:r>
        <w:rPr>
          <w:rFonts w:eastAsia="宋体" w:hint="eastAsia"/>
          <w:lang w:val="en-US" w:eastAsia="zh-CN"/>
        </w:rPr>
        <w:t>4</w:t>
      </w:r>
      <w:r w:rsidR="000B0F7F">
        <w:tab/>
        <w:t xml:space="preserve">that administrations planning to implement a HAPS system in the </w:t>
      </w:r>
      <w:r w:rsidR="000B0F7F">
        <w:rPr>
          <w:szCs w:val="24"/>
        </w:rPr>
        <w:t>frequency band 38</w:t>
      </w:r>
      <w:r w:rsidR="000B0F7F">
        <w:rPr>
          <w:szCs w:val="24"/>
        </w:rPr>
        <w:t xml:space="preserve">-39.5 GHz </w:t>
      </w:r>
      <w:r w:rsidR="000B0F7F">
        <w:t>shall notify the frequency assignments by submitting all mandatory elements of Appendix </w:t>
      </w:r>
      <w:r w:rsidR="000B0F7F">
        <w:rPr>
          <w:b/>
          <w:bCs/>
        </w:rPr>
        <w:t>4</w:t>
      </w:r>
      <w:r w:rsidR="000B0F7F">
        <w:t xml:space="preserve"> to the Bureau for the examination of compliance with respect to this resolution with a view</w:t>
      </w:r>
      <w:r w:rsidR="000B0F7F">
        <w:rPr>
          <w:shd w:val="clear" w:color="auto" w:fill="FFFFFF" w:themeFill="background1"/>
        </w:rPr>
        <w:t xml:space="preserve"> to their registration in the Master International Frequency Regi</w:t>
      </w:r>
      <w:r w:rsidR="000B0F7F">
        <w:rPr>
          <w:shd w:val="clear" w:color="auto" w:fill="FFFFFF" w:themeFill="background1"/>
        </w:rPr>
        <w:t>ster,</w:t>
      </w:r>
    </w:p>
    <w:p w:rsidR="00993602" w:rsidRDefault="000B0F7F">
      <w:pPr>
        <w:pStyle w:val="Call"/>
      </w:pPr>
      <w:proofErr w:type="gramStart"/>
      <w:r>
        <w:t>instructs</w:t>
      </w:r>
      <w:proofErr w:type="gramEnd"/>
      <w:r>
        <w:t xml:space="preserve"> the Director of the </w:t>
      </w:r>
      <w:proofErr w:type="spellStart"/>
      <w:r>
        <w:t>Radiocommunication</w:t>
      </w:r>
      <w:proofErr w:type="spellEnd"/>
      <w:r>
        <w:t xml:space="preserve"> Bureau</w:t>
      </w:r>
    </w:p>
    <w:p w:rsidR="00993602" w:rsidRDefault="000B0F7F">
      <w:proofErr w:type="gramStart"/>
      <w:r>
        <w:t>to</w:t>
      </w:r>
      <w:proofErr w:type="gramEnd"/>
      <w:r>
        <w:t xml:space="preserve"> take all necessary measures to implement this Resolution.</w:t>
      </w:r>
    </w:p>
    <w:p w:rsidR="00993602" w:rsidRDefault="00993602">
      <w:pPr>
        <w:pStyle w:val="Reasons"/>
      </w:pPr>
    </w:p>
    <w:p w:rsidR="00993602" w:rsidRDefault="000B0F7F">
      <w:pPr>
        <w:jc w:val="center"/>
      </w:pPr>
      <w:r>
        <w:t>______________</w:t>
      </w:r>
    </w:p>
    <w:sectPr w:rsidR="00993602">
      <w:headerReference w:type="default" r:id="rId17"/>
      <w:footerReference w:type="even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7F" w:rsidRDefault="000B0F7F">
      <w:pPr>
        <w:spacing w:before="0"/>
      </w:pPr>
      <w:r>
        <w:separator/>
      </w:r>
    </w:p>
  </w:endnote>
  <w:endnote w:type="continuationSeparator" w:id="0">
    <w:p w:rsidR="000B0F7F" w:rsidRDefault="000B0F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02" w:rsidRDefault="000B0F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93602" w:rsidRDefault="000B0F7F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P:\ENG\ITU-R\CONF-R\CMR19\400\406E.docx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5A98">
      <w:rPr>
        <w:noProof/>
      </w:rPr>
      <w:t>18.11.19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17.11.19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02" w:rsidRDefault="000B0F7F">
    <w:pPr>
      <w:pStyle w:val="a5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P:\ENG\ITU-R\CONF-R\CMR19\400\406E.docx</w:t>
    </w:r>
    <w:r>
      <w:fldChar w:fldCharType="end"/>
    </w:r>
    <w:r>
      <w:t xml:space="preserve"> (464568)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02" w:rsidRDefault="000B0F7F">
    <w:pPr>
      <w:pStyle w:val="a5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</w:t>
    </w:r>
    <w:r>
      <w:rPr>
        <w:lang w:val="en-US"/>
      </w:rPr>
      <w:t>R\CMR19\400\406E.docx</w:t>
    </w:r>
    <w:r>
      <w:fldChar w:fldCharType="end"/>
    </w:r>
    <w:r>
      <w:t xml:space="preserve"> (464568)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7F" w:rsidRDefault="000B0F7F">
      <w:pPr>
        <w:spacing w:before="0"/>
      </w:pPr>
      <w:r>
        <w:separator/>
      </w:r>
    </w:p>
  </w:footnote>
  <w:footnote w:type="continuationSeparator" w:id="0">
    <w:p w:rsidR="000B0F7F" w:rsidRDefault="000B0F7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02" w:rsidRDefault="000B0F7F">
    <w:pPr>
      <w:pStyle w:val="a6"/>
    </w:pPr>
    <w:r>
      <w:fldChar w:fldCharType="begin"/>
    </w:r>
    <w:r>
      <w:instrText xml:space="preserve"> PAGE  \* MERGEFORMAT </w:instrText>
    </w:r>
    <w:r>
      <w:fldChar w:fldCharType="separate"/>
    </w:r>
    <w:r w:rsidR="00EF2C46">
      <w:rPr>
        <w:noProof/>
      </w:rPr>
      <w:t>9</w:t>
    </w:r>
    <w:r>
      <w:fldChar w:fldCharType="end"/>
    </w:r>
  </w:p>
  <w:p w:rsidR="00993602" w:rsidRDefault="000B0F7F">
    <w:pPr>
      <w:pStyle w:val="a6"/>
    </w:pPr>
    <w:r>
      <w:t>CMR19/</w:t>
    </w:r>
    <w:bookmarkStart w:id="9" w:name="OLE_LINK1"/>
    <w:bookmarkStart w:id="10" w:name="OLE_LINK2"/>
    <w:bookmarkStart w:id="11" w:name="OLE_LINK3"/>
    <w:r>
      <w:t>406</w:t>
    </w:r>
    <w:bookmarkEnd w:id="9"/>
    <w:bookmarkEnd w:id="10"/>
    <w:bookmarkEnd w:id="11"/>
    <w:r>
      <w:t>-E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  <w15:person w15:author="4z">
    <w15:presenceInfo w15:providerId="None" w15:userId="4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0F7F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A328B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2C1F"/>
    <w:rsid w:val="00377BD3"/>
    <w:rsid w:val="00384088"/>
    <w:rsid w:val="003852CE"/>
    <w:rsid w:val="0039169B"/>
    <w:rsid w:val="003937B4"/>
    <w:rsid w:val="003A7F8C"/>
    <w:rsid w:val="003B2284"/>
    <w:rsid w:val="003B532E"/>
    <w:rsid w:val="003D0F8B"/>
    <w:rsid w:val="003E0DB6"/>
    <w:rsid w:val="0041348E"/>
    <w:rsid w:val="00415A98"/>
    <w:rsid w:val="00420873"/>
    <w:rsid w:val="004376B7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37FB1"/>
    <w:rsid w:val="00645B7D"/>
    <w:rsid w:val="00657DE0"/>
    <w:rsid w:val="006821DA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93602"/>
    <w:rsid w:val="009B1EA1"/>
    <w:rsid w:val="009B7C9A"/>
    <w:rsid w:val="009C56E5"/>
    <w:rsid w:val="009C7716"/>
    <w:rsid w:val="009E16BE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06FF"/>
    <w:rsid w:val="00C324A8"/>
    <w:rsid w:val="00C54517"/>
    <w:rsid w:val="00C56F70"/>
    <w:rsid w:val="00C57B91"/>
    <w:rsid w:val="00C64CD8"/>
    <w:rsid w:val="00C82695"/>
    <w:rsid w:val="00C862B3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046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71DFD"/>
    <w:rsid w:val="00E976C1"/>
    <w:rsid w:val="00EA12E5"/>
    <w:rsid w:val="00EB55C6"/>
    <w:rsid w:val="00EF1932"/>
    <w:rsid w:val="00EF2C46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  <w:rsid w:val="05246A5B"/>
    <w:rsid w:val="0A8721A6"/>
    <w:rsid w:val="143600EC"/>
    <w:rsid w:val="2A4E3BA6"/>
    <w:rsid w:val="50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6" w:qFormat="1"/>
    <w:lsdException w:name="toc 8" w:qFormat="1"/>
    <w:lsdException w:name="toc 9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"/>
    <w:next w:val="a"/>
    <w:qFormat/>
    <w:pPr>
      <w:spacing w:before="200"/>
      <w:outlineLvl w:val="1"/>
    </w:pPr>
    <w:rPr>
      <w:sz w:val="24"/>
    </w:rPr>
  </w:style>
  <w:style w:type="paragraph" w:styleId="3">
    <w:name w:val="heading 3"/>
    <w:basedOn w:val="1"/>
    <w:next w:val="a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qFormat/>
    <w:pPr>
      <w:outlineLvl w:val="3"/>
    </w:pPr>
  </w:style>
  <w:style w:type="paragraph" w:styleId="5">
    <w:name w:val="heading 5"/>
    <w:basedOn w:val="4"/>
    <w:next w:val="a"/>
    <w:qFormat/>
    <w:pPr>
      <w:outlineLvl w:val="4"/>
    </w:pPr>
  </w:style>
  <w:style w:type="paragraph" w:styleId="6">
    <w:name w:val="heading 6"/>
    <w:basedOn w:val="4"/>
    <w:next w:val="a"/>
    <w:qFormat/>
    <w:pPr>
      <w:outlineLvl w:val="5"/>
    </w:pPr>
  </w:style>
  <w:style w:type="paragraph" w:styleId="7">
    <w:name w:val="heading 7"/>
    <w:basedOn w:val="6"/>
    <w:next w:val="a"/>
    <w:qFormat/>
    <w:pPr>
      <w:outlineLvl w:val="6"/>
    </w:pPr>
  </w:style>
  <w:style w:type="paragraph" w:styleId="8">
    <w:name w:val="heading 8"/>
    <w:basedOn w:val="6"/>
    <w:next w:val="a"/>
    <w:qFormat/>
    <w:pPr>
      <w:outlineLvl w:val="7"/>
    </w:pPr>
  </w:style>
  <w:style w:type="paragraph" w:styleId="9">
    <w:name w:val="heading 9"/>
    <w:basedOn w:val="6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40"/>
    <w:next w:val="a"/>
  </w:style>
  <w:style w:type="paragraph" w:styleId="40">
    <w:name w:val="toc 4"/>
    <w:basedOn w:val="30"/>
    <w:next w:val="a"/>
  </w:style>
  <w:style w:type="paragraph" w:styleId="30">
    <w:name w:val="toc 3"/>
    <w:basedOn w:val="20"/>
    <w:next w:val="a"/>
    <w:qFormat/>
  </w:style>
  <w:style w:type="paragraph" w:styleId="20">
    <w:name w:val="toc 2"/>
    <w:basedOn w:val="10"/>
    <w:next w:val="a"/>
    <w:qFormat/>
    <w:pPr>
      <w:spacing w:before="120"/>
    </w:pPr>
  </w:style>
  <w:style w:type="paragraph" w:styleId="10">
    <w:name w:val="toc 1"/>
    <w:basedOn w:val="a"/>
    <w:next w:val="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a3">
    <w:name w:val="Normal Indent"/>
    <w:basedOn w:val="a"/>
    <w:pPr>
      <w:ind w:left="1134"/>
    </w:pPr>
  </w:style>
  <w:style w:type="paragraph" w:styleId="50">
    <w:name w:val="toc 5"/>
    <w:basedOn w:val="40"/>
    <w:next w:val="a"/>
  </w:style>
  <w:style w:type="paragraph" w:styleId="80">
    <w:name w:val="toc 8"/>
    <w:basedOn w:val="40"/>
    <w:next w:val="a"/>
    <w:qFormat/>
  </w:style>
  <w:style w:type="paragraph" w:styleId="a4">
    <w:name w:val="Balloon Text"/>
    <w:basedOn w:val="a"/>
    <w:link w:val="Char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0"/>
    <w:qFormat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sz w:val="16"/>
    </w:rPr>
  </w:style>
  <w:style w:type="paragraph" w:styleId="a6">
    <w:name w:val="header"/>
    <w:basedOn w:val="a"/>
    <w:link w:val="Char1"/>
    <w:qFormat/>
    <w:pPr>
      <w:spacing w:before="0"/>
      <w:jc w:val="center"/>
    </w:pPr>
    <w:rPr>
      <w:sz w:val="18"/>
    </w:rPr>
  </w:style>
  <w:style w:type="paragraph" w:styleId="a7">
    <w:name w:val="footnote text"/>
    <w:basedOn w:val="a"/>
    <w:link w:val="Char2"/>
    <w:qFormat/>
    <w:pPr>
      <w:keepLines/>
      <w:tabs>
        <w:tab w:val="left" w:pos="255"/>
      </w:tabs>
    </w:pPr>
  </w:style>
  <w:style w:type="paragraph" w:styleId="60">
    <w:name w:val="toc 6"/>
    <w:basedOn w:val="40"/>
    <w:next w:val="a"/>
    <w:qFormat/>
  </w:style>
  <w:style w:type="character" w:styleId="a8">
    <w:name w:val="endnote reference"/>
    <w:basedOn w:val="a0"/>
    <w:qFormat/>
    <w:rPr>
      <w:vertAlign w:val="superscript"/>
    </w:rPr>
  </w:style>
  <w:style w:type="character" w:styleId="a9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styleId="aa">
    <w:name w:val="footnote reference"/>
    <w:basedOn w:val="a0"/>
    <w:qFormat/>
    <w:rPr>
      <w:position w:val="6"/>
      <w:sz w:val="18"/>
    </w:rPr>
  </w:style>
  <w:style w:type="paragraph" w:customStyle="1" w:styleId="Agendaitem">
    <w:name w:val="Agenda_item"/>
    <w:basedOn w:val="a"/>
    <w:next w:val="a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nnexNo">
    <w:name w:val="Annex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qFormat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a0"/>
    <w:qFormat/>
    <w:rPr>
      <w:rFonts w:ascii="Times New Roman" w:hAnsi="Times New Roman"/>
      <w:b/>
    </w:rPr>
  </w:style>
  <w:style w:type="character" w:customStyle="1" w:styleId="Appref">
    <w:name w:val="App_ref"/>
    <w:basedOn w:val="a0"/>
    <w:qFormat/>
  </w:style>
  <w:style w:type="paragraph" w:customStyle="1" w:styleId="AppendixNo">
    <w:name w:val="Appendix_No"/>
    <w:basedOn w:val="AnnexNo"/>
    <w:next w:val="Annexref"/>
  </w:style>
  <w:style w:type="paragraph" w:customStyle="1" w:styleId="ApptoAnnex">
    <w:name w:val="App_to_Annex"/>
    <w:basedOn w:val="AppendixNo"/>
    <w:next w:val="a"/>
    <w:qFormat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a"/>
  </w:style>
  <w:style w:type="character" w:customStyle="1" w:styleId="Artdef">
    <w:name w:val="Art_def"/>
    <w:basedOn w:val="a0"/>
    <w:qFormat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a"/>
    <w:next w:val="a"/>
    <w:qFormat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  <w:qFormat/>
  </w:style>
  <w:style w:type="paragraph" w:customStyle="1" w:styleId="Arttitle">
    <w:name w:val="Art_title"/>
    <w:basedOn w:val="a"/>
    <w:next w:val="a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a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Call">
    <w:name w:val="Call"/>
    <w:basedOn w:val="a"/>
    <w:next w:val="a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a"/>
    <w:qFormat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"/>
    <w:qFormat/>
  </w:style>
  <w:style w:type="paragraph" w:customStyle="1" w:styleId="enumlev1">
    <w:name w:val="enumlev1"/>
    <w:basedOn w:val="a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a"/>
    <w:qFormat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a"/>
    <w:next w:val="a"/>
    <w:pPr>
      <w:keepNext/>
      <w:keepLines/>
      <w:jc w:val="center"/>
    </w:pPr>
  </w:style>
  <w:style w:type="paragraph" w:customStyle="1" w:styleId="Figurelegend">
    <w:name w:val="Figure_legend"/>
    <w:basedOn w:val="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a"/>
    <w:next w:val="a"/>
    <w:qFormat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a"/>
    <w:qFormat/>
    <w:pPr>
      <w:keepNext w:val="0"/>
    </w:pPr>
  </w:style>
  <w:style w:type="character" w:customStyle="1" w:styleId="Char0">
    <w:name w:val="页脚 Char"/>
    <w:basedOn w:val="a0"/>
    <w:link w:val="a5"/>
    <w:qFormat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a5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customStyle="1" w:styleId="Char2">
    <w:name w:val="脚注文本 Char"/>
    <w:basedOn w:val="a0"/>
    <w:link w:val="a7"/>
    <w:qFormat/>
    <w:rPr>
      <w:rFonts w:ascii="Times New Roman" w:hAnsi="Times New Roman"/>
      <w:sz w:val="24"/>
      <w:lang w:val="en-GB" w:eastAsia="en-US"/>
    </w:rPr>
  </w:style>
  <w:style w:type="character" w:customStyle="1" w:styleId="Char1">
    <w:name w:val="页眉 Char"/>
    <w:basedOn w:val="a0"/>
    <w:link w:val="a6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a"/>
    <w:next w:val="a"/>
    <w:qFormat/>
    <w:pPr>
      <w:spacing w:before="280"/>
    </w:pPr>
  </w:style>
  <w:style w:type="paragraph" w:customStyle="1" w:styleId="Section1">
    <w:name w:val="Section_1"/>
    <w:basedOn w:val="a"/>
    <w:qFormat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Pr>
      <w:b w:val="0"/>
      <w:i/>
    </w:rPr>
  </w:style>
  <w:style w:type="paragraph" w:customStyle="1" w:styleId="Section3">
    <w:name w:val="Section_3"/>
    <w:basedOn w:val="Section1"/>
    <w:qFormat/>
    <w:rPr>
      <w:b w:val="0"/>
    </w:rPr>
  </w:style>
  <w:style w:type="paragraph" w:customStyle="1" w:styleId="SectionNo">
    <w:name w:val="Section_No"/>
    <w:basedOn w:val="AnnexNo"/>
    <w:next w:val="a"/>
    <w:qFormat/>
  </w:style>
  <w:style w:type="paragraph" w:customStyle="1" w:styleId="Sectiontitle">
    <w:name w:val="Section_title"/>
    <w:basedOn w:val="Annextitle"/>
    <w:next w:val="Normalaftertitle"/>
    <w:qFormat/>
  </w:style>
  <w:style w:type="paragraph" w:customStyle="1" w:styleId="Source">
    <w:name w:val="Source"/>
    <w:basedOn w:val="a"/>
    <w:next w:val="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Subsection1">
    <w:name w:val="Subsection_1"/>
    <w:basedOn w:val="Section1"/>
    <w:next w:val="Normalaftertitle"/>
    <w:qFormat/>
  </w:style>
  <w:style w:type="character" w:customStyle="1" w:styleId="Tablefreq">
    <w:name w:val="Table_freq"/>
    <w:basedOn w:val="a0"/>
    <w:qFormat/>
    <w:rPr>
      <w:b/>
      <w:color w:val="auto"/>
      <w:sz w:val="20"/>
    </w:rPr>
  </w:style>
  <w:style w:type="paragraph" w:customStyle="1" w:styleId="Tablehead">
    <w:name w:val="Table_head"/>
    <w:basedOn w:val="a"/>
    <w:qFormat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a"/>
    <w:qFormat/>
    <w:rPr>
      <w:sz w:val="20"/>
    </w:rPr>
  </w:style>
  <w:style w:type="paragraph" w:customStyle="1" w:styleId="TableNo">
    <w:name w:val="Table_No"/>
    <w:basedOn w:val="a"/>
    <w:next w:val="a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a"/>
    <w:next w:val="a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a"/>
    <w:next w:val="a"/>
    <w:qFormat/>
    <w:rPr>
      <w:lang w:val="en-US"/>
    </w:rPr>
  </w:style>
  <w:style w:type="paragraph" w:customStyle="1" w:styleId="Proposal">
    <w:name w:val="Proposal"/>
    <w:basedOn w:val="a"/>
    <w:next w:val="a"/>
    <w:qFormat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a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a"/>
    <w:next w:val="Normalaftertitle"/>
    <w:qFormat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a"/>
    <w:next w:val="a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a"/>
    <w:next w:val="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Title1">
    <w:name w:val="Title 1"/>
    <w:basedOn w:val="Source"/>
    <w:next w:val="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qFormat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Tabletext">
    <w:name w:val="Table_text"/>
    <w:basedOn w:val="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a"/>
    <w:next w:val="Tabletext"/>
    <w:qFormat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a"/>
    <w:next w:val="a"/>
    <w:qFormat/>
    <w:pPr>
      <w:spacing w:before="160"/>
    </w:pPr>
    <w:rPr>
      <w:i/>
    </w:rPr>
  </w:style>
  <w:style w:type="paragraph" w:customStyle="1" w:styleId="Headingb">
    <w:name w:val="Heading_b"/>
    <w:basedOn w:val="a"/>
    <w:next w:val="a"/>
    <w:qFormat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a"/>
    <w:next w:val="a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</w:style>
  <w:style w:type="paragraph" w:customStyle="1" w:styleId="PartNo">
    <w:name w:val="Part_No"/>
    <w:basedOn w:val="AnnexNo"/>
    <w:next w:val="a"/>
  </w:style>
  <w:style w:type="paragraph" w:customStyle="1" w:styleId="Partref">
    <w:name w:val="Part_ref"/>
    <w:basedOn w:val="Annexref"/>
    <w:next w:val="a"/>
  </w:style>
  <w:style w:type="paragraph" w:customStyle="1" w:styleId="Parttitle">
    <w:name w:val="Part_title"/>
    <w:basedOn w:val="Annextitle"/>
    <w:next w:val="Normalaftertitle"/>
  </w:style>
  <w:style w:type="paragraph" w:customStyle="1" w:styleId="Recdate">
    <w:name w:val="Rec_date"/>
    <w:basedOn w:val="a"/>
    <w:next w:val="Normalaftertitle"/>
    <w:pPr>
      <w:keepNext/>
      <w:keepLines/>
      <w:jc w:val="right"/>
    </w:pPr>
    <w:rPr>
      <w:sz w:val="22"/>
    </w:rPr>
  </w:style>
  <w:style w:type="paragraph" w:customStyle="1" w:styleId="RecNo">
    <w:name w:val="Rec_No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a"/>
    <w:qFormat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a"/>
    <w:link w:val="ResNoChar"/>
    <w:qFormat/>
  </w:style>
  <w:style w:type="paragraph" w:customStyle="1" w:styleId="Restitle">
    <w:name w:val="Res_title"/>
    <w:basedOn w:val="Rectitle"/>
    <w:next w:val="a"/>
    <w:link w:val="RestitleChar"/>
    <w:qFormat/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Committee">
    <w:name w:val="Committee"/>
    <w:basedOn w:val="a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a"/>
    <w:qFormat/>
    <w:pPr>
      <w:jc w:val="center"/>
    </w:pPr>
    <w:rPr>
      <w:b/>
      <w:bCs/>
      <w:sz w:val="28"/>
      <w:szCs w:val="28"/>
    </w:rPr>
  </w:style>
  <w:style w:type="character" w:customStyle="1" w:styleId="Char">
    <w:name w:val="批注框文本 Char"/>
    <w:basedOn w:val="a0"/>
    <w:link w:val="a4"/>
    <w:semiHidden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a0"/>
    <w:qFormat/>
    <w:rPr>
      <w:rFonts w:ascii="Times New Roman" w:hAnsi="Times New Roman"/>
    </w:rPr>
  </w:style>
  <w:style w:type="paragraph" w:customStyle="1" w:styleId="Normalsplit">
    <w:name w:val="Normal_split"/>
    <w:basedOn w:val="a"/>
    <w:qFormat/>
  </w:style>
  <w:style w:type="paragraph" w:customStyle="1" w:styleId="Headingsplit">
    <w:name w:val="Heading_split"/>
    <w:basedOn w:val="Headingi"/>
    <w:qFormat/>
    <w:rPr>
      <w:lang w:val="en-US"/>
    </w:rPr>
  </w:style>
  <w:style w:type="paragraph" w:customStyle="1" w:styleId="MethodHeadingb">
    <w:name w:val="Method_Headingb"/>
    <w:basedOn w:val="Headingb"/>
    <w:qFormat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1"/>
    <w:next w:val="a"/>
    <w:qFormat/>
  </w:style>
  <w:style w:type="paragraph" w:customStyle="1" w:styleId="Methodheading2">
    <w:name w:val="Method_heading2"/>
    <w:basedOn w:val="2"/>
    <w:next w:val="a"/>
    <w:qFormat/>
  </w:style>
  <w:style w:type="paragraph" w:customStyle="1" w:styleId="Methodheading3">
    <w:name w:val="Method_heading3"/>
    <w:basedOn w:val="3"/>
    <w:next w:val="a"/>
    <w:qFormat/>
  </w:style>
  <w:style w:type="paragraph" w:customStyle="1" w:styleId="Methodheading4">
    <w:name w:val="Method_heading4"/>
    <w:basedOn w:val="4"/>
    <w:next w:val="a"/>
    <w:qFormat/>
  </w:style>
  <w:style w:type="paragraph" w:customStyle="1" w:styleId="TableTextS5">
    <w:name w:val="Table_TextS5"/>
    <w:basedOn w:val="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a0"/>
    <w:qFormat/>
  </w:style>
  <w:style w:type="paragraph" w:customStyle="1" w:styleId="Normalaftertitle1">
    <w:name w:val="Normal after title1"/>
    <w:basedOn w:val="a"/>
    <w:next w:val="a"/>
    <w:qFormat/>
    <w:pPr>
      <w:spacing w:before="280"/>
    </w:pPr>
  </w:style>
  <w:style w:type="character" w:customStyle="1" w:styleId="CallChar">
    <w:name w:val="Call Char"/>
    <w:basedOn w:val="a0"/>
    <w:link w:val="Call"/>
    <w:qFormat/>
    <w:locked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basedOn w:val="a0"/>
    <w:link w:val="Restitle"/>
    <w:qFormat/>
    <w:locked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a0"/>
    <w:link w:val="ResNo"/>
    <w:qFormat/>
    <w:locked/>
    <w:rPr>
      <w:rFonts w:ascii="Times New Roman" w:hAnsi="Times New Roman"/>
      <w:caps/>
      <w:sz w:val="28"/>
      <w:lang w:val="en-GB" w:eastAsia="en-US"/>
    </w:rPr>
  </w:style>
  <w:style w:type="character" w:styleId="ab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6" w:qFormat="1"/>
    <w:lsdException w:name="toc 8" w:qFormat="1"/>
    <w:lsdException w:name="toc 9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"/>
    <w:next w:val="a"/>
    <w:qFormat/>
    <w:pPr>
      <w:spacing w:before="200"/>
      <w:outlineLvl w:val="1"/>
    </w:pPr>
    <w:rPr>
      <w:sz w:val="24"/>
    </w:rPr>
  </w:style>
  <w:style w:type="paragraph" w:styleId="3">
    <w:name w:val="heading 3"/>
    <w:basedOn w:val="1"/>
    <w:next w:val="a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qFormat/>
    <w:pPr>
      <w:outlineLvl w:val="3"/>
    </w:pPr>
  </w:style>
  <w:style w:type="paragraph" w:styleId="5">
    <w:name w:val="heading 5"/>
    <w:basedOn w:val="4"/>
    <w:next w:val="a"/>
    <w:qFormat/>
    <w:pPr>
      <w:outlineLvl w:val="4"/>
    </w:pPr>
  </w:style>
  <w:style w:type="paragraph" w:styleId="6">
    <w:name w:val="heading 6"/>
    <w:basedOn w:val="4"/>
    <w:next w:val="a"/>
    <w:qFormat/>
    <w:pPr>
      <w:outlineLvl w:val="5"/>
    </w:pPr>
  </w:style>
  <w:style w:type="paragraph" w:styleId="7">
    <w:name w:val="heading 7"/>
    <w:basedOn w:val="6"/>
    <w:next w:val="a"/>
    <w:qFormat/>
    <w:pPr>
      <w:outlineLvl w:val="6"/>
    </w:pPr>
  </w:style>
  <w:style w:type="paragraph" w:styleId="8">
    <w:name w:val="heading 8"/>
    <w:basedOn w:val="6"/>
    <w:next w:val="a"/>
    <w:qFormat/>
    <w:pPr>
      <w:outlineLvl w:val="7"/>
    </w:pPr>
  </w:style>
  <w:style w:type="paragraph" w:styleId="9">
    <w:name w:val="heading 9"/>
    <w:basedOn w:val="6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40"/>
    <w:next w:val="a"/>
  </w:style>
  <w:style w:type="paragraph" w:styleId="40">
    <w:name w:val="toc 4"/>
    <w:basedOn w:val="30"/>
    <w:next w:val="a"/>
  </w:style>
  <w:style w:type="paragraph" w:styleId="30">
    <w:name w:val="toc 3"/>
    <w:basedOn w:val="20"/>
    <w:next w:val="a"/>
    <w:qFormat/>
  </w:style>
  <w:style w:type="paragraph" w:styleId="20">
    <w:name w:val="toc 2"/>
    <w:basedOn w:val="10"/>
    <w:next w:val="a"/>
    <w:qFormat/>
    <w:pPr>
      <w:spacing w:before="120"/>
    </w:pPr>
  </w:style>
  <w:style w:type="paragraph" w:styleId="10">
    <w:name w:val="toc 1"/>
    <w:basedOn w:val="a"/>
    <w:next w:val="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a3">
    <w:name w:val="Normal Indent"/>
    <w:basedOn w:val="a"/>
    <w:pPr>
      <w:ind w:left="1134"/>
    </w:pPr>
  </w:style>
  <w:style w:type="paragraph" w:styleId="50">
    <w:name w:val="toc 5"/>
    <w:basedOn w:val="40"/>
    <w:next w:val="a"/>
  </w:style>
  <w:style w:type="paragraph" w:styleId="80">
    <w:name w:val="toc 8"/>
    <w:basedOn w:val="40"/>
    <w:next w:val="a"/>
    <w:qFormat/>
  </w:style>
  <w:style w:type="paragraph" w:styleId="a4">
    <w:name w:val="Balloon Text"/>
    <w:basedOn w:val="a"/>
    <w:link w:val="Char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0"/>
    <w:qFormat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sz w:val="16"/>
    </w:rPr>
  </w:style>
  <w:style w:type="paragraph" w:styleId="a6">
    <w:name w:val="header"/>
    <w:basedOn w:val="a"/>
    <w:link w:val="Char1"/>
    <w:qFormat/>
    <w:pPr>
      <w:spacing w:before="0"/>
      <w:jc w:val="center"/>
    </w:pPr>
    <w:rPr>
      <w:sz w:val="18"/>
    </w:rPr>
  </w:style>
  <w:style w:type="paragraph" w:styleId="a7">
    <w:name w:val="footnote text"/>
    <w:basedOn w:val="a"/>
    <w:link w:val="Char2"/>
    <w:qFormat/>
    <w:pPr>
      <w:keepLines/>
      <w:tabs>
        <w:tab w:val="left" w:pos="255"/>
      </w:tabs>
    </w:pPr>
  </w:style>
  <w:style w:type="paragraph" w:styleId="60">
    <w:name w:val="toc 6"/>
    <w:basedOn w:val="40"/>
    <w:next w:val="a"/>
    <w:qFormat/>
  </w:style>
  <w:style w:type="character" w:styleId="a8">
    <w:name w:val="endnote reference"/>
    <w:basedOn w:val="a0"/>
    <w:qFormat/>
    <w:rPr>
      <w:vertAlign w:val="superscript"/>
    </w:rPr>
  </w:style>
  <w:style w:type="character" w:styleId="a9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styleId="aa">
    <w:name w:val="footnote reference"/>
    <w:basedOn w:val="a0"/>
    <w:qFormat/>
    <w:rPr>
      <w:position w:val="6"/>
      <w:sz w:val="18"/>
    </w:rPr>
  </w:style>
  <w:style w:type="paragraph" w:customStyle="1" w:styleId="Agendaitem">
    <w:name w:val="Agenda_item"/>
    <w:basedOn w:val="a"/>
    <w:next w:val="a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nnexNo">
    <w:name w:val="Annex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qFormat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a0"/>
    <w:qFormat/>
    <w:rPr>
      <w:rFonts w:ascii="Times New Roman" w:hAnsi="Times New Roman"/>
      <w:b/>
    </w:rPr>
  </w:style>
  <w:style w:type="character" w:customStyle="1" w:styleId="Appref">
    <w:name w:val="App_ref"/>
    <w:basedOn w:val="a0"/>
    <w:qFormat/>
  </w:style>
  <w:style w:type="paragraph" w:customStyle="1" w:styleId="AppendixNo">
    <w:name w:val="Appendix_No"/>
    <w:basedOn w:val="AnnexNo"/>
    <w:next w:val="Annexref"/>
  </w:style>
  <w:style w:type="paragraph" w:customStyle="1" w:styleId="ApptoAnnex">
    <w:name w:val="App_to_Annex"/>
    <w:basedOn w:val="AppendixNo"/>
    <w:next w:val="a"/>
    <w:qFormat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a"/>
  </w:style>
  <w:style w:type="character" w:customStyle="1" w:styleId="Artdef">
    <w:name w:val="Art_def"/>
    <w:basedOn w:val="a0"/>
    <w:qFormat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a"/>
    <w:next w:val="a"/>
    <w:qFormat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  <w:qFormat/>
  </w:style>
  <w:style w:type="paragraph" w:customStyle="1" w:styleId="Arttitle">
    <w:name w:val="Art_title"/>
    <w:basedOn w:val="a"/>
    <w:next w:val="a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a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Call">
    <w:name w:val="Call"/>
    <w:basedOn w:val="a"/>
    <w:next w:val="a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a"/>
    <w:qFormat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"/>
    <w:qFormat/>
  </w:style>
  <w:style w:type="paragraph" w:customStyle="1" w:styleId="enumlev1">
    <w:name w:val="enumlev1"/>
    <w:basedOn w:val="a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a"/>
    <w:qFormat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a"/>
    <w:next w:val="a"/>
    <w:pPr>
      <w:keepNext/>
      <w:keepLines/>
      <w:jc w:val="center"/>
    </w:pPr>
  </w:style>
  <w:style w:type="paragraph" w:customStyle="1" w:styleId="Figurelegend">
    <w:name w:val="Figure_legend"/>
    <w:basedOn w:val="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a"/>
    <w:next w:val="a"/>
    <w:qFormat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a"/>
    <w:qFormat/>
    <w:pPr>
      <w:keepNext w:val="0"/>
    </w:pPr>
  </w:style>
  <w:style w:type="character" w:customStyle="1" w:styleId="Char0">
    <w:name w:val="页脚 Char"/>
    <w:basedOn w:val="a0"/>
    <w:link w:val="a5"/>
    <w:qFormat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a5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customStyle="1" w:styleId="Char2">
    <w:name w:val="脚注文本 Char"/>
    <w:basedOn w:val="a0"/>
    <w:link w:val="a7"/>
    <w:qFormat/>
    <w:rPr>
      <w:rFonts w:ascii="Times New Roman" w:hAnsi="Times New Roman"/>
      <w:sz w:val="24"/>
      <w:lang w:val="en-GB" w:eastAsia="en-US"/>
    </w:rPr>
  </w:style>
  <w:style w:type="character" w:customStyle="1" w:styleId="Char1">
    <w:name w:val="页眉 Char"/>
    <w:basedOn w:val="a0"/>
    <w:link w:val="a6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a"/>
    <w:next w:val="a"/>
    <w:qFormat/>
    <w:pPr>
      <w:spacing w:before="280"/>
    </w:pPr>
  </w:style>
  <w:style w:type="paragraph" w:customStyle="1" w:styleId="Section1">
    <w:name w:val="Section_1"/>
    <w:basedOn w:val="a"/>
    <w:qFormat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Pr>
      <w:b w:val="0"/>
      <w:i/>
    </w:rPr>
  </w:style>
  <w:style w:type="paragraph" w:customStyle="1" w:styleId="Section3">
    <w:name w:val="Section_3"/>
    <w:basedOn w:val="Section1"/>
    <w:qFormat/>
    <w:rPr>
      <w:b w:val="0"/>
    </w:rPr>
  </w:style>
  <w:style w:type="paragraph" w:customStyle="1" w:styleId="SectionNo">
    <w:name w:val="Section_No"/>
    <w:basedOn w:val="AnnexNo"/>
    <w:next w:val="a"/>
    <w:qFormat/>
  </w:style>
  <w:style w:type="paragraph" w:customStyle="1" w:styleId="Sectiontitle">
    <w:name w:val="Section_title"/>
    <w:basedOn w:val="Annextitle"/>
    <w:next w:val="Normalaftertitle"/>
    <w:qFormat/>
  </w:style>
  <w:style w:type="paragraph" w:customStyle="1" w:styleId="Source">
    <w:name w:val="Source"/>
    <w:basedOn w:val="a"/>
    <w:next w:val="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Subsection1">
    <w:name w:val="Subsection_1"/>
    <w:basedOn w:val="Section1"/>
    <w:next w:val="Normalaftertitle"/>
    <w:qFormat/>
  </w:style>
  <w:style w:type="character" w:customStyle="1" w:styleId="Tablefreq">
    <w:name w:val="Table_freq"/>
    <w:basedOn w:val="a0"/>
    <w:qFormat/>
    <w:rPr>
      <w:b/>
      <w:color w:val="auto"/>
      <w:sz w:val="20"/>
    </w:rPr>
  </w:style>
  <w:style w:type="paragraph" w:customStyle="1" w:styleId="Tablehead">
    <w:name w:val="Table_head"/>
    <w:basedOn w:val="a"/>
    <w:qFormat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a"/>
    <w:qFormat/>
    <w:rPr>
      <w:sz w:val="20"/>
    </w:rPr>
  </w:style>
  <w:style w:type="paragraph" w:customStyle="1" w:styleId="TableNo">
    <w:name w:val="Table_No"/>
    <w:basedOn w:val="a"/>
    <w:next w:val="a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a"/>
    <w:next w:val="a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a"/>
    <w:next w:val="a"/>
    <w:qFormat/>
    <w:rPr>
      <w:lang w:val="en-US"/>
    </w:rPr>
  </w:style>
  <w:style w:type="paragraph" w:customStyle="1" w:styleId="Proposal">
    <w:name w:val="Proposal"/>
    <w:basedOn w:val="a"/>
    <w:next w:val="a"/>
    <w:qFormat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a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a"/>
    <w:next w:val="Normalaftertitle"/>
    <w:qFormat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a"/>
    <w:next w:val="a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a"/>
    <w:next w:val="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Title1">
    <w:name w:val="Title 1"/>
    <w:basedOn w:val="Source"/>
    <w:next w:val="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qFormat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Tabletext">
    <w:name w:val="Table_text"/>
    <w:basedOn w:val="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a"/>
    <w:next w:val="Tabletext"/>
    <w:qFormat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a"/>
    <w:next w:val="a"/>
    <w:qFormat/>
    <w:pPr>
      <w:spacing w:before="160"/>
    </w:pPr>
    <w:rPr>
      <w:i/>
    </w:rPr>
  </w:style>
  <w:style w:type="paragraph" w:customStyle="1" w:styleId="Headingb">
    <w:name w:val="Heading_b"/>
    <w:basedOn w:val="a"/>
    <w:next w:val="a"/>
    <w:qFormat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a"/>
    <w:next w:val="a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</w:style>
  <w:style w:type="paragraph" w:customStyle="1" w:styleId="PartNo">
    <w:name w:val="Part_No"/>
    <w:basedOn w:val="AnnexNo"/>
    <w:next w:val="a"/>
  </w:style>
  <w:style w:type="paragraph" w:customStyle="1" w:styleId="Partref">
    <w:name w:val="Part_ref"/>
    <w:basedOn w:val="Annexref"/>
    <w:next w:val="a"/>
  </w:style>
  <w:style w:type="paragraph" w:customStyle="1" w:styleId="Parttitle">
    <w:name w:val="Part_title"/>
    <w:basedOn w:val="Annextitle"/>
    <w:next w:val="Normalaftertitle"/>
  </w:style>
  <w:style w:type="paragraph" w:customStyle="1" w:styleId="Recdate">
    <w:name w:val="Rec_date"/>
    <w:basedOn w:val="a"/>
    <w:next w:val="Normalaftertitle"/>
    <w:pPr>
      <w:keepNext/>
      <w:keepLines/>
      <w:jc w:val="right"/>
    </w:pPr>
    <w:rPr>
      <w:sz w:val="22"/>
    </w:rPr>
  </w:style>
  <w:style w:type="paragraph" w:customStyle="1" w:styleId="RecNo">
    <w:name w:val="Rec_No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a"/>
    <w:qFormat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a"/>
    <w:link w:val="ResNoChar"/>
    <w:qFormat/>
  </w:style>
  <w:style w:type="paragraph" w:customStyle="1" w:styleId="Restitle">
    <w:name w:val="Res_title"/>
    <w:basedOn w:val="Rectitle"/>
    <w:next w:val="a"/>
    <w:link w:val="RestitleChar"/>
    <w:qFormat/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Committee">
    <w:name w:val="Committee"/>
    <w:basedOn w:val="a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a"/>
    <w:qFormat/>
    <w:pPr>
      <w:jc w:val="center"/>
    </w:pPr>
    <w:rPr>
      <w:b/>
      <w:bCs/>
      <w:sz w:val="28"/>
      <w:szCs w:val="28"/>
    </w:rPr>
  </w:style>
  <w:style w:type="character" w:customStyle="1" w:styleId="Char">
    <w:name w:val="批注框文本 Char"/>
    <w:basedOn w:val="a0"/>
    <w:link w:val="a4"/>
    <w:semiHidden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a0"/>
    <w:qFormat/>
    <w:rPr>
      <w:rFonts w:ascii="Times New Roman" w:hAnsi="Times New Roman"/>
    </w:rPr>
  </w:style>
  <w:style w:type="paragraph" w:customStyle="1" w:styleId="Normalsplit">
    <w:name w:val="Normal_split"/>
    <w:basedOn w:val="a"/>
    <w:qFormat/>
  </w:style>
  <w:style w:type="paragraph" w:customStyle="1" w:styleId="Headingsplit">
    <w:name w:val="Heading_split"/>
    <w:basedOn w:val="Headingi"/>
    <w:qFormat/>
    <w:rPr>
      <w:lang w:val="en-US"/>
    </w:rPr>
  </w:style>
  <w:style w:type="paragraph" w:customStyle="1" w:styleId="MethodHeadingb">
    <w:name w:val="Method_Headingb"/>
    <w:basedOn w:val="Headingb"/>
    <w:qFormat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1"/>
    <w:next w:val="a"/>
    <w:qFormat/>
  </w:style>
  <w:style w:type="paragraph" w:customStyle="1" w:styleId="Methodheading2">
    <w:name w:val="Method_heading2"/>
    <w:basedOn w:val="2"/>
    <w:next w:val="a"/>
    <w:qFormat/>
  </w:style>
  <w:style w:type="paragraph" w:customStyle="1" w:styleId="Methodheading3">
    <w:name w:val="Method_heading3"/>
    <w:basedOn w:val="3"/>
    <w:next w:val="a"/>
    <w:qFormat/>
  </w:style>
  <w:style w:type="paragraph" w:customStyle="1" w:styleId="Methodheading4">
    <w:name w:val="Method_heading4"/>
    <w:basedOn w:val="4"/>
    <w:next w:val="a"/>
    <w:qFormat/>
  </w:style>
  <w:style w:type="paragraph" w:customStyle="1" w:styleId="TableTextS5">
    <w:name w:val="Table_TextS5"/>
    <w:basedOn w:val="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a0"/>
    <w:qFormat/>
  </w:style>
  <w:style w:type="paragraph" w:customStyle="1" w:styleId="Normalaftertitle1">
    <w:name w:val="Normal after title1"/>
    <w:basedOn w:val="a"/>
    <w:next w:val="a"/>
    <w:qFormat/>
    <w:pPr>
      <w:spacing w:before="280"/>
    </w:pPr>
  </w:style>
  <w:style w:type="character" w:customStyle="1" w:styleId="CallChar">
    <w:name w:val="Call Char"/>
    <w:basedOn w:val="a0"/>
    <w:link w:val="Call"/>
    <w:qFormat/>
    <w:locked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basedOn w:val="a0"/>
    <w:link w:val="Restitle"/>
    <w:qFormat/>
    <w:locked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a0"/>
    <w:link w:val="ResNo"/>
    <w:qFormat/>
    <w:locked/>
    <w:rPr>
      <w:rFonts w:ascii="Times New Roman" w:hAnsi="Times New Roman"/>
      <w:caps/>
      <w:sz w:val="28"/>
      <w:lang w:val="en-GB" w:eastAsia="en-US"/>
    </w:rPr>
  </w:style>
  <w:style w:type="character" w:styleId="ab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irouarm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R16-WRC19-C-0406!!MSW-E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29D8B-E37E-40B3-A08D-3C8CA972A8D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7FECC4-C1CB-4470-97AB-51FC97C3BB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EC86AD8-7486-4B87-9ACC-1341F92B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2881</Words>
  <Characters>16427</Characters>
  <Application>Microsoft Office Word</Application>
  <DocSecurity>0</DocSecurity>
  <Lines>136</Lines>
  <Paragraphs>38</Paragraphs>
  <ScaleCrop>false</ScaleCrop>
  <Manager>General Secretariat - Pool</Manager>
  <Company>International Telecommunication Union (ITU)</Company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R16-WRC19-C-0406!!MSW-E</dc:title>
  <dc:subject>World Radiocommunication Conference - 2019</dc:subject>
  <dc:creator>Documents Proposals Manager (DPM)</dc:creator>
  <cp:keywords>DPM_v2019.11.15.2_prod</cp:keywords>
  <dc:description>Uploaded on 2015.07.06</dc:description>
  <cp:lastModifiedBy>Dong ZHOU</cp:lastModifiedBy>
  <cp:revision>2</cp:revision>
  <cp:lastPrinted>2019-11-17T11:10:00Z</cp:lastPrinted>
  <dcterms:created xsi:type="dcterms:W3CDTF">2019-11-18T10:18:00Z</dcterms:created>
  <dcterms:modified xsi:type="dcterms:W3CDTF">2019-11-18T10:18:00Z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  <property fmtid="{D5CDD505-2E9C-101B-9397-08002B2CF9AE}" pid="11" name="KSOProductBuildVer">
    <vt:lpwstr>2052-11.1.0.9005</vt:lpwstr>
  </property>
</Properties>
</file>