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2463D3" w14:paraId="652F96C4" w14:textId="77777777" w:rsidTr="00F320AA">
        <w:trPr>
          <w:cantSplit/>
        </w:trPr>
        <w:tc>
          <w:tcPr>
            <w:tcW w:w="1418" w:type="dxa"/>
            <w:vAlign w:val="center"/>
          </w:tcPr>
          <w:p w14:paraId="18664408" w14:textId="77777777" w:rsidR="00F320AA" w:rsidRPr="002463D3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2463D3">
              <w:drawing>
                <wp:inline distT="0" distB="0" distL="0" distR="0" wp14:anchorId="41F18A49" wp14:editId="6A52E709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64CAFAA" w14:textId="77777777" w:rsidR="00F320AA" w:rsidRPr="002463D3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2463D3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2463D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2463D3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66FBCE8B" w14:textId="77777777" w:rsidR="00F320AA" w:rsidRPr="002463D3" w:rsidRDefault="00EB0812" w:rsidP="00F320AA">
            <w:pPr>
              <w:spacing w:before="0" w:line="240" w:lineRule="atLeast"/>
            </w:pPr>
            <w:r w:rsidRPr="002463D3">
              <w:drawing>
                <wp:inline distT="0" distB="0" distL="0" distR="0" wp14:anchorId="09764048" wp14:editId="188CAEE0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2463D3" w14:paraId="35B5133C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6DB7C919" w14:textId="77777777" w:rsidR="00A066F1" w:rsidRPr="002463D3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3EAAB380" w14:textId="77777777" w:rsidR="00A066F1" w:rsidRPr="002463D3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2463D3" w14:paraId="3AE7CAEB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7EAFC78D" w14:textId="77777777" w:rsidR="00A066F1" w:rsidRPr="002463D3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887557F" w14:textId="77777777" w:rsidR="00A066F1" w:rsidRPr="002463D3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2463D3" w14:paraId="56AE8FF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96074C8" w14:textId="77777777" w:rsidR="00A066F1" w:rsidRPr="002463D3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2463D3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46D0D93" w14:textId="77777777" w:rsidR="00A066F1" w:rsidRPr="002463D3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2463D3">
              <w:rPr>
                <w:rFonts w:ascii="Verdana" w:hAnsi="Verdana"/>
                <w:b/>
                <w:sz w:val="20"/>
              </w:rPr>
              <w:t>Addendum 19 to</w:t>
            </w:r>
            <w:r w:rsidRPr="002463D3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2463D3">
              <w:rPr>
                <w:rFonts w:ascii="Verdana" w:hAnsi="Verdana"/>
                <w:b/>
                <w:sz w:val="20"/>
              </w:rPr>
              <w:t>-</w:t>
            </w:r>
            <w:r w:rsidR="005E10C9" w:rsidRPr="002463D3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2463D3" w14:paraId="3559C30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1D63FEB" w14:textId="77777777" w:rsidR="00A066F1" w:rsidRPr="002463D3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135EC289" w14:textId="77777777" w:rsidR="00A066F1" w:rsidRPr="002463D3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2463D3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2463D3" w14:paraId="6ABE9F9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F9C02C4" w14:textId="77777777" w:rsidR="00A066F1" w:rsidRPr="002463D3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2F22F285" w14:textId="77777777" w:rsidR="00A066F1" w:rsidRPr="002463D3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2463D3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2463D3" w14:paraId="4EB7616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DFC9A47" w14:textId="77777777" w:rsidR="00A066F1" w:rsidRPr="002463D3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2463D3" w14:paraId="2CE135D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C204418" w14:textId="77777777" w:rsidR="00E55816" w:rsidRPr="002463D3" w:rsidRDefault="00884D60" w:rsidP="00E55816">
            <w:pPr>
              <w:pStyle w:val="Source"/>
            </w:pPr>
            <w:r w:rsidRPr="002463D3">
              <w:t>Asia-Pacific Telecommunity Common Proposals</w:t>
            </w:r>
          </w:p>
        </w:tc>
      </w:tr>
      <w:tr w:rsidR="00E55816" w:rsidRPr="002463D3" w14:paraId="3BE3A7B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6DB7350" w14:textId="77777777" w:rsidR="00E55816" w:rsidRPr="002463D3" w:rsidRDefault="007D5320" w:rsidP="00E55816">
            <w:pPr>
              <w:pStyle w:val="Title1"/>
            </w:pPr>
            <w:r w:rsidRPr="002463D3">
              <w:t>PROPOSALS FOR THE WORK OF THE CONFERENCE</w:t>
            </w:r>
          </w:p>
        </w:tc>
      </w:tr>
      <w:tr w:rsidR="00E55816" w:rsidRPr="002463D3" w14:paraId="278041EC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7A607A6" w14:textId="77777777" w:rsidR="00E55816" w:rsidRPr="002463D3" w:rsidRDefault="00E55816" w:rsidP="00E55816">
            <w:pPr>
              <w:pStyle w:val="Title2"/>
            </w:pPr>
          </w:p>
        </w:tc>
      </w:tr>
      <w:tr w:rsidR="00A538A6" w:rsidRPr="002463D3" w14:paraId="565E5EA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E6DD3AC" w14:textId="77777777" w:rsidR="00A538A6" w:rsidRPr="002463D3" w:rsidRDefault="004B13CB" w:rsidP="004B13CB">
            <w:pPr>
              <w:pStyle w:val="Agendaitem"/>
              <w:rPr>
                <w:lang w:val="en-GB"/>
              </w:rPr>
            </w:pPr>
            <w:r w:rsidRPr="002463D3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7D6104C0" w14:textId="77777777" w:rsidR="00187BD9" w:rsidRPr="002463D3" w:rsidRDefault="008E34F5" w:rsidP="007830D8">
      <w:pPr>
        <w:pStyle w:val="Normalaftertitle"/>
      </w:pPr>
      <w:r w:rsidRPr="002463D3">
        <w:t>10</w:t>
      </w:r>
      <w:r w:rsidRPr="002463D3">
        <w:rPr>
          <w:b/>
          <w:bCs/>
        </w:rPr>
        <w:tab/>
      </w:r>
      <w:r w:rsidRPr="002463D3">
        <w:t xml:space="preserve">to recommend to the ITU Council items for inclusion in the agenda for the next world radiocommunication conference, </w:t>
      </w:r>
      <w:r w:rsidRPr="002463D3">
        <w:rPr>
          <w:iCs/>
        </w:rPr>
        <w:t xml:space="preserve">and items for the preliminary agenda of future conferences, </w:t>
      </w:r>
      <w:r w:rsidRPr="002463D3">
        <w:t xml:space="preserve">in accordance with Article 7 of the ITU Convention </w:t>
      </w:r>
      <w:r w:rsidRPr="002463D3">
        <w:rPr>
          <w:iCs/>
        </w:rPr>
        <w:t xml:space="preserve">and Resolution </w:t>
      </w:r>
      <w:r w:rsidRPr="002463D3">
        <w:rPr>
          <w:b/>
          <w:bCs/>
          <w:iCs/>
        </w:rPr>
        <w:t>804 (Rev.WRC</w:t>
      </w:r>
      <w:r w:rsidRPr="002463D3">
        <w:rPr>
          <w:b/>
          <w:bCs/>
          <w:iCs/>
        </w:rPr>
        <w:noBreakHyphen/>
        <w:t>19)</w:t>
      </w:r>
      <w:r w:rsidRPr="002463D3">
        <w:rPr>
          <w:iCs/>
        </w:rPr>
        <w:t>,</w:t>
      </w:r>
    </w:p>
    <w:p w14:paraId="14566EF6" w14:textId="77777777" w:rsidR="007830D8" w:rsidRPr="002463D3" w:rsidRDefault="007830D8" w:rsidP="007830D8">
      <w:pPr>
        <w:pStyle w:val="Headingb"/>
        <w:rPr>
          <w:lang w:val="en-GB"/>
        </w:rPr>
      </w:pPr>
      <w:r w:rsidRPr="002463D3">
        <w:rPr>
          <w:lang w:val="en-GB"/>
        </w:rPr>
        <w:t>Introduction</w:t>
      </w:r>
    </w:p>
    <w:p w14:paraId="52EB9CDF" w14:textId="77777777" w:rsidR="007830D8" w:rsidRPr="002463D3" w:rsidRDefault="007830D8" w:rsidP="007830D8">
      <w:pPr>
        <w:rPr>
          <w:b/>
          <w:bCs/>
        </w:rPr>
      </w:pPr>
      <w:r w:rsidRPr="002463D3">
        <w:t xml:space="preserve">APT Members do not support the inclusion of WRC-27 preliminary agenda item 2.8 in the agenda of WRC-27 and support the suppression of Resolution </w:t>
      </w:r>
      <w:r w:rsidRPr="002463D3">
        <w:rPr>
          <w:b/>
          <w:bCs/>
        </w:rPr>
        <w:t>249 (WRC-19)</w:t>
      </w:r>
      <w:r w:rsidRPr="002463D3">
        <w:t>.</w:t>
      </w:r>
    </w:p>
    <w:p w14:paraId="5155F4F9" w14:textId="4DA000D3" w:rsidR="007830D8" w:rsidRPr="002463D3" w:rsidRDefault="007830D8" w:rsidP="007830D8">
      <w:pPr>
        <w:pStyle w:val="Headingb"/>
        <w:rPr>
          <w:lang w:val="en-GB"/>
        </w:rPr>
      </w:pPr>
      <w:r w:rsidRPr="002463D3">
        <w:rPr>
          <w:lang w:val="en-GB"/>
        </w:rPr>
        <w:t>Proposals</w:t>
      </w:r>
    </w:p>
    <w:p w14:paraId="3968BB37" w14:textId="77777777" w:rsidR="00187BD9" w:rsidRPr="002463D3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2463D3">
        <w:br w:type="page"/>
      </w:r>
    </w:p>
    <w:p w14:paraId="01E2F25E" w14:textId="77777777" w:rsidR="00343BC1" w:rsidRPr="002463D3" w:rsidRDefault="008E34F5">
      <w:pPr>
        <w:pStyle w:val="Proposal"/>
      </w:pPr>
      <w:r w:rsidRPr="002463D3">
        <w:lastRenderedPageBreak/>
        <w:t>SUP</w:t>
      </w:r>
      <w:r w:rsidRPr="002463D3">
        <w:tab/>
        <w:t>ACP/62A27A19/1</w:t>
      </w:r>
    </w:p>
    <w:p w14:paraId="7A78BB43" w14:textId="77777777" w:rsidR="008E34F5" w:rsidRPr="002463D3" w:rsidRDefault="008E34F5" w:rsidP="006539CD">
      <w:pPr>
        <w:pStyle w:val="ResNo"/>
      </w:pPr>
      <w:bookmarkStart w:id="7" w:name="_Toc39649465"/>
      <w:r w:rsidRPr="002463D3">
        <w:t xml:space="preserve">RESOLUTION </w:t>
      </w:r>
      <w:r w:rsidRPr="002463D3">
        <w:rPr>
          <w:rStyle w:val="href"/>
        </w:rPr>
        <w:t>249</w:t>
      </w:r>
      <w:r w:rsidRPr="002463D3">
        <w:t xml:space="preserve"> (WRC</w:t>
      </w:r>
      <w:r w:rsidRPr="002463D3">
        <w:noBreakHyphen/>
        <w:t>19)</w:t>
      </w:r>
      <w:bookmarkEnd w:id="7"/>
    </w:p>
    <w:p w14:paraId="04B5059D" w14:textId="77777777" w:rsidR="008E34F5" w:rsidRPr="002463D3" w:rsidRDefault="008E34F5" w:rsidP="006539CD">
      <w:pPr>
        <w:pStyle w:val="Restitle"/>
      </w:pPr>
      <w:bookmarkStart w:id="8" w:name="_Toc35789335"/>
      <w:bookmarkStart w:id="9" w:name="_Toc35857032"/>
      <w:bookmarkStart w:id="10" w:name="_Toc35877667"/>
      <w:bookmarkStart w:id="11" w:name="_Toc35963610"/>
      <w:bookmarkStart w:id="12" w:name="_Toc39649466"/>
      <w:r w:rsidRPr="002463D3">
        <w:t>Study of technical and operational issues and regulatory provisions for space-to-space transmissions in the Earth-to-space direction in the frequency bands [1 610-1 645.5 and 1 646.5-1 660.5 MHz]</w:t>
      </w:r>
      <w:r w:rsidRPr="002463D3">
        <w:rPr>
          <w:rFonts w:eastAsiaTheme="minorHAnsi"/>
        </w:rPr>
        <w:t xml:space="preserve"> </w:t>
      </w:r>
      <w:r w:rsidRPr="002463D3">
        <w:t>and the space-to-Earth direction in the frequency bands [1 525-1 544 MHz], [1 545-1 559 MHz], [1 613.8-1 626.5 MHz] and [2 483.5-2 500 MHz] among non-geostationary and geostationary satellites operating in the mobile-satellite service</w:t>
      </w:r>
      <w:r w:rsidRPr="002463D3">
        <w:rPr>
          <w:rStyle w:val="FootnoteReference"/>
        </w:rPr>
        <w:footnoteReference w:customMarkFollows="1" w:id="1"/>
        <w:t>*</w:t>
      </w:r>
      <w:bookmarkEnd w:id="8"/>
      <w:bookmarkEnd w:id="9"/>
      <w:bookmarkEnd w:id="10"/>
      <w:bookmarkEnd w:id="11"/>
      <w:bookmarkEnd w:id="12"/>
    </w:p>
    <w:p w14:paraId="157A46A5" w14:textId="77777777" w:rsidR="007830D8" w:rsidRPr="002463D3" w:rsidRDefault="007830D8" w:rsidP="007830D8">
      <w:pPr>
        <w:pStyle w:val="Reasons"/>
        <w:rPr>
          <w:rFonts w:cstheme="minorHAnsi"/>
        </w:rPr>
      </w:pPr>
      <w:r w:rsidRPr="002463D3">
        <w:rPr>
          <w:b/>
        </w:rPr>
        <w:t>Reasons:</w:t>
      </w:r>
      <w:r w:rsidRPr="002463D3">
        <w:tab/>
        <w:t xml:space="preserve">APT Members do not support the inclusion of WRC-27 preliminary agenda item 2.8 in the agenda of WRC-27 and support the suppression of Resolution </w:t>
      </w:r>
      <w:r w:rsidRPr="002463D3">
        <w:rPr>
          <w:b/>
          <w:bCs/>
        </w:rPr>
        <w:t>249 (WRC-19)</w:t>
      </w:r>
      <w:r w:rsidRPr="002463D3">
        <w:t>.</w:t>
      </w:r>
    </w:p>
    <w:p w14:paraId="679B0A93" w14:textId="3186E079" w:rsidR="00343BC1" w:rsidRDefault="007830D8" w:rsidP="007830D8">
      <w:pPr>
        <w:spacing w:before="360"/>
        <w:jc w:val="center"/>
      </w:pPr>
      <w:r w:rsidRPr="002463D3">
        <w:t>___________</w:t>
      </w:r>
    </w:p>
    <w:sectPr w:rsidR="00343BC1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4EA3" w14:textId="77777777" w:rsidR="0022757F" w:rsidRDefault="0022757F">
      <w:r>
        <w:separator/>
      </w:r>
    </w:p>
  </w:endnote>
  <w:endnote w:type="continuationSeparator" w:id="0">
    <w:p w14:paraId="6A63E122" w14:textId="77777777" w:rsidR="0022757F" w:rsidRDefault="0022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D4DC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2F5A67B" w14:textId="1B16DEEC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463D3">
      <w:rPr>
        <w:noProof/>
      </w:rPr>
      <w:t>16.10.23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58F8" w14:textId="55E02B51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2463D3">
      <w:rPr>
        <w:lang w:val="en-US"/>
      </w:rPr>
      <w:t>P:\ENG\ITU-R\CONF-R\CMR23\000\062ADD27ADD19E.docx</w:t>
    </w:r>
    <w:r>
      <w:fldChar w:fldCharType="end"/>
    </w:r>
    <w:r w:rsidR="00C052EF">
      <w:t xml:space="preserve"> (529013)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6C26" w14:textId="7C53FD2F" w:rsidR="00C052EF" w:rsidRDefault="00C052EF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2463D3">
      <w:rPr>
        <w:lang w:val="en-US"/>
      </w:rPr>
      <w:t>P:\ENG\ITU-R\CONF-R\CMR23\000\062ADD27ADD19E.docx</w:t>
    </w:r>
    <w:r>
      <w:fldChar w:fldCharType="end"/>
    </w:r>
    <w:r>
      <w:t xml:space="preserve"> (529013)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48E9C" w14:textId="77777777" w:rsidR="0022757F" w:rsidRDefault="0022757F">
      <w:r>
        <w:rPr>
          <w:b/>
        </w:rPr>
        <w:t>_______________</w:t>
      </w:r>
    </w:p>
  </w:footnote>
  <w:footnote w:type="continuationSeparator" w:id="0">
    <w:p w14:paraId="67019243" w14:textId="77777777" w:rsidR="0022757F" w:rsidRDefault="0022757F">
      <w:r>
        <w:continuationSeparator/>
      </w:r>
    </w:p>
  </w:footnote>
  <w:footnote w:id="1">
    <w:p w14:paraId="0D6C0471" w14:textId="77777777" w:rsidR="008E34F5" w:rsidRDefault="008E34F5" w:rsidP="006539CD">
      <w:pPr>
        <w:pStyle w:val="FootnoteText"/>
      </w:pPr>
      <w:r>
        <w:rPr>
          <w:rStyle w:val="FootnoteReference"/>
        </w:rPr>
        <w:t>*</w:t>
      </w:r>
      <w:r>
        <w:tab/>
        <w:t>The appearance of square brackets around certain frequency bands in this Resolution is understood to mean that WRC</w:t>
      </w:r>
      <w:r>
        <w:noBreakHyphen/>
        <w:t>23 will consider and review the inclusion of these frequency bands with square brackets and decide, as appropriate.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5A12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22E4E44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3" w:name="OLE_LINK1"/>
    <w:bookmarkStart w:id="14" w:name="OLE_LINK2"/>
    <w:bookmarkStart w:id="15" w:name="OLE_LINK3"/>
    <w:r w:rsidR="00EB55C6">
      <w:t>62(Add.27)(Add.19)</w:t>
    </w:r>
    <w:bookmarkEnd w:id="13"/>
    <w:bookmarkEnd w:id="14"/>
    <w:bookmarkEnd w:id="15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453474240">
    <w:abstractNumId w:val="0"/>
  </w:num>
  <w:num w:numId="2" w16cid:durableId="32073600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463D3"/>
    <w:rsid w:val="00260D61"/>
    <w:rsid w:val="00271316"/>
    <w:rsid w:val="002B349C"/>
    <w:rsid w:val="002D58BE"/>
    <w:rsid w:val="002F4747"/>
    <w:rsid w:val="00302605"/>
    <w:rsid w:val="00343BC1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830D8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8E34F5"/>
    <w:rsid w:val="009274B4"/>
    <w:rsid w:val="00934EA2"/>
    <w:rsid w:val="00944A5C"/>
    <w:rsid w:val="00952A66"/>
    <w:rsid w:val="009B1EA1"/>
    <w:rsid w:val="009B7C9A"/>
    <w:rsid w:val="009C56E5"/>
    <w:rsid w:val="009C7716"/>
    <w:rsid w:val="009D635C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052E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209D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7428FF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R23-WRC23-C-0062!A27-A19!MSW-E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eate a new document." ma:contentTypeScope="" ma:versionID="94285b97e88f2c839d498d2d7659fc4d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5a9f648c1b52a11f05962b9faea6528c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414F5A-AE66-45D7-95AF-BE0EDC92BCC0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2.xml><?xml version="1.0" encoding="utf-8"?>
<ds:datastoreItem xmlns:ds="http://schemas.openxmlformats.org/officeDocument/2006/customXml" ds:itemID="{025AE772-80CC-4883-B508-824EC974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0F839-C509-44CE-9583-6B0A2D34AF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D2B894C-6D48-49BB-9AFE-A6425FF00A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83BE113-06CA-4DCD-9CA3-1E55F0682C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R23-WRC23-C-0062!A27-A19!MSW-E</vt:lpstr>
    </vt:vector>
  </TitlesOfParts>
  <Manager>General Secretariat - Pool</Manager>
  <Company>International Telecommunication Union (ITU)</Company>
  <LinksUpToDate>false</LinksUpToDate>
  <CharactersWithSpaces>1395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R23-WRC23-C-0062!A27-A19!MSW-E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3</cp:revision>
  <cp:lastPrinted>2017-02-10T08:23:00Z</cp:lastPrinted>
  <dcterms:created xsi:type="dcterms:W3CDTF">2023-10-16T14:25:00Z</dcterms:created>
  <dcterms:modified xsi:type="dcterms:W3CDTF">2023-10-16T14:29:00Z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